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D58A" w14:textId="159E5290" w:rsidR="00002990" w:rsidRPr="009F0C73" w:rsidRDefault="00580E30" w:rsidP="00A55989">
      <w:pPr>
        <w:pStyle w:val="DHHSbodynospace"/>
      </w:pPr>
      <w:r w:rsidRPr="009F0C73">
        <w:rPr>
          <w:noProof/>
        </w:rPr>
        <w:drawing>
          <wp:anchor distT="0" distB="0" distL="114300" distR="114300" simplePos="0" relativeHeight="251656704" behindDoc="1" locked="1" layoutInCell="0" allowOverlap="1" wp14:anchorId="564B2D5A" wp14:editId="2ABFA80A">
            <wp:simplePos x="0" y="0"/>
            <wp:positionH relativeFrom="page">
              <wp:posOffset>0</wp:posOffset>
            </wp:positionH>
            <wp:positionV relativeFrom="page">
              <wp:posOffset>0</wp:posOffset>
            </wp:positionV>
            <wp:extent cx="7563485" cy="10700385"/>
            <wp:effectExtent l="0" t="0" r="0" b="0"/>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9F0C73" w14:paraId="018D223F" w14:textId="77777777" w:rsidTr="004C5777">
        <w:trPr>
          <w:trHeight w:val="3988"/>
        </w:trPr>
        <w:tc>
          <w:tcPr>
            <w:tcW w:w="7938" w:type="dxa"/>
            <w:shd w:val="clear" w:color="auto" w:fill="auto"/>
          </w:tcPr>
          <w:p w14:paraId="0E4CA64A" w14:textId="220B6225" w:rsidR="00242534" w:rsidRPr="009F0C73" w:rsidRDefault="00242534" w:rsidP="00C722EF">
            <w:pPr>
              <w:pStyle w:val="DHHSreportsubtitlecover"/>
              <w:rPr>
                <w:sz w:val="50"/>
                <w:szCs w:val="50"/>
              </w:rPr>
            </w:pPr>
            <w:r w:rsidRPr="009F0C73">
              <w:rPr>
                <w:sz w:val="50"/>
                <w:szCs w:val="50"/>
              </w:rPr>
              <w:t>Victoria’s mental health services annual report 201</w:t>
            </w:r>
            <w:r w:rsidR="00B10318">
              <w:rPr>
                <w:sz w:val="50"/>
                <w:szCs w:val="50"/>
              </w:rPr>
              <w:t>7</w:t>
            </w:r>
            <w:r w:rsidRPr="009F0C73">
              <w:rPr>
                <w:sz w:val="50"/>
                <w:szCs w:val="50"/>
              </w:rPr>
              <w:t>–1</w:t>
            </w:r>
            <w:r w:rsidR="00B10318">
              <w:rPr>
                <w:sz w:val="50"/>
                <w:szCs w:val="50"/>
              </w:rPr>
              <w:t>8</w:t>
            </w:r>
          </w:p>
          <w:p w14:paraId="4833AD53" w14:textId="2D941690" w:rsidR="00444D82" w:rsidRPr="009F0C73" w:rsidRDefault="00444D82" w:rsidP="00C722EF">
            <w:pPr>
              <w:pStyle w:val="DHHSreportsubtitlecover"/>
            </w:pPr>
          </w:p>
        </w:tc>
      </w:tr>
      <w:tr w:rsidR="001817CD" w:rsidRPr="009F0C73" w14:paraId="0495DA46" w14:textId="77777777" w:rsidTr="004C5777">
        <w:trPr>
          <w:trHeight w:val="4664"/>
        </w:trPr>
        <w:tc>
          <w:tcPr>
            <w:tcW w:w="10252" w:type="dxa"/>
            <w:shd w:val="clear" w:color="auto" w:fill="auto"/>
          </w:tcPr>
          <w:p w14:paraId="1BD2E487" w14:textId="25325633" w:rsidR="00BC01C1" w:rsidRPr="009F0C73" w:rsidRDefault="00BC01C1" w:rsidP="00C722EF">
            <w:pPr>
              <w:pStyle w:val="Coverinstructions"/>
            </w:pPr>
          </w:p>
        </w:tc>
      </w:tr>
    </w:tbl>
    <w:p w14:paraId="03E370FF" w14:textId="77777777" w:rsidR="0069374A" w:rsidRPr="009F0C73" w:rsidRDefault="0069374A" w:rsidP="00C2657D">
      <w:pPr>
        <w:pStyle w:val="DHHSbodynospace"/>
        <w:ind w:left="-454"/>
      </w:pPr>
    </w:p>
    <w:p w14:paraId="477297A4" w14:textId="77777777" w:rsidR="00C51B1C" w:rsidRPr="009F0C73" w:rsidRDefault="00C51B1C" w:rsidP="00CA6D4E">
      <w:pPr>
        <w:pStyle w:val="DHHSbodynospace"/>
        <w:sectPr w:rsidR="00C51B1C" w:rsidRPr="009F0C73" w:rsidSect="00A55989">
          <w:footerReference w:type="even" r:id="rId9"/>
          <w:footerReference w:type="default" r:id="rId10"/>
          <w:type w:val="oddPage"/>
          <w:pgSz w:w="11906" w:h="16838"/>
          <w:pgMar w:top="3969" w:right="1304" w:bottom="1134" w:left="1304" w:header="454" w:footer="567" w:gutter="0"/>
          <w:cols w:space="720"/>
          <w:docGrid w:linePitch="360"/>
        </w:sectPr>
      </w:pPr>
    </w:p>
    <w:p w14:paraId="1230407A" w14:textId="69CE896E" w:rsidR="00AC0C3B" w:rsidRPr="009F0C73" w:rsidRDefault="009208F5" w:rsidP="00CA6D4E">
      <w:pPr>
        <w:pStyle w:val="DHHSbodynospace"/>
      </w:pPr>
      <w:r w:rsidRPr="009F0C73">
        <w:lastRenderedPageBreak/>
        <w:br w:type="page"/>
      </w:r>
      <w:r w:rsidR="00580E30" w:rsidRPr="009F0C73">
        <w:rPr>
          <w:noProof/>
        </w:rPr>
        <mc:AlternateContent>
          <mc:Choice Requires="wps">
            <w:drawing>
              <wp:anchor distT="0" distB="0" distL="114300" distR="114300" simplePos="0" relativeHeight="251655680" behindDoc="0" locked="0" layoutInCell="1" allowOverlap="1" wp14:anchorId="1D17B2E9" wp14:editId="4A09820A">
                <wp:simplePos x="0" y="0"/>
                <wp:positionH relativeFrom="column">
                  <wp:posOffset>4572000</wp:posOffset>
                </wp:positionH>
                <wp:positionV relativeFrom="paragraph">
                  <wp:posOffset>10172700</wp:posOffset>
                </wp:positionV>
                <wp:extent cx="2514600" cy="34290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AE8FEBE" w14:textId="77777777" w:rsidR="004220AB" w:rsidRDefault="004220AB"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7B2E9" id="_x0000_t202" coordsize="21600,21600" o:spt="202" path="m,l,21600r21600,l21600,xe">
                <v:stroke joinstyle="miter"/>
                <v:path gradientshapeok="t" o:connecttype="rect"/>
              </v:shapetype>
              <v:shape id="Text Box 43" o:spid="_x0000_s1026" type="#_x0000_t202" style="position:absolute;margin-left:5in;margin-top:801pt;width:19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SIRAIAAEY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" filled="f" stroked="f">
                <v:textbox>
                  <w:txbxContent>
                    <w:p w14:paraId="5AE8FEBE" w14:textId="77777777" w:rsidR="004220AB" w:rsidRDefault="004220AB"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9F0C73" w14:paraId="404A0832" w14:textId="77777777" w:rsidTr="00CA6D4E">
        <w:trPr>
          <w:trHeight w:val="7402"/>
        </w:trPr>
        <w:tc>
          <w:tcPr>
            <w:tcW w:w="9298" w:type="dxa"/>
            <w:shd w:val="clear" w:color="auto" w:fill="auto"/>
            <w:vAlign w:val="center"/>
          </w:tcPr>
          <w:p w14:paraId="38E18F7A" w14:textId="7D2D1969" w:rsidR="00BB47D7" w:rsidRPr="009F0C73" w:rsidRDefault="00242534" w:rsidP="00630937">
            <w:pPr>
              <w:pStyle w:val="DHHSreportsubtitle"/>
            </w:pPr>
            <w:r w:rsidRPr="009F0C73">
              <w:rPr>
                <w:color w:val="53565A"/>
                <w:sz w:val="50"/>
                <w:szCs w:val="24"/>
              </w:rPr>
              <w:lastRenderedPageBreak/>
              <w:t>Victoria’s mental health services annual report 201</w:t>
            </w:r>
            <w:r w:rsidR="0069151B">
              <w:rPr>
                <w:color w:val="53565A"/>
                <w:sz w:val="50"/>
                <w:szCs w:val="24"/>
              </w:rPr>
              <w:t>7</w:t>
            </w:r>
            <w:r w:rsidRPr="009F0C73">
              <w:rPr>
                <w:color w:val="53565A"/>
                <w:sz w:val="50"/>
                <w:szCs w:val="24"/>
              </w:rPr>
              <w:t>–1</w:t>
            </w:r>
            <w:r w:rsidR="0069151B">
              <w:rPr>
                <w:color w:val="53565A"/>
                <w:sz w:val="50"/>
                <w:szCs w:val="24"/>
              </w:rPr>
              <w:t>8</w:t>
            </w:r>
          </w:p>
        </w:tc>
      </w:tr>
      <w:tr w:rsidR="009906C7" w:rsidRPr="009F0C73" w14:paraId="129FDFFC" w14:textId="77777777" w:rsidTr="009906C7">
        <w:tc>
          <w:tcPr>
            <w:tcW w:w="9298" w:type="dxa"/>
            <w:shd w:val="clear" w:color="auto" w:fill="auto"/>
            <w:vAlign w:val="center"/>
          </w:tcPr>
          <w:p w14:paraId="73294DF0" w14:textId="77777777" w:rsidR="009906C7" w:rsidRPr="009F0C73" w:rsidRDefault="009906C7" w:rsidP="009906C7">
            <w:pPr>
              <w:pStyle w:val="DHHSbody"/>
            </w:pPr>
          </w:p>
        </w:tc>
      </w:tr>
    </w:tbl>
    <w:p w14:paraId="1A607A53" w14:textId="77777777" w:rsidR="00CA6D4E" w:rsidRPr="009F0C73" w:rsidRDefault="00CA6D4E" w:rsidP="00CA6D4E">
      <w:pPr>
        <w:pStyle w:val="DHHSbodynospace"/>
      </w:pPr>
    </w:p>
    <w:p w14:paraId="02418957" w14:textId="77777777" w:rsidR="00AC0C3B" w:rsidRPr="009F0C73" w:rsidRDefault="00C81BA6" w:rsidP="00CA6D4E">
      <w:pPr>
        <w:pStyle w:val="DHHSbodynospace"/>
      </w:pPr>
      <w:r w:rsidRPr="009F0C73">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9F0C73" w14:paraId="2CEC6C5E" w14:textId="77777777" w:rsidTr="00564E8F">
        <w:trPr>
          <w:trHeight w:val="4313"/>
        </w:trPr>
        <w:tc>
          <w:tcPr>
            <w:tcW w:w="9401" w:type="dxa"/>
          </w:tcPr>
          <w:p w14:paraId="27957D16" w14:textId="60EE3C86" w:rsidR="00564E8F" w:rsidRPr="009F0C73" w:rsidRDefault="00564E8F" w:rsidP="00031263">
            <w:pPr>
              <w:pStyle w:val="DHHSbody"/>
              <w:rPr>
                <w:i/>
                <w:color w:val="008950"/>
                <w:sz w:val="26"/>
                <w:szCs w:val="26"/>
              </w:rPr>
            </w:pPr>
          </w:p>
        </w:tc>
      </w:tr>
      <w:tr w:rsidR="00564E8F" w:rsidRPr="009F0C73" w14:paraId="53621FFD" w14:textId="77777777" w:rsidTr="001F09DC">
        <w:trPr>
          <w:trHeight w:val="6336"/>
        </w:trPr>
        <w:tc>
          <w:tcPr>
            <w:tcW w:w="9401" w:type="dxa"/>
            <w:vAlign w:val="bottom"/>
          </w:tcPr>
          <w:p w14:paraId="05060E8B" w14:textId="3A914BA5" w:rsidR="00605B5B" w:rsidRPr="009F0C73" w:rsidRDefault="00605B5B" w:rsidP="00605B5B">
            <w:pPr>
              <w:spacing w:after="200" w:line="300" w:lineRule="atLeast"/>
              <w:rPr>
                <w:rFonts w:ascii="Arial" w:eastAsia="Times" w:hAnsi="Arial"/>
                <w:sz w:val="24"/>
                <w:szCs w:val="19"/>
              </w:rPr>
            </w:pPr>
            <w:r w:rsidRPr="009F0C73">
              <w:rPr>
                <w:rFonts w:ascii="Arial" w:eastAsia="Times" w:hAnsi="Arial"/>
                <w:sz w:val="24"/>
                <w:szCs w:val="19"/>
              </w:rPr>
              <w:t>To receive this publication in an accessible format phone</w:t>
            </w:r>
            <w:r w:rsidR="00F51CB3" w:rsidRPr="009F0C73">
              <w:rPr>
                <w:rFonts w:ascii="Arial" w:eastAsia="Times" w:hAnsi="Arial"/>
                <w:sz w:val="24"/>
                <w:szCs w:val="19"/>
              </w:rPr>
              <w:t xml:space="preserve"> 9096 8287</w:t>
            </w:r>
            <w:r w:rsidRPr="009F0C73">
              <w:rPr>
                <w:rFonts w:ascii="Arial" w:eastAsia="Times" w:hAnsi="Arial"/>
                <w:sz w:val="24"/>
                <w:szCs w:val="19"/>
              </w:rPr>
              <w:t xml:space="preserve">, using the National Relay Service 13 36 77 if required, or </w:t>
            </w:r>
            <w:hyperlink r:id="rId11" w:history="1">
              <w:r w:rsidRPr="009F0C73">
                <w:rPr>
                  <w:rStyle w:val="Hyperlink"/>
                  <w:rFonts w:ascii="Arial" w:eastAsia="Times" w:hAnsi="Arial"/>
                  <w:sz w:val="24"/>
                  <w:szCs w:val="19"/>
                </w:rPr>
                <w:t>email</w:t>
              </w:r>
              <w:r w:rsidR="00F51CB3" w:rsidRPr="009F0C73">
                <w:rPr>
                  <w:rStyle w:val="Hyperlink"/>
                  <w:rFonts w:ascii="Arial" w:eastAsia="Times" w:hAnsi="Arial"/>
                  <w:sz w:val="24"/>
                  <w:szCs w:val="19"/>
                </w:rPr>
                <w:t xml:space="preserve"> the annual report team</w:t>
              </w:r>
            </w:hyperlink>
            <w:r w:rsidRPr="009F0C73">
              <w:rPr>
                <w:rFonts w:ascii="Arial" w:eastAsia="Times" w:hAnsi="Arial"/>
                <w:sz w:val="24"/>
                <w:szCs w:val="19"/>
              </w:rPr>
              <w:t xml:space="preserve"> </w:t>
            </w:r>
            <w:r w:rsidR="00F51CB3" w:rsidRPr="009F0C73">
              <w:rPr>
                <w:rFonts w:ascii="Arial" w:eastAsia="Times" w:hAnsi="Arial"/>
                <w:sz w:val="24"/>
                <w:szCs w:val="19"/>
              </w:rPr>
              <w:t>&lt;</w:t>
            </w:r>
            <w:hyperlink r:id="rId12">
              <w:r w:rsidR="00F51CB3" w:rsidRPr="009F0C73">
                <w:rPr>
                  <w:rFonts w:ascii="Arial" w:eastAsia="Times" w:hAnsi="Arial"/>
                  <w:sz w:val="24"/>
                  <w:szCs w:val="19"/>
                </w:rPr>
                <w:t>mhs.annualreport@dhhs.vic.gov.au</w:t>
              </w:r>
            </w:hyperlink>
            <w:r w:rsidR="00F51CB3" w:rsidRPr="009F0C73">
              <w:rPr>
                <w:rFonts w:ascii="Arial" w:eastAsia="Times" w:hAnsi="Arial"/>
                <w:sz w:val="24"/>
                <w:szCs w:val="19"/>
              </w:rPr>
              <w:t>&gt;.</w:t>
            </w:r>
          </w:p>
          <w:p w14:paraId="5468AD68" w14:textId="77777777" w:rsidR="00605B5B" w:rsidRPr="009F0C73" w:rsidRDefault="00605B5B" w:rsidP="00605B5B">
            <w:pPr>
              <w:spacing w:after="120" w:line="270" w:lineRule="atLeast"/>
              <w:rPr>
                <w:rFonts w:ascii="Arial" w:eastAsia="Times" w:hAnsi="Arial"/>
              </w:rPr>
            </w:pPr>
            <w:r w:rsidRPr="009F0C73">
              <w:rPr>
                <w:rFonts w:ascii="Arial" w:eastAsia="Times" w:hAnsi="Arial"/>
              </w:rPr>
              <w:t>Authorised and published by the Victorian Government, 1 Treasury Place, Melbourne.</w:t>
            </w:r>
          </w:p>
          <w:p w14:paraId="4ED1507D" w14:textId="70423841" w:rsidR="00605B5B" w:rsidRPr="009F0C73" w:rsidRDefault="00605B5B" w:rsidP="00605B5B">
            <w:pPr>
              <w:spacing w:after="120" w:line="270" w:lineRule="atLeast"/>
              <w:rPr>
                <w:rFonts w:ascii="Arial" w:eastAsia="Times" w:hAnsi="Arial"/>
              </w:rPr>
            </w:pPr>
            <w:r w:rsidRPr="009F0C73">
              <w:rPr>
                <w:rFonts w:ascii="Arial" w:eastAsia="Times" w:hAnsi="Arial"/>
              </w:rPr>
              <w:t xml:space="preserve">© State of Victoria, Department of Health </w:t>
            </w:r>
            <w:r w:rsidR="002679D5" w:rsidRPr="009F0C73">
              <w:rPr>
                <w:rFonts w:ascii="Arial" w:eastAsia="Times" w:hAnsi="Arial"/>
              </w:rPr>
              <w:t>and</w:t>
            </w:r>
            <w:r w:rsidRPr="009F0C73">
              <w:rPr>
                <w:rFonts w:ascii="Arial" w:eastAsia="Times" w:hAnsi="Arial"/>
              </w:rPr>
              <w:t xml:space="preserve"> Human Services</w:t>
            </w:r>
            <w:r w:rsidR="00F51CB3" w:rsidRPr="009F0C73">
              <w:rPr>
                <w:rFonts w:ascii="Arial" w:eastAsia="Times" w:hAnsi="Arial"/>
              </w:rPr>
              <w:t>, October 201</w:t>
            </w:r>
            <w:r w:rsidR="0069151B">
              <w:rPr>
                <w:rFonts w:ascii="Arial" w:eastAsia="Times" w:hAnsi="Arial"/>
              </w:rPr>
              <w:t>8</w:t>
            </w:r>
            <w:r w:rsidR="00F51CB3" w:rsidRPr="009F0C73">
              <w:rPr>
                <w:rFonts w:ascii="Arial" w:eastAsia="Times" w:hAnsi="Arial"/>
              </w:rPr>
              <w:t>.</w:t>
            </w:r>
          </w:p>
          <w:p w14:paraId="3F46633C" w14:textId="77777777" w:rsidR="00605B5B" w:rsidRPr="009F0C73" w:rsidRDefault="00605B5B" w:rsidP="00605B5B">
            <w:pPr>
              <w:spacing w:after="120" w:line="270" w:lineRule="atLeast"/>
              <w:rPr>
                <w:rFonts w:ascii="Arial" w:eastAsia="Times" w:hAnsi="Arial"/>
              </w:rPr>
            </w:pPr>
            <w:r w:rsidRPr="009F0C73">
              <w:rPr>
                <w:rFonts w:ascii="Arial" w:eastAsia="Times" w:hAnsi="Arial"/>
              </w:rPr>
              <w:t>Where the term ‘Aboriginal’ is used it refers to both Aboriginal and Torres Strait Islander people. Indigenous is retained when it is part of the title of a report, program or quotation.</w:t>
            </w:r>
          </w:p>
          <w:p w14:paraId="0A59C400" w14:textId="54501AB1" w:rsidR="00605B5B" w:rsidRPr="009F0C73" w:rsidRDefault="00605B5B" w:rsidP="00605B5B">
            <w:pPr>
              <w:spacing w:after="120" w:line="270" w:lineRule="atLeast"/>
              <w:rPr>
                <w:rFonts w:ascii="Arial" w:eastAsia="Times" w:hAnsi="Arial"/>
              </w:rPr>
            </w:pPr>
            <w:r w:rsidRPr="009F0C73">
              <w:rPr>
                <w:rFonts w:ascii="Arial" w:eastAsia="Times" w:hAnsi="Arial"/>
              </w:rPr>
              <w:t>ISSN</w:t>
            </w:r>
            <w:r w:rsidR="00F51CB3" w:rsidRPr="009F0C73">
              <w:rPr>
                <w:rFonts w:ascii="Arial" w:eastAsia="Times" w:hAnsi="Arial"/>
              </w:rPr>
              <w:t xml:space="preserve"> 2206-59</w:t>
            </w:r>
            <w:r w:rsidR="00957494">
              <w:rPr>
                <w:rFonts w:ascii="Arial" w:eastAsia="Times" w:hAnsi="Arial"/>
              </w:rPr>
              <w:t>70</w:t>
            </w:r>
          </w:p>
          <w:p w14:paraId="73746561" w14:textId="5EABF33A" w:rsidR="00564E8F" w:rsidRPr="009F0C73" w:rsidRDefault="00605B5B" w:rsidP="00F51CB3">
            <w:pPr>
              <w:spacing w:after="120" w:line="270" w:lineRule="atLeast"/>
              <w:rPr>
                <w:rFonts w:ascii="Arial" w:eastAsia="Times" w:hAnsi="Arial"/>
              </w:rPr>
            </w:pPr>
            <w:r w:rsidRPr="009F0C73">
              <w:rPr>
                <w:rFonts w:ascii="Arial" w:eastAsia="Times" w:hAnsi="Arial"/>
              </w:rPr>
              <w:t xml:space="preserve">Available </w:t>
            </w:r>
            <w:r w:rsidR="00F51CB3" w:rsidRPr="009F0C73">
              <w:rPr>
                <w:rFonts w:ascii="Arial" w:eastAsia="Times" w:hAnsi="Arial"/>
              </w:rPr>
              <w:t xml:space="preserve">at from the </w:t>
            </w:r>
            <w:hyperlink r:id="rId13" w:history="1">
              <w:r w:rsidR="00F51CB3" w:rsidRPr="009F0C73">
                <w:rPr>
                  <w:rStyle w:val="Hyperlink"/>
                  <w:rFonts w:ascii="Arial" w:eastAsia="Times" w:hAnsi="Arial"/>
                </w:rPr>
                <w:t>Mental Health Plan webpage</w:t>
              </w:r>
            </w:hyperlink>
            <w:r w:rsidR="00F51CB3" w:rsidRPr="009F0C73">
              <w:rPr>
                <w:rFonts w:ascii="Arial" w:eastAsia="Times" w:hAnsi="Arial"/>
              </w:rPr>
              <w:t xml:space="preserve"> &lt;www.mentalhealthplan.vic.gov</w:t>
            </w:r>
            <w:hyperlink r:id="rId14">
              <w:r w:rsidR="00F51CB3" w:rsidRPr="009F0C73">
                <w:rPr>
                  <w:rFonts w:ascii="Arial" w:eastAsia="Times" w:hAnsi="Arial"/>
                </w:rPr>
                <w:t>.au&gt;</w:t>
              </w:r>
            </w:hyperlink>
            <w:r w:rsidR="00F51CB3" w:rsidRPr="009F0C73">
              <w:rPr>
                <w:rFonts w:ascii="Arial" w:eastAsia="Times" w:hAnsi="Arial"/>
              </w:rPr>
              <w:t xml:space="preserve">. </w:t>
            </w:r>
          </w:p>
        </w:tc>
      </w:tr>
      <w:tr w:rsidR="009906C7" w:rsidRPr="009F0C73" w14:paraId="135698F0" w14:textId="77777777" w:rsidTr="009906C7">
        <w:tc>
          <w:tcPr>
            <w:tcW w:w="9401" w:type="dxa"/>
            <w:vAlign w:val="bottom"/>
          </w:tcPr>
          <w:p w14:paraId="76722086" w14:textId="77777777" w:rsidR="009906C7" w:rsidRPr="009F0C73" w:rsidRDefault="009906C7" w:rsidP="009906C7">
            <w:pPr>
              <w:pStyle w:val="DHHSbody"/>
            </w:pPr>
          </w:p>
        </w:tc>
      </w:tr>
    </w:tbl>
    <w:p w14:paraId="7C35E429" w14:textId="77777777" w:rsidR="00ED4D17" w:rsidRPr="009F0C73" w:rsidRDefault="00ED4D17" w:rsidP="003072C6">
      <w:pPr>
        <w:pStyle w:val="DHHSbody"/>
      </w:pPr>
    </w:p>
    <w:p w14:paraId="7627D848" w14:textId="77777777" w:rsidR="00E377F9" w:rsidRPr="009F0C73" w:rsidRDefault="00E377F9" w:rsidP="0005099A">
      <w:pPr>
        <w:pStyle w:val="DHHSTOCheadingreport"/>
        <w:sectPr w:rsidR="00E377F9" w:rsidRPr="009F0C73" w:rsidSect="00C51B1C">
          <w:pgSz w:w="11906" w:h="16838"/>
          <w:pgMar w:top="1701" w:right="1304" w:bottom="1134" w:left="1304" w:header="454" w:footer="567" w:gutter="0"/>
          <w:cols w:space="720"/>
          <w:docGrid w:linePitch="360"/>
        </w:sectPr>
      </w:pPr>
    </w:p>
    <w:p w14:paraId="03D1BEB6" w14:textId="77777777" w:rsidR="00E377F9" w:rsidRPr="009F0C73" w:rsidRDefault="00E377F9" w:rsidP="00E377F9">
      <w:pPr>
        <w:pStyle w:val="BodyText"/>
        <w:spacing w:before="10"/>
        <w:rPr>
          <w:rFonts w:ascii="Times New Roman"/>
          <w:sz w:val="22"/>
        </w:rPr>
      </w:pPr>
    </w:p>
    <w:p w14:paraId="208DEC57" w14:textId="5F8C2F3D" w:rsidR="00E377F9" w:rsidRPr="009F0C73" w:rsidRDefault="00580E30" w:rsidP="00F51CB3">
      <w:pPr>
        <w:spacing w:before="90"/>
        <w:ind w:left="1530"/>
        <w:rPr>
          <w:sz w:val="32"/>
        </w:rPr>
      </w:pPr>
      <w:r w:rsidRPr="009F0C73">
        <w:rPr>
          <w:noProof/>
        </w:rPr>
        <w:drawing>
          <wp:anchor distT="0" distB="0" distL="0" distR="0" simplePos="0" relativeHeight="251659776" behindDoc="0" locked="0" layoutInCell="1" allowOverlap="1" wp14:anchorId="75663E22" wp14:editId="70D452C3">
            <wp:simplePos x="0" y="0"/>
            <wp:positionH relativeFrom="page">
              <wp:posOffset>899795</wp:posOffset>
            </wp:positionH>
            <wp:positionV relativeFrom="paragraph">
              <wp:posOffset>-465455</wp:posOffset>
            </wp:positionV>
            <wp:extent cx="668020" cy="826770"/>
            <wp:effectExtent l="0" t="0" r="0" b="0"/>
            <wp:wrapNone/>
            <wp:docPr id="10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02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F9" w:rsidRPr="009F0C73">
        <w:rPr>
          <w:color w:val="0063A5"/>
          <w:sz w:val="32"/>
        </w:rPr>
        <w:t>Department of Health and Human Services</w:t>
      </w:r>
    </w:p>
    <w:p w14:paraId="7FB07D20" w14:textId="77777777" w:rsidR="00E377F9" w:rsidRPr="009F0C73" w:rsidRDefault="00E377F9" w:rsidP="00E377F9">
      <w:pPr>
        <w:pStyle w:val="BodyText"/>
        <w:spacing w:before="3"/>
        <w:rPr>
          <w:sz w:val="33"/>
        </w:rPr>
      </w:pPr>
    </w:p>
    <w:p w14:paraId="30BD2552" w14:textId="77777777" w:rsidR="00E377F9" w:rsidRPr="009F0C73" w:rsidRDefault="00E377F9" w:rsidP="00F51CB3">
      <w:pPr>
        <w:ind w:left="6750"/>
        <w:rPr>
          <w:sz w:val="16"/>
        </w:rPr>
      </w:pPr>
      <w:r w:rsidRPr="009F0C73">
        <w:rPr>
          <w:color w:val="0063A5"/>
          <w:sz w:val="16"/>
        </w:rPr>
        <w:t>50 Lonsdale Street</w:t>
      </w:r>
    </w:p>
    <w:p w14:paraId="634D7575" w14:textId="77777777" w:rsidR="00E377F9" w:rsidRPr="009F0C73" w:rsidRDefault="00E377F9" w:rsidP="00F51CB3">
      <w:pPr>
        <w:spacing w:before="22"/>
        <w:ind w:left="6750"/>
        <w:rPr>
          <w:sz w:val="16"/>
        </w:rPr>
      </w:pPr>
      <w:r w:rsidRPr="009F0C73">
        <w:rPr>
          <w:color w:val="0063A5"/>
          <w:sz w:val="16"/>
        </w:rPr>
        <w:t>Melbourne Victoria 3000</w:t>
      </w:r>
    </w:p>
    <w:p w14:paraId="2D9FEBF6" w14:textId="77777777" w:rsidR="00E377F9" w:rsidRPr="009F0C73" w:rsidRDefault="00E377F9" w:rsidP="00F51CB3">
      <w:pPr>
        <w:spacing w:before="21"/>
        <w:ind w:left="6750"/>
        <w:rPr>
          <w:sz w:val="16"/>
        </w:rPr>
      </w:pPr>
      <w:r w:rsidRPr="009F0C73">
        <w:rPr>
          <w:color w:val="0063A5"/>
          <w:sz w:val="16"/>
        </w:rPr>
        <w:t>Telephone: 1300 650 172</w:t>
      </w:r>
    </w:p>
    <w:p w14:paraId="6B2C09C4" w14:textId="77777777" w:rsidR="00E377F9" w:rsidRPr="009F0C73" w:rsidRDefault="00E377F9" w:rsidP="00F51CB3">
      <w:pPr>
        <w:spacing w:before="22"/>
        <w:ind w:left="6750"/>
        <w:rPr>
          <w:sz w:val="16"/>
        </w:rPr>
      </w:pPr>
      <w:r w:rsidRPr="009F0C73">
        <w:rPr>
          <w:color w:val="0063A5"/>
          <w:sz w:val="16"/>
        </w:rPr>
        <w:t>GPO Box 4057</w:t>
      </w:r>
    </w:p>
    <w:p w14:paraId="137F9666" w14:textId="77777777" w:rsidR="00E377F9" w:rsidRPr="009F0C73" w:rsidRDefault="00E377F9" w:rsidP="00F51CB3">
      <w:pPr>
        <w:spacing w:before="21" w:line="266" w:lineRule="auto"/>
        <w:ind w:left="6750" w:right="1927"/>
        <w:rPr>
          <w:sz w:val="16"/>
        </w:rPr>
      </w:pPr>
      <w:r w:rsidRPr="009F0C73">
        <w:rPr>
          <w:color w:val="0063A5"/>
          <w:sz w:val="16"/>
        </w:rPr>
        <w:t xml:space="preserve">Melbourne Victoria 3001 </w:t>
      </w:r>
      <w:hyperlink r:id="rId16">
        <w:r w:rsidRPr="009F0C73">
          <w:rPr>
            <w:color w:val="0063A5"/>
            <w:sz w:val="16"/>
          </w:rPr>
          <w:t>www.dhhs.vic.gov.au</w:t>
        </w:r>
      </w:hyperlink>
    </w:p>
    <w:p w14:paraId="20B973A4" w14:textId="77777777" w:rsidR="00E377F9" w:rsidRPr="009F0C73" w:rsidRDefault="00E377F9" w:rsidP="00F51CB3">
      <w:pPr>
        <w:spacing w:before="2"/>
        <w:ind w:left="6750"/>
        <w:rPr>
          <w:sz w:val="16"/>
        </w:rPr>
      </w:pPr>
      <w:r w:rsidRPr="009F0C73">
        <w:rPr>
          <w:color w:val="0063A5"/>
          <w:sz w:val="16"/>
        </w:rPr>
        <w:t>DX 210081</w:t>
      </w:r>
    </w:p>
    <w:p w14:paraId="10320D9B" w14:textId="77777777" w:rsidR="00E377F9" w:rsidRPr="009F0C73" w:rsidRDefault="00E377F9" w:rsidP="00F51CB3">
      <w:pPr>
        <w:pStyle w:val="DHHSbody"/>
      </w:pPr>
    </w:p>
    <w:p w14:paraId="6B40A9C7" w14:textId="77777777" w:rsidR="00E377F9" w:rsidRPr="009F0C73" w:rsidRDefault="00E377F9" w:rsidP="006D459B">
      <w:pPr>
        <w:spacing w:before="92"/>
        <w:rPr>
          <w:b/>
          <w:sz w:val="28"/>
        </w:rPr>
      </w:pPr>
      <w:bookmarkStart w:id="0" w:name="THE_HON._MARTIN_FOLEY_MP_MINISTER_FOR_ME"/>
      <w:bookmarkEnd w:id="0"/>
      <w:r w:rsidRPr="009F0C73">
        <w:rPr>
          <w:b/>
          <w:color w:val="0076BE"/>
          <w:sz w:val="28"/>
        </w:rPr>
        <w:t>THE HON. MARTIN FOLEY MP</w:t>
      </w:r>
    </w:p>
    <w:p w14:paraId="2ABE3985" w14:textId="77777777" w:rsidR="00E377F9" w:rsidRPr="009F0C73" w:rsidRDefault="00E377F9" w:rsidP="006D459B">
      <w:pPr>
        <w:spacing w:before="11"/>
        <w:rPr>
          <w:b/>
          <w:sz w:val="28"/>
        </w:rPr>
      </w:pPr>
      <w:r w:rsidRPr="009F0C73">
        <w:rPr>
          <w:b/>
          <w:color w:val="0076BE"/>
          <w:sz w:val="28"/>
        </w:rPr>
        <w:t>MINISTER FOR MENTAL HEALTH</w:t>
      </w:r>
    </w:p>
    <w:p w14:paraId="585ACD60" w14:textId="77777777" w:rsidR="00E377F9" w:rsidRPr="009F0C73" w:rsidRDefault="00E377F9" w:rsidP="00F51CB3">
      <w:pPr>
        <w:pStyle w:val="DHHSbody"/>
      </w:pPr>
    </w:p>
    <w:p w14:paraId="2E85D257" w14:textId="77777777" w:rsidR="00E377F9" w:rsidRPr="009F0C73" w:rsidRDefault="00E377F9" w:rsidP="006D459B">
      <w:pPr>
        <w:pStyle w:val="DHHSbody"/>
      </w:pPr>
      <w:r w:rsidRPr="009F0C73">
        <w:t>Dear Minister</w:t>
      </w:r>
    </w:p>
    <w:p w14:paraId="5EE30DC0" w14:textId="0003B500" w:rsidR="00E377F9" w:rsidRPr="009F0C73" w:rsidRDefault="00580E30" w:rsidP="006D459B">
      <w:pPr>
        <w:pStyle w:val="DHHSbody"/>
        <w:ind w:right="1778"/>
        <w:rPr>
          <w:sz w:val="19"/>
        </w:rPr>
      </w:pPr>
      <w:r w:rsidRPr="009F0C73">
        <w:rPr>
          <w:noProof/>
        </w:rPr>
        <w:drawing>
          <wp:anchor distT="0" distB="0" distL="0" distR="0" simplePos="0" relativeHeight="251657728" behindDoc="0" locked="0" layoutInCell="1" allowOverlap="1" wp14:anchorId="6E6A9BA1" wp14:editId="1C77E6CC">
            <wp:simplePos x="0" y="0"/>
            <wp:positionH relativeFrom="page">
              <wp:posOffset>899795</wp:posOffset>
            </wp:positionH>
            <wp:positionV relativeFrom="paragraph">
              <wp:posOffset>489585</wp:posOffset>
            </wp:positionV>
            <wp:extent cx="1024890" cy="574040"/>
            <wp:effectExtent l="0" t="0" r="0" b="0"/>
            <wp:wrapTopAndBottom/>
            <wp:docPr id="99"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489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F9" w:rsidRPr="009F0C73">
        <w:rPr>
          <w:sz w:val="19"/>
        </w:rPr>
        <w:t xml:space="preserve">In accordance with section 118(2) of the </w:t>
      </w:r>
      <w:r w:rsidR="00E377F9" w:rsidRPr="009F0C73">
        <w:rPr>
          <w:i/>
          <w:sz w:val="19"/>
        </w:rPr>
        <w:t xml:space="preserve">Mental Health Act 2014, </w:t>
      </w:r>
      <w:r w:rsidR="00E377F9" w:rsidRPr="009F0C73">
        <w:rPr>
          <w:sz w:val="19"/>
        </w:rPr>
        <w:t xml:space="preserve">I am pleased to submit to you </w:t>
      </w:r>
      <w:r w:rsidR="00E377F9" w:rsidRPr="009F0C73">
        <w:rPr>
          <w:i/>
          <w:sz w:val="19"/>
        </w:rPr>
        <w:t xml:space="preserve">Victoria’s mental health services annual report </w:t>
      </w:r>
      <w:r w:rsidR="00E377F9" w:rsidRPr="009F0C73">
        <w:rPr>
          <w:sz w:val="19"/>
        </w:rPr>
        <w:t>for the period 1 July 201</w:t>
      </w:r>
      <w:r w:rsidR="0069151B">
        <w:rPr>
          <w:sz w:val="19"/>
        </w:rPr>
        <w:t>7</w:t>
      </w:r>
      <w:r w:rsidR="00E377F9" w:rsidRPr="009F0C73">
        <w:rPr>
          <w:sz w:val="19"/>
        </w:rPr>
        <w:t xml:space="preserve"> to 30 June 201</w:t>
      </w:r>
      <w:r w:rsidR="0069151B">
        <w:rPr>
          <w:sz w:val="19"/>
        </w:rPr>
        <w:t>8</w:t>
      </w:r>
      <w:r w:rsidR="00E377F9" w:rsidRPr="009F0C73">
        <w:rPr>
          <w:sz w:val="19"/>
        </w:rPr>
        <w:t>.</w:t>
      </w:r>
    </w:p>
    <w:p w14:paraId="7A756DA1" w14:textId="77777777" w:rsidR="00E377F9" w:rsidRPr="009F0C73" w:rsidRDefault="00E377F9" w:rsidP="006D459B">
      <w:pPr>
        <w:pStyle w:val="DHHSbody"/>
        <w:spacing w:after="0"/>
        <w:rPr>
          <w:b/>
        </w:rPr>
      </w:pPr>
      <w:r w:rsidRPr="009F0C73">
        <w:rPr>
          <w:b/>
        </w:rPr>
        <w:t>Kym Peake</w:t>
      </w:r>
    </w:p>
    <w:p w14:paraId="05FBA90F" w14:textId="77777777" w:rsidR="00E377F9" w:rsidRPr="009F0C73" w:rsidRDefault="00E377F9" w:rsidP="006D459B">
      <w:pPr>
        <w:pStyle w:val="DHHSbody"/>
        <w:spacing w:after="0"/>
        <w:rPr>
          <w:b/>
        </w:rPr>
      </w:pPr>
      <w:r w:rsidRPr="009F0C73">
        <w:rPr>
          <w:b/>
        </w:rPr>
        <w:t>Secretary</w:t>
      </w:r>
    </w:p>
    <w:p w14:paraId="229169C3" w14:textId="77777777" w:rsidR="00E377F9" w:rsidRPr="009F0C73" w:rsidRDefault="00E377F9" w:rsidP="006D459B">
      <w:pPr>
        <w:pStyle w:val="DHHSbody"/>
        <w:rPr>
          <w:b/>
        </w:rPr>
      </w:pPr>
      <w:r w:rsidRPr="009F0C73">
        <w:rPr>
          <w:b/>
        </w:rPr>
        <w:t>Department of Health and Human Services</w:t>
      </w:r>
    </w:p>
    <w:p w14:paraId="082600F0" w14:textId="7B337769" w:rsidR="006D459B" w:rsidRPr="009F0C73" w:rsidRDefault="00580E30" w:rsidP="006D459B">
      <w:pPr>
        <w:pStyle w:val="DHHSbody"/>
        <w:sectPr w:rsidR="006D459B" w:rsidRPr="009F0C73" w:rsidSect="00E377F9">
          <w:pgSz w:w="11906" w:h="16838"/>
          <w:pgMar w:top="1701" w:right="4" w:bottom="1134" w:left="1304" w:header="454" w:footer="567" w:gutter="0"/>
          <w:cols w:space="720"/>
          <w:docGrid w:linePitch="360"/>
        </w:sectPr>
      </w:pPr>
      <w:r w:rsidRPr="009F0C73">
        <w:rPr>
          <w:noProof/>
        </w:rPr>
        <w:drawing>
          <wp:anchor distT="0" distB="0" distL="0" distR="0" simplePos="0" relativeHeight="251660800" behindDoc="0" locked="0" layoutInCell="1" allowOverlap="1" wp14:anchorId="0AE1644E" wp14:editId="3EDDDF93">
            <wp:simplePos x="0" y="0"/>
            <wp:positionH relativeFrom="page">
              <wp:posOffset>6411595</wp:posOffset>
            </wp:positionH>
            <wp:positionV relativeFrom="paragraph">
              <wp:posOffset>3620770</wp:posOffset>
            </wp:positionV>
            <wp:extent cx="619760" cy="354965"/>
            <wp:effectExtent l="0" t="0" r="0" b="0"/>
            <wp:wrapTopAndBottom/>
            <wp:docPr id="102"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76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EE2D8" w14:textId="2D991641" w:rsidR="00AC0C3B" w:rsidRPr="009F0C73" w:rsidRDefault="00AC0C3B" w:rsidP="0005099A">
      <w:pPr>
        <w:pStyle w:val="DHHSTOCheadingreport"/>
      </w:pPr>
      <w:r w:rsidRPr="009F0C73">
        <w:lastRenderedPageBreak/>
        <w:t>Contents</w:t>
      </w:r>
    </w:p>
    <w:bookmarkStart w:id="1" w:name="_GoBack"/>
    <w:bookmarkEnd w:id="1"/>
    <w:p w14:paraId="7E367FC1" w14:textId="45B0D3AD" w:rsidR="00235E13" w:rsidRDefault="00E15DA9">
      <w:pPr>
        <w:pStyle w:val="TOC1"/>
        <w:rPr>
          <w:rFonts w:asciiTheme="minorHAnsi" w:eastAsiaTheme="minorEastAsia" w:hAnsiTheme="minorHAnsi" w:cstheme="minorBidi"/>
          <w:b w:val="0"/>
          <w:sz w:val="22"/>
          <w:szCs w:val="22"/>
          <w:lang w:eastAsia="en-AU"/>
        </w:rPr>
      </w:pPr>
      <w:r w:rsidRPr="009F0C73">
        <w:rPr>
          <w:noProof w:val="0"/>
        </w:rPr>
        <w:fldChar w:fldCharType="begin"/>
      </w:r>
      <w:r w:rsidRPr="009F0C73">
        <w:rPr>
          <w:noProof w:val="0"/>
        </w:rPr>
        <w:instrText xml:space="preserve"> TOC \h \z \t "Heading 1,1,Heading 2,2" </w:instrText>
      </w:r>
      <w:r w:rsidRPr="009F0C73">
        <w:rPr>
          <w:noProof w:val="0"/>
        </w:rPr>
        <w:fldChar w:fldCharType="separate"/>
      </w:r>
      <w:hyperlink w:anchor="_Toc28340143" w:history="1">
        <w:r w:rsidR="00235E13" w:rsidRPr="00703B29">
          <w:rPr>
            <w:rStyle w:val="Hyperlink"/>
          </w:rPr>
          <w:t>Secretary’s foreword</w:t>
        </w:r>
        <w:r w:rsidR="00235E13">
          <w:rPr>
            <w:webHidden/>
          </w:rPr>
          <w:tab/>
        </w:r>
        <w:r w:rsidR="00235E13">
          <w:rPr>
            <w:webHidden/>
          </w:rPr>
          <w:fldChar w:fldCharType="begin"/>
        </w:r>
        <w:r w:rsidR="00235E13">
          <w:rPr>
            <w:webHidden/>
          </w:rPr>
          <w:instrText xml:space="preserve"> PAGEREF _Toc28340143 \h </w:instrText>
        </w:r>
        <w:r w:rsidR="00235E13">
          <w:rPr>
            <w:webHidden/>
          </w:rPr>
        </w:r>
        <w:r w:rsidR="00235E13">
          <w:rPr>
            <w:webHidden/>
          </w:rPr>
          <w:fldChar w:fldCharType="separate"/>
        </w:r>
        <w:r w:rsidR="00235E13">
          <w:rPr>
            <w:webHidden/>
          </w:rPr>
          <w:t>vii</w:t>
        </w:r>
        <w:r w:rsidR="00235E13">
          <w:rPr>
            <w:webHidden/>
          </w:rPr>
          <w:fldChar w:fldCharType="end"/>
        </w:r>
      </w:hyperlink>
    </w:p>
    <w:p w14:paraId="0BD01577" w14:textId="68F4C351" w:rsidR="00235E13" w:rsidRDefault="00235E13">
      <w:pPr>
        <w:pStyle w:val="TOC1"/>
        <w:rPr>
          <w:rFonts w:asciiTheme="minorHAnsi" w:eastAsiaTheme="minorEastAsia" w:hAnsiTheme="minorHAnsi" w:cstheme="minorBidi"/>
          <w:b w:val="0"/>
          <w:sz w:val="22"/>
          <w:szCs w:val="22"/>
          <w:lang w:eastAsia="en-AU"/>
        </w:rPr>
      </w:pPr>
      <w:hyperlink w:anchor="_Toc28340144" w:history="1">
        <w:r w:rsidRPr="00703B29">
          <w:rPr>
            <w:rStyle w:val="Hyperlink"/>
          </w:rPr>
          <w:t>The year at a glance</w:t>
        </w:r>
        <w:r>
          <w:rPr>
            <w:webHidden/>
          </w:rPr>
          <w:tab/>
        </w:r>
        <w:r>
          <w:rPr>
            <w:webHidden/>
          </w:rPr>
          <w:fldChar w:fldCharType="begin"/>
        </w:r>
        <w:r>
          <w:rPr>
            <w:webHidden/>
          </w:rPr>
          <w:instrText xml:space="preserve"> PAGEREF _Toc28340144 \h </w:instrText>
        </w:r>
        <w:r>
          <w:rPr>
            <w:webHidden/>
          </w:rPr>
        </w:r>
        <w:r>
          <w:rPr>
            <w:webHidden/>
          </w:rPr>
          <w:fldChar w:fldCharType="separate"/>
        </w:r>
        <w:r>
          <w:rPr>
            <w:webHidden/>
          </w:rPr>
          <w:t>viii</w:t>
        </w:r>
        <w:r>
          <w:rPr>
            <w:webHidden/>
          </w:rPr>
          <w:fldChar w:fldCharType="end"/>
        </w:r>
      </w:hyperlink>
    </w:p>
    <w:p w14:paraId="48D41D91" w14:textId="7184556A" w:rsidR="00235E13" w:rsidRDefault="00235E13">
      <w:pPr>
        <w:pStyle w:val="TOC2"/>
        <w:rPr>
          <w:rFonts w:asciiTheme="minorHAnsi" w:eastAsiaTheme="minorEastAsia" w:hAnsiTheme="minorHAnsi" w:cstheme="minorBidi"/>
          <w:sz w:val="22"/>
          <w:szCs w:val="22"/>
          <w:lang w:eastAsia="en-AU"/>
        </w:rPr>
      </w:pPr>
      <w:hyperlink w:anchor="_Toc28340145" w:history="1">
        <w:r w:rsidRPr="00703B29">
          <w:rPr>
            <w:rStyle w:val="Hyperlink"/>
          </w:rPr>
          <w:t>Key statistics</w:t>
        </w:r>
        <w:r>
          <w:rPr>
            <w:webHidden/>
          </w:rPr>
          <w:tab/>
        </w:r>
        <w:r>
          <w:rPr>
            <w:webHidden/>
          </w:rPr>
          <w:fldChar w:fldCharType="begin"/>
        </w:r>
        <w:r>
          <w:rPr>
            <w:webHidden/>
          </w:rPr>
          <w:instrText xml:space="preserve"> PAGEREF _Toc28340145 \h </w:instrText>
        </w:r>
        <w:r>
          <w:rPr>
            <w:webHidden/>
          </w:rPr>
        </w:r>
        <w:r>
          <w:rPr>
            <w:webHidden/>
          </w:rPr>
          <w:fldChar w:fldCharType="separate"/>
        </w:r>
        <w:r>
          <w:rPr>
            <w:webHidden/>
          </w:rPr>
          <w:t>viii</w:t>
        </w:r>
        <w:r>
          <w:rPr>
            <w:webHidden/>
          </w:rPr>
          <w:fldChar w:fldCharType="end"/>
        </w:r>
      </w:hyperlink>
    </w:p>
    <w:p w14:paraId="0C7F2B61" w14:textId="28C36367" w:rsidR="00235E13" w:rsidRDefault="00235E13">
      <w:pPr>
        <w:pStyle w:val="TOC1"/>
        <w:tabs>
          <w:tab w:val="left" w:pos="567"/>
        </w:tabs>
        <w:rPr>
          <w:rFonts w:asciiTheme="minorHAnsi" w:eastAsiaTheme="minorEastAsia" w:hAnsiTheme="minorHAnsi" w:cstheme="minorBidi"/>
          <w:b w:val="0"/>
          <w:sz w:val="22"/>
          <w:szCs w:val="22"/>
          <w:lang w:eastAsia="en-AU"/>
        </w:rPr>
      </w:pPr>
      <w:hyperlink w:anchor="_Toc28340146" w:history="1">
        <w:r w:rsidRPr="00703B29">
          <w:rPr>
            <w:rStyle w:val="Hyperlink"/>
          </w:rPr>
          <w:t>1.</w:t>
        </w:r>
        <w:r>
          <w:rPr>
            <w:rFonts w:asciiTheme="minorHAnsi" w:eastAsiaTheme="minorEastAsia" w:hAnsiTheme="minorHAnsi" w:cstheme="minorBidi"/>
            <w:b w:val="0"/>
            <w:sz w:val="22"/>
            <w:szCs w:val="22"/>
            <w:lang w:eastAsia="en-AU"/>
          </w:rPr>
          <w:tab/>
        </w:r>
        <w:r w:rsidRPr="00703B29">
          <w:rPr>
            <w:rStyle w:val="Hyperlink"/>
          </w:rPr>
          <w:t>Progressing Victoria’s 10-year mental health plan</w:t>
        </w:r>
        <w:r>
          <w:rPr>
            <w:webHidden/>
          </w:rPr>
          <w:tab/>
        </w:r>
        <w:r>
          <w:rPr>
            <w:webHidden/>
          </w:rPr>
          <w:fldChar w:fldCharType="begin"/>
        </w:r>
        <w:r>
          <w:rPr>
            <w:webHidden/>
          </w:rPr>
          <w:instrText xml:space="preserve"> PAGEREF _Toc28340146 \h </w:instrText>
        </w:r>
        <w:r>
          <w:rPr>
            <w:webHidden/>
          </w:rPr>
        </w:r>
        <w:r>
          <w:rPr>
            <w:webHidden/>
          </w:rPr>
          <w:fldChar w:fldCharType="separate"/>
        </w:r>
        <w:r>
          <w:rPr>
            <w:webHidden/>
          </w:rPr>
          <w:t>9</w:t>
        </w:r>
        <w:r>
          <w:rPr>
            <w:webHidden/>
          </w:rPr>
          <w:fldChar w:fldCharType="end"/>
        </w:r>
      </w:hyperlink>
    </w:p>
    <w:p w14:paraId="05AFEAB4" w14:textId="7BC4EC23" w:rsidR="00235E13" w:rsidRDefault="00235E13">
      <w:pPr>
        <w:pStyle w:val="TOC2"/>
        <w:rPr>
          <w:rFonts w:asciiTheme="minorHAnsi" w:eastAsiaTheme="minorEastAsia" w:hAnsiTheme="minorHAnsi" w:cstheme="minorBidi"/>
          <w:sz w:val="22"/>
          <w:szCs w:val="22"/>
          <w:lang w:eastAsia="en-AU"/>
        </w:rPr>
      </w:pPr>
      <w:hyperlink w:anchor="_Toc28340147" w:history="1">
        <w:r w:rsidRPr="00703B29">
          <w:rPr>
            <w:rStyle w:val="Hyperlink"/>
          </w:rPr>
          <w:t>Preventing suicide</w:t>
        </w:r>
        <w:r>
          <w:rPr>
            <w:webHidden/>
          </w:rPr>
          <w:tab/>
        </w:r>
        <w:r>
          <w:rPr>
            <w:webHidden/>
          </w:rPr>
          <w:fldChar w:fldCharType="begin"/>
        </w:r>
        <w:r>
          <w:rPr>
            <w:webHidden/>
          </w:rPr>
          <w:instrText xml:space="preserve"> PAGEREF _Toc28340147 \h </w:instrText>
        </w:r>
        <w:r>
          <w:rPr>
            <w:webHidden/>
          </w:rPr>
        </w:r>
        <w:r>
          <w:rPr>
            <w:webHidden/>
          </w:rPr>
          <w:fldChar w:fldCharType="separate"/>
        </w:r>
        <w:r>
          <w:rPr>
            <w:webHidden/>
          </w:rPr>
          <w:t>10</w:t>
        </w:r>
        <w:r>
          <w:rPr>
            <w:webHidden/>
          </w:rPr>
          <w:fldChar w:fldCharType="end"/>
        </w:r>
      </w:hyperlink>
    </w:p>
    <w:p w14:paraId="48CBB349" w14:textId="6DB3C556" w:rsidR="00235E13" w:rsidRDefault="00235E13">
      <w:pPr>
        <w:pStyle w:val="TOC2"/>
        <w:rPr>
          <w:rFonts w:asciiTheme="minorHAnsi" w:eastAsiaTheme="minorEastAsia" w:hAnsiTheme="minorHAnsi" w:cstheme="minorBidi"/>
          <w:sz w:val="22"/>
          <w:szCs w:val="22"/>
          <w:lang w:eastAsia="en-AU"/>
        </w:rPr>
      </w:pPr>
      <w:hyperlink w:anchor="_Toc28340148" w:history="1">
        <w:r w:rsidRPr="00703B29">
          <w:rPr>
            <w:rStyle w:val="Hyperlink"/>
          </w:rPr>
          <w:t>Supporting and strengthening our mental health workforce</w:t>
        </w:r>
        <w:r>
          <w:rPr>
            <w:webHidden/>
          </w:rPr>
          <w:tab/>
        </w:r>
        <w:r>
          <w:rPr>
            <w:webHidden/>
          </w:rPr>
          <w:fldChar w:fldCharType="begin"/>
        </w:r>
        <w:r>
          <w:rPr>
            <w:webHidden/>
          </w:rPr>
          <w:instrText xml:space="preserve"> PAGEREF _Toc28340148 \h </w:instrText>
        </w:r>
        <w:r>
          <w:rPr>
            <w:webHidden/>
          </w:rPr>
        </w:r>
        <w:r>
          <w:rPr>
            <w:webHidden/>
          </w:rPr>
          <w:fldChar w:fldCharType="separate"/>
        </w:r>
        <w:r>
          <w:rPr>
            <w:webHidden/>
          </w:rPr>
          <w:t>13</w:t>
        </w:r>
        <w:r>
          <w:rPr>
            <w:webHidden/>
          </w:rPr>
          <w:fldChar w:fldCharType="end"/>
        </w:r>
      </w:hyperlink>
    </w:p>
    <w:p w14:paraId="49A9E4B1" w14:textId="1C7FC5D2" w:rsidR="00235E13" w:rsidRDefault="00235E13">
      <w:pPr>
        <w:pStyle w:val="TOC2"/>
        <w:rPr>
          <w:rFonts w:asciiTheme="minorHAnsi" w:eastAsiaTheme="minorEastAsia" w:hAnsiTheme="minorHAnsi" w:cstheme="minorBidi"/>
          <w:sz w:val="22"/>
          <w:szCs w:val="22"/>
          <w:lang w:eastAsia="en-AU"/>
        </w:rPr>
      </w:pPr>
      <w:hyperlink w:anchor="_Toc28340149" w:history="1">
        <w:r w:rsidRPr="00703B29">
          <w:rPr>
            <w:rStyle w:val="Hyperlink"/>
          </w:rPr>
          <w:t>Aboriginal social and emotional wellbeing</w:t>
        </w:r>
        <w:r>
          <w:rPr>
            <w:webHidden/>
          </w:rPr>
          <w:tab/>
        </w:r>
        <w:r>
          <w:rPr>
            <w:webHidden/>
          </w:rPr>
          <w:fldChar w:fldCharType="begin"/>
        </w:r>
        <w:r>
          <w:rPr>
            <w:webHidden/>
          </w:rPr>
          <w:instrText xml:space="preserve"> PAGEREF _Toc28340149 \h </w:instrText>
        </w:r>
        <w:r>
          <w:rPr>
            <w:webHidden/>
          </w:rPr>
        </w:r>
        <w:r>
          <w:rPr>
            <w:webHidden/>
          </w:rPr>
          <w:fldChar w:fldCharType="separate"/>
        </w:r>
        <w:r>
          <w:rPr>
            <w:webHidden/>
          </w:rPr>
          <w:t>16</w:t>
        </w:r>
        <w:r>
          <w:rPr>
            <w:webHidden/>
          </w:rPr>
          <w:fldChar w:fldCharType="end"/>
        </w:r>
      </w:hyperlink>
    </w:p>
    <w:p w14:paraId="15B726BB" w14:textId="60B7D232" w:rsidR="00235E13" w:rsidRDefault="00235E13">
      <w:pPr>
        <w:pStyle w:val="TOC2"/>
        <w:rPr>
          <w:rFonts w:asciiTheme="minorHAnsi" w:eastAsiaTheme="minorEastAsia" w:hAnsiTheme="minorHAnsi" w:cstheme="minorBidi"/>
          <w:sz w:val="22"/>
          <w:szCs w:val="22"/>
          <w:lang w:eastAsia="en-AU"/>
        </w:rPr>
      </w:pPr>
      <w:hyperlink w:anchor="_Toc28340150" w:history="1">
        <w:r w:rsidRPr="00703B29">
          <w:rPr>
            <w:rStyle w:val="Hyperlink"/>
          </w:rPr>
          <w:t>Meeting the mental health needs of children and families</w:t>
        </w:r>
        <w:r>
          <w:rPr>
            <w:webHidden/>
          </w:rPr>
          <w:tab/>
        </w:r>
        <w:r>
          <w:rPr>
            <w:webHidden/>
          </w:rPr>
          <w:fldChar w:fldCharType="begin"/>
        </w:r>
        <w:r>
          <w:rPr>
            <w:webHidden/>
          </w:rPr>
          <w:instrText xml:space="preserve"> PAGEREF _Toc28340150 \h </w:instrText>
        </w:r>
        <w:r>
          <w:rPr>
            <w:webHidden/>
          </w:rPr>
        </w:r>
        <w:r>
          <w:rPr>
            <w:webHidden/>
          </w:rPr>
          <w:fldChar w:fldCharType="separate"/>
        </w:r>
        <w:r>
          <w:rPr>
            <w:webHidden/>
          </w:rPr>
          <w:t>18</w:t>
        </w:r>
        <w:r>
          <w:rPr>
            <w:webHidden/>
          </w:rPr>
          <w:fldChar w:fldCharType="end"/>
        </w:r>
      </w:hyperlink>
    </w:p>
    <w:p w14:paraId="2E5591E7" w14:textId="4D12C0EA" w:rsidR="00235E13" w:rsidRDefault="00235E13">
      <w:pPr>
        <w:pStyle w:val="TOC2"/>
        <w:rPr>
          <w:rFonts w:asciiTheme="minorHAnsi" w:eastAsiaTheme="minorEastAsia" w:hAnsiTheme="minorHAnsi" w:cstheme="minorBidi"/>
          <w:sz w:val="22"/>
          <w:szCs w:val="22"/>
          <w:lang w:eastAsia="en-AU"/>
        </w:rPr>
      </w:pPr>
      <w:hyperlink w:anchor="_Toc28340151" w:history="1">
        <w:r w:rsidRPr="00703B29">
          <w:rPr>
            <w:rStyle w:val="Hyperlink"/>
          </w:rPr>
          <w:t>Supporting diversity and increasing access</w:t>
        </w:r>
        <w:r>
          <w:rPr>
            <w:webHidden/>
          </w:rPr>
          <w:tab/>
        </w:r>
        <w:r>
          <w:rPr>
            <w:webHidden/>
          </w:rPr>
          <w:fldChar w:fldCharType="begin"/>
        </w:r>
        <w:r>
          <w:rPr>
            <w:webHidden/>
          </w:rPr>
          <w:instrText xml:space="preserve"> PAGEREF _Toc28340151 \h </w:instrText>
        </w:r>
        <w:r>
          <w:rPr>
            <w:webHidden/>
          </w:rPr>
        </w:r>
        <w:r>
          <w:rPr>
            <w:webHidden/>
          </w:rPr>
          <w:fldChar w:fldCharType="separate"/>
        </w:r>
        <w:r>
          <w:rPr>
            <w:webHidden/>
          </w:rPr>
          <w:t>19</w:t>
        </w:r>
        <w:r>
          <w:rPr>
            <w:webHidden/>
          </w:rPr>
          <w:fldChar w:fldCharType="end"/>
        </w:r>
      </w:hyperlink>
    </w:p>
    <w:p w14:paraId="23CB06B6" w14:textId="6A4DCF92" w:rsidR="00235E13" w:rsidRDefault="00235E13">
      <w:pPr>
        <w:pStyle w:val="TOC2"/>
        <w:rPr>
          <w:rFonts w:asciiTheme="minorHAnsi" w:eastAsiaTheme="minorEastAsia" w:hAnsiTheme="minorHAnsi" w:cstheme="minorBidi"/>
          <w:sz w:val="22"/>
          <w:szCs w:val="22"/>
          <w:lang w:eastAsia="en-AU"/>
        </w:rPr>
      </w:pPr>
      <w:hyperlink w:anchor="_Toc28340152" w:history="1">
        <w:r w:rsidRPr="00703B29">
          <w:rPr>
            <w:rStyle w:val="Hyperlink"/>
          </w:rPr>
          <w:t>Listening to consumers, families and carers</w:t>
        </w:r>
        <w:r>
          <w:rPr>
            <w:webHidden/>
          </w:rPr>
          <w:tab/>
        </w:r>
        <w:r>
          <w:rPr>
            <w:webHidden/>
          </w:rPr>
          <w:fldChar w:fldCharType="begin"/>
        </w:r>
        <w:r>
          <w:rPr>
            <w:webHidden/>
          </w:rPr>
          <w:instrText xml:space="preserve"> PAGEREF _Toc28340152 \h </w:instrText>
        </w:r>
        <w:r>
          <w:rPr>
            <w:webHidden/>
          </w:rPr>
        </w:r>
        <w:r>
          <w:rPr>
            <w:webHidden/>
          </w:rPr>
          <w:fldChar w:fldCharType="separate"/>
        </w:r>
        <w:r>
          <w:rPr>
            <w:webHidden/>
          </w:rPr>
          <w:t>22</w:t>
        </w:r>
        <w:r>
          <w:rPr>
            <w:webHidden/>
          </w:rPr>
          <w:fldChar w:fldCharType="end"/>
        </w:r>
      </w:hyperlink>
    </w:p>
    <w:p w14:paraId="3ECD4C02" w14:textId="510FD784" w:rsidR="00235E13" w:rsidRDefault="00235E13">
      <w:pPr>
        <w:pStyle w:val="TOC2"/>
        <w:rPr>
          <w:rFonts w:asciiTheme="minorHAnsi" w:eastAsiaTheme="minorEastAsia" w:hAnsiTheme="minorHAnsi" w:cstheme="minorBidi"/>
          <w:sz w:val="22"/>
          <w:szCs w:val="22"/>
          <w:lang w:eastAsia="en-AU"/>
        </w:rPr>
      </w:pPr>
      <w:hyperlink w:anchor="_Toc28340153" w:history="1">
        <w:r w:rsidRPr="00703B29">
          <w:rPr>
            <w:rStyle w:val="Hyperlink"/>
          </w:rPr>
          <w:t>Transitioning to the National Disability Insurance Scheme</w:t>
        </w:r>
        <w:r>
          <w:rPr>
            <w:webHidden/>
          </w:rPr>
          <w:tab/>
        </w:r>
        <w:r>
          <w:rPr>
            <w:webHidden/>
          </w:rPr>
          <w:fldChar w:fldCharType="begin"/>
        </w:r>
        <w:r>
          <w:rPr>
            <w:webHidden/>
          </w:rPr>
          <w:instrText xml:space="preserve"> PAGEREF _Toc28340153 \h </w:instrText>
        </w:r>
        <w:r>
          <w:rPr>
            <w:webHidden/>
          </w:rPr>
        </w:r>
        <w:r>
          <w:rPr>
            <w:webHidden/>
          </w:rPr>
          <w:fldChar w:fldCharType="separate"/>
        </w:r>
        <w:r>
          <w:rPr>
            <w:webHidden/>
          </w:rPr>
          <w:t>23</w:t>
        </w:r>
        <w:r>
          <w:rPr>
            <w:webHidden/>
          </w:rPr>
          <w:fldChar w:fldCharType="end"/>
        </w:r>
      </w:hyperlink>
    </w:p>
    <w:p w14:paraId="64E9C509" w14:textId="268C5382" w:rsidR="00235E13" w:rsidRDefault="00235E13">
      <w:pPr>
        <w:pStyle w:val="TOC2"/>
        <w:rPr>
          <w:rFonts w:asciiTheme="minorHAnsi" w:eastAsiaTheme="minorEastAsia" w:hAnsiTheme="minorHAnsi" w:cstheme="minorBidi"/>
          <w:sz w:val="22"/>
          <w:szCs w:val="22"/>
          <w:lang w:eastAsia="en-AU"/>
        </w:rPr>
      </w:pPr>
      <w:hyperlink w:anchor="_Toc28340154" w:history="1">
        <w:r w:rsidRPr="00703B29">
          <w:rPr>
            <w:rStyle w:val="Hyperlink"/>
          </w:rPr>
          <w:t>Forensic mental health reforms</w:t>
        </w:r>
        <w:r>
          <w:rPr>
            <w:webHidden/>
          </w:rPr>
          <w:tab/>
        </w:r>
        <w:r>
          <w:rPr>
            <w:webHidden/>
          </w:rPr>
          <w:fldChar w:fldCharType="begin"/>
        </w:r>
        <w:r>
          <w:rPr>
            <w:webHidden/>
          </w:rPr>
          <w:instrText xml:space="preserve"> PAGEREF _Toc28340154 \h </w:instrText>
        </w:r>
        <w:r>
          <w:rPr>
            <w:webHidden/>
          </w:rPr>
        </w:r>
        <w:r>
          <w:rPr>
            <w:webHidden/>
          </w:rPr>
          <w:fldChar w:fldCharType="separate"/>
        </w:r>
        <w:r>
          <w:rPr>
            <w:webHidden/>
          </w:rPr>
          <w:t>26</w:t>
        </w:r>
        <w:r>
          <w:rPr>
            <w:webHidden/>
          </w:rPr>
          <w:fldChar w:fldCharType="end"/>
        </w:r>
      </w:hyperlink>
    </w:p>
    <w:p w14:paraId="7738E214" w14:textId="7DB10DD1" w:rsidR="00235E13" w:rsidRDefault="00235E13">
      <w:pPr>
        <w:pStyle w:val="TOC1"/>
        <w:tabs>
          <w:tab w:val="left" w:pos="567"/>
        </w:tabs>
        <w:rPr>
          <w:rFonts w:asciiTheme="minorHAnsi" w:eastAsiaTheme="minorEastAsia" w:hAnsiTheme="minorHAnsi" w:cstheme="minorBidi"/>
          <w:b w:val="0"/>
          <w:sz w:val="22"/>
          <w:szCs w:val="22"/>
          <w:lang w:eastAsia="en-AU"/>
        </w:rPr>
      </w:pPr>
      <w:hyperlink w:anchor="_Toc28340155" w:history="1">
        <w:r w:rsidRPr="00703B29">
          <w:rPr>
            <w:rStyle w:val="Hyperlink"/>
          </w:rPr>
          <w:t>2.</w:t>
        </w:r>
        <w:r>
          <w:rPr>
            <w:rFonts w:asciiTheme="minorHAnsi" w:eastAsiaTheme="minorEastAsia" w:hAnsiTheme="minorHAnsi" w:cstheme="minorBidi"/>
            <w:b w:val="0"/>
            <w:sz w:val="22"/>
            <w:szCs w:val="22"/>
            <w:lang w:eastAsia="en-AU"/>
          </w:rPr>
          <w:tab/>
        </w:r>
        <w:r w:rsidRPr="00703B29">
          <w:rPr>
            <w:rStyle w:val="Hyperlink"/>
          </w:rPr>
          <w:t>Reform of Victoria’s clinical mental health services 2018–2023</w:t>
        </w:r>
        <w:r>
          <w:rPr>
            <w:webHidden/>
          </w:rPr>
          <w:tab/>
        </w:r>
        <w:r>
          <w:rPr>
            <w:webHidden/>
          </w:rPr>
          <w:fldChar w:fldCharType="begin"/>
        </w:r>
        <w:r>
          <w:rPr>
            <w:webHidden/>
          </w:rPr>
          <w:instrText xml:space="preserve"> PAGEREF _Toc28340155 \h </w:instrText>
        </w:r>
        <w:r>
          <w:rPr>
            <w:webHidden/>
          </w:rPr>
        </w:r>
        <w:r>
          <w:rPr>
            <w:webHidden/>
          </w:rPr>
          <w:fldChar w:fldCharType="separate"/>
        </w:r>
        <w:r>
          <w:rPr>
            <w:webHidden/>
          </w:rPr>
          <w:t>29</w:t>
        </w:r>
        <w:r>
          <w:rPr>
            <w:webHidden/>
          </w:rPr>
          <w:fldChar w:fldCharType="end"/>
        </w:r>
      </w:hyperlink>
    </w:p>
    <w:p w14:paraId="5C46041D" w14:textId="0600A8C9" w:rsidR="00235E13" w:rsidRDefault="00235E13">
      <w:pPr>
        <w:pStyle w:val="TOC2"/>
        <w:rPr>
          <w:rFonts w:asciiTheme="minorHAnsi" w:eastAsiaTheme="minorEastAsia" w:hAnsiTheme="minorHAnsi" w:cstheme="minorBidi"/>
          <w:sz w:val="22"/>
          <w:szCs w:val="22"/>
          <w:lang w:eastAsia="en-AU"/>
        </w:rPr>
      </w:pPr>
      <w:hyperlink w:anchor="_Toc28340156" w:history="1">
        <w:r w:rsidRPr="00703B29">
          <w:rPr>
            <w:rStyle w:val="Hyperlink"/>
          </w:rPr>
          <w:t>Victoria’s 2018–19 State Budget</w:t>
        </w:r>
        <w:r>
          <w:rPr>
            <w:webHidden/>
          </w:rPr>
          <w:tab/>
        </w:r>
        <w:r>
          <w:rPr>
            <w:webHidden/>
          </w:rPr>
          <w:fldChar w:fldCharType="begin"/>
        </w:r>
        <w:r>
          <w:rPr>
            <w:webHidden/>
          </w:rPr>
          <w:instrText xml:space="preserve"> PAGEREF _Toc28340156 \h </w:instrText>
        </w:r>
        <w:r>
          <w:rPr>
            <w:webHidden/>
          </w:rPr>
        </w:r>
        <w:r>
          <w:rPr>
            <w:webHidden/>
          </w:rPr>
          <w:fldChar w:fldCharType="separate"/>
        </w:r>
        <w:r>
          <w:rPr>
            <w:webHidden/>
          </w:rPr>
          <w:t>29</w:t>
        </w:r>
        <w:r>
          <w:rPr>
            <w:webHidden/>
          </w:rPr>
          <w:fldChar w:fldCharType="end"/>
        </w:r>
      </w:hyperlink>
    </w:p>
    <w:p w14:paraId="0518A747" w14:textId="5889636F" w:rsidR="00235E13" w:rsidRDefault="00235E13">
      <w:pPr>
        <w:pStyle w:val="TOC2"/>
        <w:rPr>
          <w:rFonts w:asciiTheme="minorHAnsi" w:eastAsiaTheme="minorEastAsia" w:hAnsiTheme="minorHAnsi" w:cstheme="minorBidi"/>
          <w:sz w:val="22"/>
          <w:szCs w:val="22"/>
          <w:lang w:eastAsia="en-AU"/>
        </w:rPr>
      </w:pPr>
      <w:hyperlink w:anchor="_Toc28340157" w:history="1">
        <w:r w:rsidRPr="00703B29">
          <w:rPr>
            <w:rStyle w:val="Hyperlink"/>
          </w:rPr>
          <w:t>What we will do</w:t>
        </w:r>
        <w:r>
          <w:rPr>
            <w:webHidden/>
          </w:rPr>
          <w:tab/>
        </w:r>
        <w:r>
          <w:rPr>
            <w:webHidden/>
          </w:rPr>
          <w:fldChar w:fldCharType="begin"/>
        </w:r>
        <w:r>
          <w:rPr>
            <w:webHidden/>
          </w:rPr>
          <w:instrText xml:space="preserve"> PAGEREF _Toc28340157 \h </w:instrText>
        </w:r>
        <w:r>
          <w:rPr>
            <w:webHidden/>
          </w:rPr>
        </w:r>
        <w:r>
          <w:rPr>
            <w:webHidden/>
          </w:rPr>
          <w:fldChar w:fldCharType="separate"/>
        </w:r>
        <w:r>
          <w:rPr>
            <w:webHidden/>
          </w:rPr>
          <w:t>30</w:t>
        </w:r>
        <w:r>
          <w:rPr>
            <w:webHidden/>
          </w:rPr>
          <w:fldChar w:fldCharType="end"/>
        </w:r>
      </w:hyperlink>
    </w:p>
    <w:p w14:paraId="1DD600FF" w14:textId="0376F0F4" w:rsidR="00235E13" w:rsidRDefault="00235E13">
      <w:pPr>
        <w:pStyle w:val="TOC2"/>
        <w:rPr>
          <w:rFonts w:asciiTheme="minorHAnsi" w:eastAsiaTheme="minorEastAsia" w:hAnsiTheme="minorHAnsi" w:cstheme="minorBidi"/>
          <w:sz w:val="22"/>
          <w:szCs w:val="22"/>
          <w:lang w:eastAsia="en-AU"/>
        </w:rPr>
      </w:pPr>
      <w:hyperlink w:anchor="_Toc28340158" w:history="1">
        <w:r w:rsidRPr="00703B29">
          <w:rPr>
            <w:rStyle w:val="Hyperlink"/>
          </w:rPr>
          <w:t>How we will do it</w:t>
        </w:r>
        <w:r>
          <w:rPr>
            <w:webHidden/>
          </w:rPr>
          <w:tab/>
        </w:r>
        <w:r>
          <w:rPr>
            <w:webHidden/>
          </w:rPr>
          <w:fldChar w:fldCharType="begin"/>
        </w:r>
        <w:r>
          <w:rPr>
            <w:webHidden/>
          </w:rPr>
          <w:instrText xml:space="preserve"> PAGEREF _Toc28340158 \h </w:instrText>
        </w:r>
        <w:r>
          <w:rPr>
            <w:webHidden/>
          </w:rPr>
        </w:r>
        <w:r>
          <w:rPr>
            <w:webHidden/>
          </w:rPr>
          <w:fldChar w:fldCharType="separate"/>
        </w:r>
        <w:r>
          <w:rPr>
            <w:webHidden/>
          </w:rPr>
          <w:t>30</w:t>
        </w:r>
        <w:r>
          <w:rPr>
            <w:webHidden/>
          </w:rPr>
          <w:fldChar w:fldCharType="end"/>
        </w:r>
      </w:hyperlink>
    </w:p>
    <w:p w14:paraId="35F104F0" w14:textId="134DBFC3" w:rsidR="00235E13" w:rsidRDefault="00235E13">
      <w:pPr>
        <w:pStyle w:val="TOC1"/>
        <w:tabs>
          <w:tab w:val="left" w:pos="567"/>
        </w:tabs>
        <w:rPr>
          <w:rFonts w:asciiTheme="minorHAnsi" w:eastAsiaTheme="minorEastAsia" w:hAnsiTheme="minorHAnsi" w:cstheme="minorBidi"/>
          <w:b w:val="0"/>
          <w:sz w:val="22"/>
          <w:szCs w:val="22"/>
          <w:lang w:eastAsia="en-AU"/>
        </w:rPr>
      </w:pPr>
      <w:hyperlink w:anchor="_Toc28340159" w:history="1">
        <w:r w:rsidRPr="00703B29">
          <w:rPr>
            <w:rStyle w:val="Hyperlink"/>
          </w:rPr>
          <w:t>3.</w:t>
        </w:r>
        <w:r>
          <w:rPr>
            <w:rFonts w:asciiTheme="minorHAnsi" w:eastAsiaTheme="minorEastAsia" w:hAnsiTheme="minorHAnsi" w:cstheme="minorBidi"/>
            <w:b w:val="0"/>
            <w:sz w:val="22"/>
            <w:szCs w:val="22"/>
            <w:lang w:eastAsia="en-AU"/>
          </w:rPr>
          <w:tab/>
        </w:r>
        <w:r w:rsidRPr="00703B29">
          <w:rPr>
            <w:rStyle w:val="Hyperlink"/>
          </w:rPr>
          <w:t>Year in review – public mental health services in 2017–18</w:t>
        </w:r>
        <w:r>
          <w:rPr>
            <w:webHidden/>
          </w:rPr>
          <w:tab/>
        </w:r>
        <w:r>
          <w:rPr>
            <w:webHidden/>
          </w:rPr>
          <w:fldChar w:fldCharType="begin"/>
        </w:r>
        <w:r>
          <w:rPr>
            <w:webHidden/>
          </w:rPr>
          <w:instrText xml:space="preserve"> PAGEREF _Toc28340159 \h </w:instrText>
        </w:r>
        <w:r>
          <w:rPr>
            <w:webHidden/>
          </w:rPr>
        </w:r>
        <w:r>
          <w:rPr>
            <w:webHidden/>
          </w:rPr>
          <w:fldChar w:fldCharType="separate"/>
        </w:r>
        <w:r>
          <w:rPr>
            <w:webHidden/>
          </w:rPr>
          <w:t>34</w:t>
        </w:r>
        <w:r>
          <w:rPr>
            <w:webHidden/>
          </w:rPr>
          <w:fldChar w:fldCharType="end"/>
        </w:r>
      </w:hyperlink>
    </w:p>
    <w:p w14:paraId="7A573DE8" w14:textId="4ED2598E" w:rsidR="00235E13" w:rsidRDefault="00235E13">
      <w:pPr>
        <w:pStyle w:val="TOC2"/>
        <w:rPr>
          <w:rFonts w:asciiTheme="minorHAnsi" w:eastAsiaTheme="minorEastAsia" w:hAnsiTheme="minorHAnsi" w:cstheme="minorBidi"/>
          <w:sz w:val="22"/>
          <w:szCs w:val="22"/>
          <w:lang w:eastAsia="en-AU"/>
        </w:rPr>
      </w:pPr>
      <w:hyperlink w:anchor="_Toc28340160" w:history="1">
        <w:r w:rsidRPr="00703B29">
          <w:rPr>
            <w:rStyle w:val="Hyperlink"/>
          </w:rPr>
          <w:t>Overview</w:t>
        </w:r>
        <w:r>
          <w:rPr>
            <w:webHidden/>
          </w:rPr>
          <w:tab/>
        </w:r>
        <w:r>
          <w:rPr>
            <w:webHidden/>
          </w:rPr>
          <w:fldChar w:fldCharType="begin"/>
        </w:r>
        <w:r>
          <w:rPr>
            <w:webHidden/>
          </w:rPr>
          <w:instrText xml:space="preserve"> PAGEREF _Toc28340160 \h </w:instrText>
        </w:r>
        <w:r>
          <w:rPr>
            <w:webHidden/>
          </w:rPr>
        </w:r>
        <w:r>
          <w:rPr>
            <w:webHidden/>
          </w:rPr>
          <w:fldChar w:fldCharType="separate"/>
        </w:r>
        <w:r>
          <w:rPr>
            <w:webHidden/>
          </w:rPr>
          <w:t>34</w:t>
        </w:r>
        <w:r>
          <w:rPr>
            <w:webHidden/>
          </w:rPr>
          <w:fldChar w:fldCharType="end"/>
        </w:r>
      </w:hyperlink>
    </w:p>
    <w:p w14:paraId="7FEEDB7F" w14:textId="00B99326" w:rsidR="00235E13" w:rsidRDefault="00235E13">
      <w:pPr>
        <w:pStyle w:val="TOC2"/>
        <w:rPr>
          <w:rFonts w:asciiTheme="minorHAnsi" w:eastAsiaTheme="minorEastAsia" w:hAnsiTheme="minorHAnsi" w:cstheme="minorBidi"/>
          <w:sz w:val="22"/>
          <w:szCs w:val="22"/>
          <w:lang w:eastAsia="en-AU"/>
        </w:rPr>
      </w:pPr>
      <w:hyperlink w:anchor="_Toc28340161" w:history="1">
        <w:r w:rsidRPr="00703B29">
          <w:rPr>
            <w:rStyle w:val="Hyperlink"/>
          </w:rPr>
          <w:t>Child and adolescent mental health services</w:t>
        </w:r>
        <w:r>
          <w:rPr>
            <w:webHidden/>
          </w:rPr>
          <w:tab/>
        </w:r>
        <w:r>
          <w:rPr>
            <w:webHidden/>
          </w:rPr>
          <w:fldChar w:fldCharType="begin"/>
        </w:r>
        <w:r>
          <w:rPr>
            <w:webHidden/>
          </w:rPr>
          <w:instrText xml:space="preserve"> PAGEREF _Toc28340161 \h </w:instrText>
        </w:r>
        <w:r>
          <w:rPr>
            <w:webHidden/>
          </w:rPr>
        </w:r>
        <w:r>
          <w:rPr>
            <w:webHidden/>
          </w:rPr>
          <w:fldChar w:fldCharType="separate"/>
        </w:r>
        <w:r>
          <w:rPr>
            <w:webHidden/>
          </w:rPr>
          <w:t>38</w:t>
        </w:r>
        <w:r>
          <w:rPr>
            <w:webHidden/>
          </w:rPr>
          <w:fldChar w:fldCharType="end"/>
        </w:r>
      </w:hyperlink>
    </w:p>
    <w:p w14:paraId="09679ED6" w14:textId="2F99C8F2" w:rsidR="00235E13" w:rsidRDefault="00235E13">
      <w:pPr>
        <w:pStyle w:val="TOC2"/>
        <w:rPr>
          <w:rFonts w:asciiTheme="minorHAnsi" w:eastAsiaTheme="minorEastAsia" w:hAnsiTheme="minorHAnsi" w:cstheme="minorBidi"/>
          <w:sz w:val="22"/>
          <w:szCs w:val="22"/>
          <w:lang w:eastAsia="en-AU"/>
        </w:rPr>
      </w:pPr>
      <w:hyperlink w:anchor="_Toc28340162" w:history="1">
        <w:r w:rsidRPr="00703B29">
          <w:rPr>
            <w:rStyle w:val="Hyperlink"/>
          </w:rPr>
          <w:t>Adult mental health services</w:t>
        </w:r>
        <w:r>
          <w:rPr>
            <w:webHidden/>
          </w:rPr>
          <w:tab/>
        </w:r>
        <w:r>
          <w:rPr>
            <w:webHidden/>
          </w:rPr>
          <w:fldChar w:fldCharType="begin"/>
        </w:r>
        <w:r>
          <w:rPr>
            <w:webHidden/>
          </w:rPr>
          <w:instrText xml:space="preserve"> PAGEREF _Toc28340162 \h </w:instrText>
        </w:r>
        <w:r>
          <w:rPr>
            <w:webHidden/>
          </w:rPr>
        </w:r>
        <w:r>
          <w:rPr>
            <w:webHidden/>
          </w:rPr>
          <w:fldChar w:fldCharType="separate"/>
        </w:r>
        <w:r>
          <w:rPr>
            <w:webHidden/>
          </w:rPr>
          <w:t>39</w:t>
        </w:r>
        <w:r>
          <w:rPr>
            <w:webHidden/>
          </w:rPr>
          <w:fldChar w:fldCharType="end"/>
        </w:r>
      </w:hyperlink>
    </w:p>
    <w:p w14:paraId="6745296B" w14:textId="7F281DA5" w:rsidR="00235E13" w:rsidRDefault="00235E13">
      <w:pPr>
        <w:pStyle w:val="TOC2"/>
        <w:rPr>
          <w:rFonts w:asciiTheme="minorHAnsi" w:eastAsiaTheme="minorEastAsia" w:hAnsiTheme="minorHAnsi" w:cstheme="minorBidi"/>
          <w:sz w:val="22"/>
          <w:szCs w:val="22"/>
          <w:lang w:eastAsia="en-AU"/>
        </w:rPr>
      </w:pPr>
      <w:hyperlink w:anchor="_Toc28340163" w:history="1">
        <w:r w:rsidRPr="00703B29">
          <w:rPr>
            <w:rStyle w:val="Hyperlink"/>
          </w:rPr>
          <w:t>Aged persons mental health services</w:t>
        </w:r>
        <w:r>
          <w:rPr>
            <w:webHidden/>
          </w:rPr>
          <w:tab/>
        </w:r>
        <w:r>
          <w:rPr>
            <w:webHidden/>
          </w:rPr>
          <w:fldChar w:fldCharType="begin"/>
        </w:r>
        <w:r>
          <w:rPr>
            <w:webHidden/>
          </w:rPr>
          <w:instrText xml:space="preserve"> PAGEREF _Toc28340163 \h </w:instrText>
        </w:r>
        <w:r>
          <w:rPr>
            <w:webHidden/>
          </w:rPr>
        </w:r>
        <w:r>
          <w:rPr>
            <w:webHidden/>
          </w:rPr>
          <w:fldChar w:fldCharType="separate"/>
        </w:r>
        <w:r>
          <w:rPr>
            <w:webHidden/>
          </w:rPr>
          <w:t>41</w:t>
        </w:r>
        <w:r>
          <w:rPr>
            <w:webHidden/>
          </w:rPr>
          <w:fldChar w:fldCharType="end"/>
        </w:r>
      </w:hyperlink>
    </w:p>
    <w:p w14:paraId="6352D81E" w14:textId="08AAF551" w:rsidR="00235E13" w:rsidRDefault="00235E13">
      <w:pPr>
        <w:pStyle w:val="TOC2"/>
        <w:rPr>
          <w:rFonts w:asciiTheme="minorHAnsi" w:eastAsiaTheme="minorEastAsia" w:hAnsiTheme="minorHAnsi" w:cstheme="minorBidi"/>
          <w:sz w:val="22"/>
          <w:szCs w:val="22"/>
          <w:lang w:eastAsia="en-AU"/>
        </w:rPr>
      </w:pPr>
      <w:hyperlink w:anchor="_Toc28340164" w:history="1">
        <w:r w:rsidRPr="00703B29">
          <w:rPr>
            <w:rStyle w:val="Hyperlink"/>
          </w:rPr>
          <w:t>Specialist mental health services</w:t>
        </w:r>
        <w:r>
          <w:rPr>
            <w:webHidden/>
          </w:rPr>
          <w:tab/>
        </w:r>
        <w:r>
          <w:rPr>
            <w:webHidden/>
          </w:rPr>
          <w:fldChar w:fldCharType="begin"/>
        </w:r>
        <w:r>
          <w:rPr>
            <w:webHidden/>
          </w:rPr>
          <w:instrText xml:space="preserve"> PAGEREF _Toc28340164 \h </w:instrText>
        </w:r>
        <w:r>
          <w:rPr>
            <w:webHidden/>
          </w:rPr>
        </w:r>
        <w:r>
          <w:rPr>
            <w:webHidden/>
          </w:rPr>
          <w:fldChar w:fldCharType="separate"/>
        </w:r>
        <w:r>
          <w:rPr>
            <w:webHidden/>
          </w:rPr>
          <w:t>41</w:t>
        </w:r>
        <w:r>
          <w:rPr>
            <w:webHidden/>
          </w:rPr>
          <w:fldChar w:fldCharType="end"/>
        </w:r>
      </w:hyperlink>
    </w:p>
    <w:p w14:paraId="7C39E677" w14:textId="03AD1E1D" w:rsidR="00235E13" w:rsidRDefault="00235E13">
      <w:pPr>
        <w:pStyle w:val="TOC2"/>
        <w:rPr>
          <w:rFonts w:asciiTheme="minorHAnsi" w:eastAsiaTheme="minorEastAsia" w:hAnsiTheme="minorHAnsi" w:cstheme="minorBidi"/>
          <w:sz w:val="22"/>
          <w:szCs w:val="22"/>
          <w:lang w:eastAsia="en-AU"/>
        </w:rPr>
      </w:pPr>
      <w:hyperlink w:anchor="_Toc28340165" w:history="1">
        <w:r w:rsidRPr="00703B29">
          <w:rPr>
            <w:rStyle w:val="Hyperlink"/>
          </w:rPr>
          <w:t>Forensic mental health services</w:t>
        </w:r>
        <w:r>
          <w:rPr>
            <w:webHidden/>
          </w:rPr>
          <w:tab/>
        </w:r>
        <w:r>
          <w:rPr>
            <w:webHidden/>
          </w:rPr>
          <w:fldChar w:fldCharType="begin"/>
        </w:r>
        <w:r>
          <w:rPr>
            <w:webHidden/>
          </w:rPr>
          <w:instrText xml:space="preserve"> PAGEREF _Toc28340165 \h </w:instrText>
        </w:r>
        <w:r>
          <w:rPr>
            <w:webHidden/>
          </w:rPr>
        </w:r>
        <w:r>
          <w:rPr>
            <w:webHidden/>
          </w:rPr>
          <w:fldChar w:fldCharType="separate"/>
        </w:r>
        <w:r>
          <w:rPr>
            <w:webHidden/>
          </w:rPr>
          <w:t>42</w:t>
        </w:r>
        <w:r>
          <w:rPr>
            <w:webHidden/>
          </w:rPr>
          <w:fldChar w:fldCharType="end"/>
        </w:r>
      </w:hyperlink>
    </w:p>
    <w:p w14:paraId="544B4ED4" w14:textId="67A60C6D" w:rsidR="00235E13" w:rsidRDefault="00235E13">
      <w:pPr>
        <w:pStyle w:val="TOC2"/>
        <w:rPr>
          <w:rFonts w:asciiTheme="minorHAnsi" w:eastAsiaTheme="minorEastAsia" w:hAnsiTheme="minorHAnsi" w:cstheme="minorBidi"/>
          <w:sz w:val="22"/>
          <w:szCs w:val="22"/>
          <w:lang w:eastAsia="en-AU"/>
        </w:rPr>
      </w:pPr>
      <w:hyperlink w:anchor="_Toc28340166" w:history="1">
        <w:r w:rsidRPr="00703B29">
          <w:rPr>
            <w:rStyle w:val="Hyperlink"/>
          </w:rPr>
          <w:t>Seclusion and restraint</w:t>
        </w:r>
        <w:r>
          <w:rPr>
            <w:webHidden/>
          </w:rPr>
          <w:tab/>
        </w:r>
        <w:r>
          <w:rPr>
            <w:webHidden/>
          </w:rPr>
          <w:fldChar w:fldCharType="begin"/>
        </w:r>
        <w:r>
          <w:rPr>
            <w:webHidden/>
          </w:rPr>
          <w:instrText xml:space="preserve"> PAGEREF _Toc28340166 \h </w:instrText>
        </w:r>
        <w:r>
          <w:rPr>
            <w:webHidden/>
          </w:rPr>
        </w:r>
        <w:r>
          <w:rPr>
            <w:webHidden/>
          </w:rPr>
          <w:fldChar w:fldCharType="separate"/>
        </w:r>
        <w:r>
          <w:rPr>
            <w:webHidden/>
          </w:rPr>
          <w:t>42</w:t>
        </w:r>
        <w:r>
          <w:rPr>
            <w:webHidden/>
          </w:rPr>
          <w:fldChar w:fldCharType="end"/>
        </w:r>
      </w:hyperlink>
    </w:p>
    <w:p w14:paraId="681BEE8F" w14:textId="2A772131" w:rsidR="00235E13" w:rsidRDefault="00235E13">
      <w:pPr>
        <w:pStyle w:val="TOC1"/>
        <w:rPr>
          <w:rFonts w:asciiTheme="minorHAnsi" w:eastAsiaTheme="minorEastAsia" w:hAnsiTheme="minorHAnsi" w:cstheme="minorBidi"/>
          <w:b w:val="0"/>
          <w:sz w:val="22"/>
          <w:szCs w:val="22"/>
          <w:lang w:eastAsia="en-AU"/>
        </w:rPr>
      </w:pPr>
      <w:hyperlink w:anchor="_Toc28340167" w:history="1">
        <w:r w:rsidRPr="00703B29">
          <w:rPr>
            <w:rStyle w:val="Hyperlink"/>
          </w:rPr>
          <w:t>Appendix 1: Outcomes framework</w:t>
        </w:r>
        <w:r>
          <w:rPr>
            <w:webHidden/>
          </w:rPr>
          <w:tab/>
        </w:r>
        <w:r>
          <w:rPr>
            <w:webHidden/>
          </w:rPr>
          <w:fldChar w:fldCharType="begin"/>
        </w:r>
        <w:r>
          <w:rPr>
            <w:webHidden/>
          </w:rPr>
          <w:instrText xml:space="preserve"> PAGEREF _Toc28340167 \h </w:instrText>
        </w:r>
        <w:r>
          <w:rPr>
            <w:webHidden/>
          </w:rPr>
        </w:r>
        <w:r>
          <w:rPr>
            <w:webHidden/>
          </w:rPr>
          <w:fldChar w:fldCharType="separate"/>
        </w:r>
        <w:r>
          <w:rPr>
            <w:webHidden/>
          </w:rPr>
          <w:t>44</w:t>
        </w:r>
        <w:r>
          <w:rPr>
            <w:webHidden/>
          </w:rPr>
          <w:fldChar w:fldCharType="end"/>
        </w:r>
      </w:hyperlink>
    </w:p>
    <w:p w14:paraId="129BD219" w14:textId="5C68CB87" w:rsidR="00235E13" w:rsidRDefault="00235E13">
      <w:pPr>
        <w:pStyle w:val="TOC1"/>
        <w:rPr>
          <w:rFonts w:asciiTheme="minorHAnsi" w:eastAsiaTheme="minorEastAsia" w:hAnsiTheme="minorHAnsi" w:cstheme="minorBidi"/>
          <w:b w:val="0"/>
          <w:sz w:val="22"/>
          <w:szCs w:val="22"/>
          <w:lang w:eastAsia="en-AU"/>
        </w:rPr>
      </w:pPr>
      <w:hyperlink w:anchor="_Toc28340168" w:history="1">
        <w:r w:rsidRPr="00703B29">
          <w:rPr>
            <w:rStyle w:val="Hyperlink"/>
          </w:rPr>
          <w:t>Appendix 2: Public mental health service data</w:t>
        </w:r>
        <w:r>
          <w:rPr>
            <w:webHidden/>
          </w:rPr>
          <w:tab/>
        </w:r>
        <w:r>
          <w:rPr>
            <w:webHidden/>
          </w:rPr>
          <w:fldChar w:fldCharType="begin"/>
        </w:r>
        <w:r>
          <w:rPr>
            <w:webHidden/>
          </w:rPr>
          <w:instrText xml:space="preserve"> PAGEREF _Toc28340168 \h </w:instrText>
        </w:r>
        <w:r>
          <w:rPr>
            <w:webHidden/>
          </w:rPr>
        </w:r>
        <w:r>
          <w:rPr>
            <w:webHidden/>
          </w:rPr>
          <w:fldChar w:fldCharType="separate"/>
        </w:r>
        <w:r>
          <w:rPr>
            <w:webHidden/>
          </w:rPr>
          <w:t>49</w:t>
        </w:r>
        <w:r>
          <w:rPr>
            <w:webHidden/>
          </w:rPr>
          <w:fldChar w:fldCharType="end"/>
        </w:r>
      </w:hyperlink>
    </w:p>
    <w:p w14:paraId="7ED7BD01" w14:textId="27502C25" w:rsidR="00235E13" w:rsidRDefault="00235E13">
      <w:pPr>
        <w:pStyle w:val="TOC1"/>
        <w:rPr>
          <w:rFonts w:asciiTheme="minorHAnsi" w:eastAsiaTheme="minorEastAsia" w:hAnsiTheme="minorHAnsi" w:cstheme="minorBidi"/>
          <w:b w:val="0"/>
          <w:sz w:val="22"/>
          <w:szCs w:val="22"/>
          <w:lang w:eastAsia="en-AU"/>
        </w:rPr>
      </w:pPr>
      <w:hyperlink w:anchor="_Toc28340169" w:history="1">
        <w:r w:rsidRPr="00703B29">
          <w:rPr>
            <w:rStyle w:val="Hyperlink"/>
          </w:rPr>
          <w:t>Appendix 3: Victoria’s public mental health system</w:t>
        </w:r>
        <w:r>
          <w:rPr>
            <w:webHidden/>
          </w:rPr>
          <w:tab/>
        </w:r>
        <w:r>
          <w:rPr>
            <w:webHidden/>
          </w:rPr>
          <w:fldChar w:fldCharType="begin"/>
        </w:r>
        <w:r>
          <w:rPr>
            <w:webHidden/>
          </w:rPr>
          <w:instrText xml:space="preserve"> PAGEREF _Toc28340169 \h </w:instrText>
        </w:r>
        <w:r>
          <w:rPr>
            <w:webHidden/>
          </w:rPr>
        </w:r>
        <w:r>
          <w:rPr>
            <w:webHidden/>
          </w:rPr>
          <w:fldChar w:fldCharType="separate"/>
        </w:r>
        <w:r>
          <w:rPr>
            <w:webHidden/>
          </w:rPr>
          <w:t>61</w:t>
        </w:r>
        <w:r>
          <w:rPr>
            <w:webHidden/>
          </w:rPr>
          <w:fldChar w:fldCharType="end"/>
        </w:r>
      </w:hyperlink>
    </w:p>
    <w:p w14:paraId="357ACAD9" w14:textId="1AD48C5C" w:rsidR="00235E13" w:rsidRDefault="00235E13">
      <w:pPr>
        <w:pStyle w:val="TOC2"/>
        <w:rPr>
          <w:rFonts w:asciiTheme="minorHAnsi" w:eastAsiaTheme="minorEastAsia" w:hAnsiTheme="minorHAnsi" w:cstheme="minorBidi"/>
          <w:sz w:val="22"/>
          <w:szCs w:val="22"/>
          <w:lang w:eastAsia="en-AU"/>
        </w:rPr>
      </w:pPr>
      <w:hyperlink w:anchor="_Toc28340170" w:history="1">
        <w:r w:rsidRPr="00703B29">
          <w:rPr>
            <w:rStyle w:val="Hyperlink"/>
          </w:rPr>
          <w:t>Area-based clinical services</w:t>
        </w:r>
        <w:r>
          <w:rPr>
            <w:webHidden/>
          </w:rPr>
          <w:tab/>
        </w:r>
        <w:r>
          <w:rPr>
            <w:webHidden/>
          </w:rPr>
          <w:fldChar w:fldCharType="begin"/>
        </w:r>
        <w:r>
          <w:rPr>
            <w:webHidden/>
          </w:rPr>
          <w:instrText xml:space="preserve"> PAGEREF _Toc28340170 \h </w:instrText>
        </w:r>
        <w:r>
          <w:rPr>
            <w:webHidden/>
          </w:rPr>
        </w:r>
        <w:r>
          <w:rPr>
            <w:webHidden/>
          </w:rPr>
          <w:fldChar w:fldCharType="separate"/>
        </w:r>
        <w:r>
          <w:rPr>
            <w:webHidden/>
          </w:rPr>
          <w:t>61</w:t>
        </w:r>
        <w:r>
          <w:rPr>
            <w:webHidden/>
          </w:rPr>
          <w:fldChar w:fldCharType="end"/>
        </w:r>
      </w:hyperlink>
    </w:p>
    <w:p w14:paraId="42C4A77F" w14:textId="0BFA48A6" w:rsidR="00235E13" w:rsidRDefault="00235E13">
      <w:pPr>
        <w:pStyle w:val="TOC2"/>
        <w:rPr>
          <w:rFonts w:asciiTheme="minorHAnsi" w:eastAsiaTheme="minorEastAsia" w:hAnsiTheme="minorHAnsi" w:cstheme="minorBidi"/>
          <w:sz w:val="22"/>
          <w:szCs w:val="22"/>
          <w:lang w:eastAsia="en-AU"/>
        </w:rPr>
      </w:pPr>
      <w:hyperlink w:anchor="_Toc28340171" w:history="1">
        <w:r w:rsidRPr="00703B29">
          <w:rPr>
            <w:rStyle w:val="Hyperlink"/>
          </w:rPr>
          <w:t>Statewide specialist services</w:t>
        </w:r>
        <w:r>
          <w:rPr>
            <w:webHidden/>
          </w:rPr>
          <w:tab/>
        </w:r>
        <w:r>
          <w:rPr>
            <w:webHidden/>
          </w:rPr>
          <w:fldChar w:fldCharType="begin"/>
        </w:r>
        <w:r>
          <w:rPr>
            <w:webHidden/>
          </w:rPr>
          <w:instrText xml:space="preserve"> PAGEREF _Toc28340171 \h </w:instrText>
        </w:r>
        <w:r>
          <w:rPr>
            <w:webHidden/>
          </w:rPr>
        </w:r>
        <w:r>
          <w:rPr>
            <w:webHidden/>
          </w:rPr>
          <w:fldChar w:fldCharType="separate"/>
        </w:r>
        <w:r>
          <w:rPr>
            <w:webHidden/>
          </w:rPr>
          <w:t>61</w:t>
        </w:r>
        <w:r>
          <w:rPr>
            <w:webHidden/>
          </w:rPr>
          <w:fldChar w:fldCharType="end"/>
        </w:r>
      </w:hyperlink>
    </w:p>
    <w:p w14:paraId="4D2204C7" w14:textId="78C37A44" w:rsidR="003E2E12" w:rsidRPr="009F0C73" w:rsidRDefault="00E15DA9" w:rsidP="00213772">
      <w:pPr>
        <w:pStyle w:val="TOC2"/>
        <w:rPr>
          <w:noProof w:val="0"/>
        </w:rPr>
      </w:pPr>
      <w:r w:rsidRPr="009F0C73">
        <w:rPr>
          <w:noProof w:val="0"/>
        </w:rPr>
        <w:fldChar w:fldCharType="end"/>
      </w:r>
    </w:p>
    <w:p w14:paraId="38BCE87C" w14:textId="751B51A0" w:rsidR="00E30414" w:rsidRPr="009F0C73" w:rsidRDefault="003E2E12" w:rsidP="00143E87">
      <w:pPr>
        <w:pStyle w:val="Heading1"/>
      </w:pPr>
      <w:r w:rsidRPr="009F0C73">
        <w:br w:type="page"/>
      </w:r>
      <w:bookmarkStart w:id="2" w:name="_Toc28340143"/>
      <w:r w:rsidR="00425F9A" w:rsidRPr="009F0C73">
        <w:lastRenderedPageBreak/>
        <w:t>Secretary’s foreword</w:t>
      </w:r>
      <w:bookmarkEnd w:id="2"/>
    </w:p>
    <w:p w14:paraId="55E4C8EA" w14:textId="251809FD" w:rsidR="00957494" w:rsidRPr="00957494" w:rsidRDefault="00957494" w:rsidP="00957494">
      <w:pPr>
        <w:pStyle w:val="DHHSbody"/>
      </w:pPr>
      <w:bookmarkStart w:id="3" w:name="Secretary’s_foreword_"/>
      <w:bookmarkEnd w:id="3"/>
      <w:r w:rsidRPr="00957494">
        <w:t xml:space="preserve">This is our third </w:t>
      </w:r>
      <w:r w:rsidRPr="00235E13">
        <w:rPr>
          <w:i/>
        </w:rPr>
        <w:t>Victoria’s mental health services annual report</w:t>
      </w:r>
      <w:r w:rsidRPr="00957494">
        <w:t xml:space="preserve"> to the Victorian Parliament and the community about mental health service delivery. This report focuses on Victoria’s state-funded mental health services and the people who accessed them for treatment, care and support in 2017–18.</w:t>
      </w:r>
    </w:p>
    <w:p w14:paraId="2CDBCF7E" w14:textId="11E6030D" w:rsidR="00957494" w:rsidRPr="00957494" w:rsidRDefault="00957494" w:rsidP="00957494">
      <w:pPr>
        <w:pStyle w:val="DHHSbody"/>
      </w:pPr>
      <w:r w:rsidRPr="00957494">
        <w:t xml:space="preserve">I am pleased to highlight progress over the past year in implementing key initiatives focused on improving mental health outcomes under </w:t>
      </w:r>
      <w:r w:rsidRPr="00235E13">
        <w:rPr>
          <w:i/>
        </w:rPr>
        <w:t>Victoria’s 10-year mental health plan</w:t>
      </w:r>
      <w:r w:rsidRPr="00957494">
        <w:t>. I am particularly encouraged by our progress towards halving the rate of suicide in Victoria by 2025. Major suicide prevention initiatives, including place-based trials</w:t>
      </w:r>
      <w:r>
        <w:t xml:space="preserve"> </w:t>
      </w:r>
      <w:r w:rsidRPr="00957494">
        <w:t>in local communities and our Hospital Outreach Post-suicidal Engagement (HOPE) programs, are saving lives. I take great heart that more than 500 Victorians have been supported via HOPE, and that communities across the state are coming together to discuss suicide and identify local prevention solutions. HOPE initiatives will start in a further six sites in 2018–19.</w:t>
      </w:r>
    </w:p>
    <w:p w14:paraId="18AB5EB1" w14:textId="2DC50932" w:rsidR="00957494" w:rsidRPr="00957494" w:rsidRDefault="00957494" w:rsidP="00957494">
      <w:pPr>
        <w:pStyle w:val="DHHSbody"/>
      </w:pPr>
      <w:r w:rsidRPr="00957494">
        <w:t>During 2017–18 there has been sustained focus on improving system reporting compliance, and I would like to thank mental health services for their support and commitment in this area. We have observed substantial increases in overall client numbers and reported contacts across all mental health service types. Our data</w:t>
      </w:r>
      <w:r>
        <w:t xml:space="preserve"> </w:t>
      </w:r>
      <w:r w:rsidRPr="00957494">
        <w:t>and systems continue to develop and improve, and this helped inform extensive work undertaken throughout 2017–18 to further reform our clinical mental health services.</w:t>
      </w:r>
    </w:p>
    <w:p w14:paraId="26056493" w14:textId="2F2BC609" w:rsidR="007B1263" w:rsidRPr="00521F5C" w:rsidRDefault="00957494" w:rsidP="00957494">
      <w:pPr>
        <w:pStyle w:val="DHHSbody"/>
      </w:pPr>
      <w:r w:rsidRPr="00957494">
        <w:t>I really value hearing from those who experience our service system – our consumers, carers, clinicians and peer workers. Thank you to everyone who generously shared their thoughts, reﬂections and personal experiences this year. I believe that sharing</w:t>
      </w:r>
      <w:r>
        <w:t xml:space="preserve"> </w:t>
      </w:r>
      <w:r w:rsidRPr="00957494">
        <w:t xml:space="preserve">stories is a powerful way of connecting with others, breaking down barriers and building </w:t>
      </w:r>
      <w:r w:rsidRPr="00521F5C">
        <w:t>understanding.</w:t>
      </w:r>
    </w:p>
    <w:p w14:paraId="652CD9B5" w14:textId="77777777" w:rsidR="007B1263" w:rsidRPr="007B1263" w:rsidRDefault="007B1263" w:rsidP="007B1263">
      <w:pPr>
        <w:pStyle w:val="DHHSbodynospace"/>
        <w:rPr>
          <w:b/>
          <w:bCs/>
        </w:rPr>
      </w:pPr>
      <w:r w:rsidRPr="007B1263">
        <w:rPr>
          <w:b/>
          <w:bCs/>
        </w:rPr>
        <w:t xml:space="preserve">Kym Peake </w:t>
      </w:r>
    </w:p>
    <w:p w14:paraId="0FAB5D16" w14:textId="3B1664FC" w:rsidR="007B1263" w:rsidRPr="007B1263" w:rsidRDefault="007B1263" w:rsidP="007B1263">
      <w:pPr>
        <w:pStyle w:val="DHHSbodynospace"/>
        <w:rPr>
          <w:b/>
          <w:bCs/>
        </w:rPr>
      </w:pPr>
      <w:r w:rsidRPr="007B1263">
        <w:rPr>
          <w:b/>
          <w:bCs/>
        </w:rPr>
        <w:t>Secretary</w:t>
      </w:r>
    </w:p>
    <w:p w14:paraId="3C1ECA91" w14:textId="77777777" w:rsidR="007B1263" w:rsidRPr="007B1263" w:rsidRDefault="007B1263" w:rsidP="007B1263">
      <w:pPr>
        <w:pStyle w:val="DHHSbodynospace"/>
        <w:rPr>
          <w:b/>
          <w:bCs/>
        </w:rPr>
      </w:pPr>
      <w:r w:rsidRPr="007B1263">
        <w:rPr>
          <w:b/>
          <w:bCs/>
        </w:rPr>
        <w:t>Department of Health and Human Services</w:t>
      </w:r>
    </w:p>
    <w:p w14:paraId="467A5CEB" w14:textId="77777777" w:rsidR="007B1263" w:rsidRDefault="007B1263">
      <w:pPr>
        <w:rPr>
          <w:rFonts w:ascii="Arial" w:eastAsia="Times" w:hAnsi="Arial"/>
        </w:rPr>
      </w:pPr>
      <w:r>
        <w:br w:type="page"/>
      </w:r>
    </w:p>
    <w:p w14:paraId="1316BBEE" w14:textId="4BFDDA08" w:rsidR="00957494" w:rsidRDefault="00893440" w:rsidP="00893440">
      <w:pPr>
        <w:pStyle w:val="Heading1"/>
      </w:pPr>
      <w:bookmarkStart w:id="4" w:name="_Toc28340144"/>
      <w:r>
        <w:lastRenderedPageBreak/>
        <w:t>The year at a glance</w:t>
      </w:r>
      <w:bookmarkEnd w:id="4"/>
    </w:p>
    <w:p w14:paraId="709B90F6" w14:textId="39357EBB" w:rsidR="00893440" w:rsidRDefault="00893440" w:rsidP="00893440">
      <w:pPr>
        <w:pStyle w:val="Heading2"/>
      </w:pPr>
      <w:bookmarkStart w:id="5" w:name="_Toc28340145"/>
      <w:r>
        <w:t>Key statistics</w:t>
      </w:r>
      <w:bookmarkEnd w:id="5"/>
    </w:p>
    <w:p w14:paraId="74F99387" w14:textId="66449882" w:rsidR="00957494" w:rsidRDefault="00957494" w:rsidP="00957494">
      <w:pPr>
        <w:pStyle w:val="DHHSbody"/>
      </w:pPr>
      <w:r>
        <w:t>72,859</w:t>
      </w:r>
      <w:r w:rsidR="00893440">
        <w:t xml:space="preserve"> </w:t>
      </w:r>
      <w:r>
        <w:t>registered clients</w:t>
      </w:r>
    </w:p>
    <w:p w14:paraId="20969D12" w14:textId="27AA5897" w:rsidR="00957494" w:rsidRDefault="00957494" w:rsidP="00957494">
      <w:pPr>
        <w:pStyle w:val="DHHSbody"/>
      </w:pPr>
      <w:r>
        <w:t>9.6%</w:t>
      </w:r>
      <w:r w:rsidR="00893440">
        <w:t xml:space="preserve"> </w:t>
      </w:r>
      <w:r>
        <w:t>increase since 2016–17</w:t>
      </w:r>
      <w:r w:rsidR="00871942">
        <w:t>:</w:t>
      </w:r>
    </w:p>
    <w:p w14:paraId="7E0569EF" w14:textId="77777777" w:rsidR="00871942" w:rsidRDefault="00871942" w:rsidP="00871942">
      <w:pPr>
        <w:pStyle w:val="DHHSbullet1"/>
      </w:pPr>
      <w:r>
        <w:t>11,945 child and adolescent clients</w:t>
      </w:r>
    </w:p>
    <w:p w14:paraId="30BDFCFF" w14:textId="5E1D44C4" w:rsidR="00871942" w:rsidRDefault="00871942" w:rsidP="00871942">
      <w:pPr>
        <w:pStyle w:val="DHHSbullet1"/>
      </w:pPr>
      <w:r>
        <w:t xml:space="preserve">57,501 adult clients </w:t>
      </w:r>
    </w:p>
    <w:p w14:paraId="412A0735" w14:textId="77777777" w:rsidR="00871942" w:rsidRDefault="00871942" w:rsidP="00871942">
      <w:pPr>
        <w:pStyle w:val="DHHSbullet1"/>
      </w:pPr>
      <w:r>
        <w:t>8,279 aged clients</w:t>
      </w:r>
    </w:p>
    <w:p w14:paraId="04635679" w14:textId="77777777" w:rsidR="00871942" w:rsidRDefault="00871942" w:rsidP="00871942">
      <w:pPr>
        <w:pStyle w:val="DHHSbullet1"/>
      </w:pPr>
      <w:r>
        <w:t>873 forensic clients</w:t>
      </w:r>
    </w:p>
    <w:p w14:paraId="71F907BE" w14:textId="77777777" w:rsidR="00871942" w:rsidRDefault="00871942" w:rsidP="00871942">
      <w:pPr>
        <w:pStyle w:val="DHHSbullet1lastline"/>
      </w:pPr>
      <w:r>
        <w:t>2,184 specialist clients</w:t>
      </w:r>
    </w:p>
    <w:p w14:paraId="22B4D5D7" w14:textId="076D0165" w:rsidR="00871942" w:rsidRDefault="00871942" w:rsidP="00871942">
      <w:pPr>
        <w:pStyle w:val="DHHSbody"/>
      </w:pPr>
      <w:r>
        <w:t>50.3% women or girls</w:t>
      </w:r>
    </w:p>
    <w:p w14:paraId="7FD46525" w14:textId="7BB5DD65" w:rsidR="00957494" w:rsidRDefault="00957494" w:rsidP="00957494">
      <w:pPr>
        <w:pStyle w:val="DHHSbody"/>
      </w:pPr>
      <w:r>
        <w:t>32.9%</w:t>
      </w:r>
      <w:r w:rsidR="00871942" w:rsidRPr="00871942">
        <w:t xml:space="preserve"> </w:t>
      </w:r>
      <w:r w:rsidR="00871942">
        <w:t>live in rural areas</w:t>
      </w:r>
    </w:p>
    <w:p w14:paraId="2FB273E5" w14:textId="2C4B5B67" w:rsidR="00957494" w:rsidRDefault="00957494" w:rsidP="00957494">
      <w:pPr>
        <w:pStyle w:val="DHHSbody"/>
      </w:pPr>
      <w:r>
        <w:t>$1.38 billion</w:t>
      </w:r>
      <w:r w:rsidR="00871942">
        <w:t xml:space="preserve"> </w:t>
      </w:r>
      <w:r>
        <w:t>clinical services</w:t>
      </w:r>
    </w:p>
    <w:p w14:paraId="5B50803B" w14:textId="721195BD" w:rsidR="00957494" w:rsidRDefault="00957494" w:rsidP="00957494">
      <w:pPr>
        <w:pStyle w:val="DHHSbody"/>
      </w:pPr>
      <w:r>
        <w:t>$120 million</w:t>
      </w:r>
      <w:r w:rsidR="00893440">
        <w:t xml:space="preserve"> </w:t>
      </w:r>
      <w:r>
        <w:t>Mental Health Community</w:t>
      </w:r>
      <w:r w:rsidR="00871942">
        <w:t xml:space="preserve"> </w:t>
      </w:r>
      <w:r>
        <w:t>Support Services</w:t>
      </w:r>
    </w:p>
    <w:p w14:paraId="66650CDC" w14:textId="77777777" w:rsidR="00521F5C" w:rsidRDefault="00521F5C">
      <w:pPr>
        <w:sectPr w:rsidR="00521F5C" w:rsidSect="00521F5C">
          <w:pgSz w:w="11910" w:h="16840"/>
          <w:pgMar w:top="1701" w:right="1304" w:bottom="1134" w:left="1304" w:header="720" w:footer="720" w:gutter="0"/>
          <w:pgNumType w:fmt="lowerRoman"/>
          <w:cols w:space="720"/>
        </w:sectPr>
      </w:pPr>
    </w:p>
    <w:p w14:paraId="4E767BED" w14:textId="344F6F13" w:rsidR="00893440" w:rsidRDefault="00893440">
      <w:pPr>
        <w:rPr>
          <w:rFonts w:ascii="Arial" w:eastAsia="Times" w:hAnsi="Arial"/>
        </w:rPr>
      </w:pPr>
      <w:r>
        <w:br w:type="page"/>
      </w:r>
    </w:p>
    <w:p w14:paraId="0EE182F8" w14:textId="4F444952" w:rsidR="00957494" w:rsidRDefault="00957494" w:rsidP="00893440">
      <w:pPr>
        <w:pStyle w:val="Heading1"/>
      </w:pPr>
      <w:bookmarkStart w:id="6" w:name="_Toc28340146"/>
      <w:r>
        <w:lastRenderedPageBreak/>
        <w:t>1.</w:t>
      </w:r>
      <w:r>
        <w:tab/>
      </w:r>
      <w:r w:rsidR="00893440">
        <w:t xml:space="preserve">Progressing </w:t>
      </w:r>
      <w:r>
        <w:t>V</w:t>
      </w:r>
      <w:r w:rsidR="00893440">
        <w:t>ictoria’s 10-year mental health plan</w:t>
      </w:r>
      <w:bookmarkEnd w:id="6"/>
    </w:p>
    <w:p w14:paraId="7C6A2C9F" w14:textId="77777777" w:rsidR="00957494" w:rsidRDefault="00957494" w:rsidP="00957494">
      <w:pPr>
        <w:pStyle w:val="DHHSbody"/>
      </w:pPr>
      <w:r w:rsidRPr="00893440">
        <w:rPr>
          <w:i/>
          <w:iCs/>
        </w:rPr>
        <w:t>Victoria’s 10-year mental health plan</w:t>
      </w:r>
      <w:r>
        <w:t>, released in November 2015, sets the government’s long-term vision to improve the mental health and wellbeing of all Victorians and provides the foundation for our mental health reforms. The plan focuses our efforts on providing people with better access to services, care and support, intervening earlier, creating and supporting local solutions, and developing our mental health workforce.</w:t>
      </w:r>
    </w:p>
    <w:p w14:paraId="53C013DB" w14:textId="627E282B" w:rsidR="00957494" w:rsidRDefault="00957494" w:rsidP="00957494">
      <w:pPr>
        <w:pStyle w:val="DHHSbody"/>
      </w:pPr>
      <w:r>
        <w:t xml:space="preserve">In the three years since releasing our </w:t>
      </w:r>
      <w:r w:rsidRPr="00893440">
        <w:rPr>
          <w:i/>
          <w:iCs/>
        </w:rPr>
        <w:t>10-year mental health plan</w:t>
      </w:r>
      <w:r>
        <w:t xml:space="preserve">, we have delivered more investment in suicide prevention and forensic mental health services and expanded our mental health workforce. Major strategies developed under the plan include the </w:t>
      </w:r>
      <w:r w:rsidRPr="00893440">
        <w:rPr>
          <w:i/>
          <w:iCs/>
        </w:rPr>
        <w:t>Victorian suicide prevention framework 2016–25</w:t>
      </w:r>
      <w:r>
        <w:t xml:space="preserve">, the </w:t>
      </w:r>
      <w:r w:rsidRPr="00235E13">
        <w:rPr>
          <w:i/>
        </w:rPr>
        <w:t>Mental health workforce strategy</w:t>
      </w:r>
      <w:r>
        <w:t xml:space="preserve">, and </w:t>
      </w:r>
      <w:proofErr w:type="spellStart"/>
      <w:r w:rsidRPr="00893440">
        <w:rPr>
          <w:i/>
          <w:iCs/>
        </w:rPr>
        <w:t>Balit</w:t>
      </w:r>
      <w:proofErr w:type="spellEnd"/>
      <w:r w:rsidR="00893440" w:rsidRPr="00893440">
        <w:rPr>
          <w:i/>
          <w:iCs/>
        </w:rPr>
        <w:t xml:space="preserve"> </w:t>
      </w:r>
      <w:proofErr w:type="spellStart"/>
      <w:r w:rsidRPr="00893440">
        <w:rPr>
          <w:i/>
          <w:iCs/>
        </w:rPr>
        <w:t>Murrup</w:t>
      </w:r>
      <w:proofErr w:type="spellEnd"/>
      <w:r w:rsidRPr="00893440">
        <w:rPr>
          <w:i/>
          <w:iCs/>
        </w:rPr>
        <w:t>: Aboriginal social and emotional wellbeing framework 2017–2027</w:t>
      </w:r>
      <w:r>
        <w:t>. Work is underway across the state to implement a wide range of initiatives under each of these strategies.</w:t>
      </w:r>
    </w:p>
    <w:p w14:paraId="07AAC016" w14:textId="7209F050" w:rsidR="00957494" w:rsidRDefault="00957494" w:rsidP="00957494">
      <w:pPr>
        <w:pStyle w:val="DHHSbody"/>
      </w:pPr>
      <w:r>
        <w:t>Monitoring progress and reporting on outcomes under our 10-year mental health plan helps us understand the impact of our programs and services on people’s lives over time. We use a range of indicators to help us track whether</w:t>
      </w:r>
      <w:r w:rsidR="00893440">
        <w:t xml:space="preserve"> </w:t>
      </w:r>
      <w:r>
        <w:t>our initiatives and programs are contributing to better outcomes for people with mental illness, and continue to develop more indicators at the local, state and national levels.</w:t>
      </w:r>
    </w:p>
    <w:p w14:paraId="238553AD" w14:textId="28DB7273" w:rsidR="00957494" w:rsidRDefault="00957494" w:rsidP="00957494">
      <w:pPr>
        <w:pStyle w:val="DHHSbody"/>
      </w:pPr>
      <w:r>
        <w:t>Building evidence around what works allows us to assess whether services and programs are effective, and to identify what needs improving. This knowledge underpins the substantial investment in the 2018–19 State Budget to reform</w:t>
      </w:r>
      <w:r w:rsidR="00422042">
        <w:t xml:space="preserve"> </w:t>
      </w:r>
      <w:r>
        <w:t>Victoria’s clinical mental health services and keep pace with growing demand. Initiatives funded through this investment are described in more detail in Chapter 2.</w:t>
      </w:r>
    </w:p>
    <w:p w14:paraId="4CE7E0E0" w14:textId="47158A52" w:rsidR="00957494" w:rsidRPr="00706D56" w:rsidRDefault="00706D56" w:rsidP="00706D56">
      <w:pPr>
        <w:pStyle w:val="DHHSbody"/>
        <w:rPr>
          <w:b/>
          <w:bCs/>
        </w:rPr>
      </w:pPr>
      <w:r w:rsidRPr="00706D56">
        <w:rPr>
          <w:b/>
          <w:bCs/>
        </w:rPr>
        <w:t>Mental Health Expert Taskforce</w:t>
      </w:r>
    </w:p>
    <w:p w14:paraId="76AAC0B9" w14:textId="77777777" w:rsidR="00957494" w:rsidRDefault="00957494" w:rsidP="00957494">
      <w:pPr>
        <w:pStyle w:val="DHHSbody"/>
      </w:pPr>
      <w:r>
        <w:t xml:space="preserve">The Mental Health Expert Taskforce, established in March 2016 to guide the initial implementation of </w:t>
      </w:r>
      <w:r w:rsidRPr="00235E13">
        <w:rPr>
          <w:i/>
        </w:rPr>
        <w:t>Victoria’s 10-year mental health plan</w:t>
      </w:r>
      <w:r>
        <w:t>, concluded its term in February 2018.</w:t>
      </w:r>
    </w:p>
    <w:p w14:paraId="0FB060C3" w14:textId="77777777" w:rsidR="00957494" w:rsidRDefault="00957494" w:rsidP="00957494">
      <w:pPr>
        <w:pStyle w:val="DHHSbody"/>
      </w:pPr>
      <w:r>
        <w:t>Taskforce members provided expert advice on:</w:t>
      </w:r>
    </w:p>
    <w:p w14:paraId="7C7CCD83" w14:textId="4BDE8DDF" w:rsidR="00957494" w:rsidRDefault="00957494" w:rsidP="00893440">
      <w:pPr>
        <w:pStyle w:val="DHHSbullet1"/>
      </w:pPr>
      <w:r>
        <w:t xml:space="preserve">the development of the </w:t>
      </w:r>
      <w:r w:rsidRPr="00235E13">
        <w:rPr>
          <w:i/>
        </w:rPr>
        <w:t>Victoria’s 10-year mental health plan</w:t>
      </w:r>
      <w:r>
        <w:t xml:space="preserve"> outcomes framework, including the initial indicator suite</w:t>
      </w:r>
    </w:p>
    <w:p w14:paraId="5AE50F07" w14:textId="6B432D5E" w:rsidR="00957494" w:rsidRPr="00235E13" w:rsidRDefault="00957494" w:rsidP="00893440">
      <w:pPr>
        <w:pStyle w:val="DHHSbullet1"/>
        <w:rPr>
          <w:i/>
        </w:rPr>
      </w:pPr>
      <w:r w:rsidRPr="00235E13">
        <w:rPr>
          <w:i/>
        </w:rPr>
        <w:t>Victorian suicide prevention framework 2016–25</w:t>
      </w:r>
    </w:p>
    <w:p w14:paraId="207E63E0" w14:textId="57AED52C" w:rsidR="00957494" w:rsidRPr="00235E13" w:rsidRDefault="00957494" w:rsidP="00893440">
      <w:pPr>
        <w:pStyle w:val="DHHSbullet1"/>
        <w:rPr>
          <w:i/>
        </w:rPr>
      </w:pPr>
      <w:r w:rsidRPr="00235E13">
        <w:rPr>
          <w:i/>
        </w:rPr>
        <w:t>Mental health workforce strategy</w:t>
      </w:r>
    </w:p>
    <w:p w14:paraId="2BCA442B" w14:textId="2B54D125" w:rsidR="00957494" w:rsidRDefault="00957494" w:rsidP="00893440">
      <w:pPr>
        <w:pStyle w:val="DHHSbullet1"/>
      </w:pPr>
      <w:r w:rsidRPr="00235E13">
        <w:rPr>
          <w:i/>
        </w:rPr>
        <w:t>Victoria’s mental health services annual report 2015–16</w:t>
      </w:r>
      <w:r>
        <w:t xml:space="preserve"> (inaugural)</w:t>
      </w:r>
    </w:p>
    <w:p w14:paraId="09A5FD84" w14:textId="3AFD701E" w:rsidR="00957494" w:rsidRDefault="00957494" w:rsidP="00893440">
      <w:pPr>
        <w:pStyle w:val="DHHSbullet1"/>
      </w:pPr>
      <w:r>
        <w:t>housing and homelessness, including the Towards Home and rough sleeping initiatives</w:t>
      </w:r>
    </w:p>
    <w:p w14:paraId="3FFB66E7" w14:textId="00DF8494" w:rsidR="00957494" w:rsidRDefault="00957494" w:rsidP="00893440">
      <w:pPr>
        <w:pStyle w:val="DHHSbullet1"/>
      </w:pPr>
      <w:r>
        <w:t>child and youth mental health services</w:t>
      </w:r>
    </w:p>
    <w:p w14:paraId="2AA77D5E" w14:textId="5179DB75" w:rsidR="00957494" w:rsidRDefault="00957494" w:rsidP="00893440">
      <w:pPr>
        <w:pStyle w:val="DHHSbullet1"/>
      </w:pPr>
      <w:r>
        <w:t>National Disability Insurance Scheme (NDIS) implementation</w:t>
      </w:r>
    </w:p>
    <w:p w14:paraId="768143A1" w14:textId="4E7CC28D" w:rsidR="00957494" w:rsidRDefault="00957494" w:rsidP="00893440">
      <w:pPr>
        <w:pStyle w:val="DHHSbullet1lastline"/>
      </w:pPr>
      <w:r>
        <w:t>support for lesbian, gay, bisexual, transgender, gender diverse, intersex and queer (LGBTIQ+) communities.</w:t>
      </w:r>
    </w:p>
    <w:p w14:paraId="4E1265FA" w14:textId="77777777" w:rsidR="00957494" w:rsidRDefault="00957494" w:rsidP="00957494">
      <w:pPr>
        <w:pStyle w:val="DHHSbody"/>
      </w:pPr>
      <w:r>
        <w:t>Other key taskforce contributions included advice on the Aboriginal social and emotional wellbeing strategy (led by the Aboriginal Social and Emotional Wellbeing Reference Group and launched in October 2017), the Centre for Mental Health Learning (led by the Workforce Reference Group) and on mental health research and translation (led by the Innovation Reference Group).</w:t>
      </w:r>
    </w:p>
    <w:p w14:paraId="32DEF718" w14:textId="20A30094" w:rsidR="00957494" w:rsidRDefault="00957494" w:rsidP="00957494">
      <w:pPr>
        <w:pStyle w:val="DHHSbody"/>
      </w:pPr>
      <w:r>
        <w:t xml:space="preserve">The </w:t>
      </w:r>
      <w:r w:rsidRPr="00235E13">
        <w:rPr>
          <w:i/>
        </w:rPr>
        <w:t>Lived experience engagement framework</w:t>
      </w:r>
      <w:r>
        <w:t xml:space="preserve"> (led by the Lived Experience Reference Group) will be released during 2018–19.</w:t>
      </w:r>
    </w:p>
    <w:p w14:paraId="1D50801C" w14:textId="77777777" w:rsidR="00706D56" w:rsidRDefault="00706D56" w:rsidP="00706D56">
      <w:pPr>
        <w:pStyle w:val="Heading2"/>
      </w:pPr>
      <w:bookmarkStart w:id="7" w:name="_Toc28340147"/>
      <w:r>
        <w:lastRenderedPageBreak/>
        <w:t>Preventing suicide</w:t>
      </w:r>
      <w:bookmarkEnd w:id="7"/>
    </w:p>
    <w:p w14:paraId="344F6B58" w14:textId="77777777" w:rsidR="00706D56" w:rsidRPr="00534692" w:rsidRDefault="00706D56" w:rsidP="00706D56">
      <w:pPr>
        <w:pStyle w:val="DHHSbody"/>
        <w:rPr>
          <w:b/>
          <w:bCs/>
        </w:rPr>
      </w:pPr>
      <w:r w:rsidRPr="00534692">
        <w:rPr>
          <w:b/>
          <w:bCs/>
        </w:rPr>
        <w:t>OUTCOME 4: The rate of suicide is reduced.</w:t>
      </w:r>
    </w:p>
    <w:p w14:paraId="4241224A" w14:textId="77777777" w:rsidR="00706D56" w:rsidRDefault="00706D56" w:rsidP="00706D56">
      <w:pPr>
        <w:pStyle w:val="DHHSbody"/>
      </w:pPr>
      <w:r>
        <w:t>Suicide is a signiﬁcant public health issue and has a profound and lasting impact on families, friends and communities. The Victorian Government remains committed to working with our public hospitals and local communities to halve the number of suicides in the state by 2025.</w:t>
      </w:r>
    </w:p>
    <w:p w14:paraId="57CD5104" w14:textId="77777777" w:rsidR="00706D56" w:rsidRDefault="00706D56" w:rsidP="00706D56">
      <w:pPr>
        <w:pStyle w:val="DHHSbody"/>
      </w:pPr>
      <w:r>
        <w:t xml:space="preserve">We have observed small reductions in both suicides and deaths due to intentional self-harm since releasing the </w:t>
      </w:r>
      <w:r w:rsidRPr="00235E13">
        <w:rPr>
          <w:i/>
        </w:rPr>
        <w:t>Victorian suicide prevention framework 2016–25</w:t>
      </w:r>
      <w:r>
        <w:t>. During 2017 we lost 621 Victorians to suicide, down from 624 in 2016 and 654 in 2015. Victoria now has the lowest suicide rate of all Australian states and territories, with a rate of 9.6 deaths (per 100,000) compared with 9.9 (per 100,000) in 2016.</w:t>
      </w:r>
    </w:p>
    <w:p w14:paraId="2859EFC7" w14:textId="7AA9E203" w:rsidR="00706D56" w:rsidRDefault="00706D56" w:rsidP="00706D56">
      <w:pPr>
        <w:pStyle w:val="DHHSbody"/>
      </w:pPr>
      <w:r>
        <w:t>In contrast, Australia’s national suicide rate has increased to 12.6 (per 100,000) in 2017, up from 11.7 (per 100,000) in 2016. Suicide remains the leading cause of death for Australians aged 15–44 years and the second leading cause of death among Australians aged 45–54. During 2017–18 Victoria began leading development of a national suicide prevention implementation strategy on behalf of all Australian governments.</w:t>
      </w:r>
    </w:p>
    <w:p w14:paraId="1CBE5E4A" w14:textId="1318D7EC" w:rsidR="00957494" w:rsidRDefault="00706D56" w:rsidP="00706D56">
      <w:pPr>
        <w:pStyle w:val="Heading3"/>
      </w:pPr>
      <w:r>
        <w:t>Targeted, person-centred support following self-harm and suicide attempts</w:t>
      </w:r>
    </w:p>
    <w:p w14:paraId="6726BD3F" w14:textId="6A97F42E" w:rsidR="00957494" w:rsidRPr="00534692" w:rsidRDefault="00957494" w:rsidP="00957494">
      <w:pPr>
        <w:pStyle w:val="DHHSbody"/>
        <w:rPr>
          <w:b/>
          <w:bCs/>
        </w:rPr>
      </w:pPr>
      <w:r w:rsidRPr="00534692">
        <w:rPr>
          <w:b/>
          <w:bCs/>
        </w:rPr>
        <w:t>HOPE</w:t>
      </w:r>
      <w:r w:rsidR="00893440" w:rsidRPr="00534692">
        <w:rPr>
          <w:b/>
          <w:bCs/>
        </w:rPr>
        <w:t xml:space="preserve"> </w:t>
      </w:r>
      <w:r w:rsidRPr="00534692">
        <w:rPr>
          <w:b/>
          <w:bCs/>
        </w:rPr>
        <w:t>has helped 500+ people</w:t>
      </w:r>
      <w:r w:rsidR="00893440" w:rsidRPr="00534692">
        <w:rPr>
          <w:b/>
          <w:bCs/>
        </w:rPr>
        <w:t xml:space="preserve"> </w:t>
      </w:r>
      <w:r w:rsidRPr="00534692">
        <w:rPr>
          <w:b/>
          <w:bCs/>
        </w:rPr>
        <w:t>at risk of suicide</w:t>
      </w:r>
    </w:p>
    <w:p w14:paraId="60C2B818" w14:textId="77777777" w:rsidR="00957494" w:rsidRDefault="00957494" w:rsidP="00957494">
      <w:pPr>
        <w:pStyle w:val="DHHSbody"/>
      </w:pPr>
      <w:r>
        <w:t>The Hospital Outreach Post-suicidal Engagement (HOPE) program provides dedicated and practical outreach support  for people leaving hospital following a suicide attempt or intentional self-harm.</w:t>
      </w:r>
    </w:p>
    <w:p w14:paraId="291D65AF" w14:textId="77777777" w:rsidR="00957494" w:rsidRDefault="00957494" w:rsidP="00957494">
      <w:pPr>
        <w:pStyle w:val="DHHSbody"/>
      </w:pPr>
      <w:r>
        <w:t>The HOPE trials continue in six hospitals across Victoria:</w:t>
      </w:r>
    </w:p>
    <w:p w14:paraId="67D2B2CE" w14:textId="59DCAD66" w:rsidR="00957494" w:rsidRDefault="00957494" w:rsidP="00AE7851">
      <w:pPr>
        <w:pStyle w:val="DHHSbullet1"/>
      </w:pPr>
      <w:r>
        <w:t>St Vincent’s Hospital (St Vincent’s Health)</w:t>
      </w:r>
    </w:p>
    <w:p w14:paraId="19226693" w14:textId="2F42286C" w:rsidR="00957494" w:rsidRDefault="00957494" w:rsidP="00AE7851">
      <w:pPr>
        <w:pStyle w:val="DHHSbullet1"/>
      </w:pPr>
      <w:r>
        <w:t>The Alfred (Alfred Health)</w:t>
      </w:r>
    </w:p>
    <w:p w14:paraId="57C5D1CB" w14:textId="0F4304E2" w:rsidR="00957494" w:rsidRDefault="00957494" w:rsidP="00AE7851">
      <w:pPr>
        <w:pStyle w:val="DHHSbullet1"/>
      </w:pPr>
      <w:r>
        <w:t>Frankston Hospital (Peninsula Health)</w:t>
      </w:r>
    </w:p>
    <w:p w14:paraId="5B0E4205" w14:textId="5465649D" w:rsidR="00957494" w:rsidRDefault="00957494" w:rsidP="00AE7851">
      <w:pPr>
        <w:pStyle w:val="DHHSbullet1"/>
      </w:pPr>
      <w:r>
        <w:t>Geelong Hospital (Barwon Health)</w:t>
      </w:r>
    </w:p>
    <w:p w14:paraId="4D079B86" w14:textId="169F17DD" w:rsidR="00957494" w:rsidRDefault="00957494" w:rsidP="00AE7851">
      <w:pPr>
        <w:pStyle w:val="DHHSbullet1"/>
      </w:pPr>
      <w:r>
        <w:t>Maroondah Hospital (Eastern Health)</w:t>
      </w:r>
    </w:p>
    <w:p w14:paraId="37E63820" w14:textId="2774099E" w:rsidR="00957494" w:rsidRDefault="00957494" w:rsidP="00893440">
      <w:pPr>
        <w:pStyle w:val="DHHSbullet1lastline"/>
      </w:pPr>
      <w:r>
        <w:t>Wangaratta Hospital (Albury Wodonga Health).</w:t>
      </w:r>
    </w:p>
    <w:p w14:paraId="3073432C" w14:textId="05C28158" w:rsidR="00957494" w:rsidRDefault="00957494" w:rsidP="00957494">
      <w:pPr>
        <w:pStyle w:val="DHHSbody"/>
      </w:pPr>
      <w:r>
        <w:t>More than 500 people have now been supported through HOPE, each receiving outreach support for up to three months after their discharge from hospital. Each hospital has developed its own service model to provide intensive support</w:t>
      </w:r>
      <w:r w:rsidR="00422042">
        <w:t xml:space="preserve"> </w:t>
      </w:r>
      <w:r>
        <w:t>during vulnerable periods, with the aim to reduce people’s individual risk of future suicide attempts.</w:t>
      </w:r>
    </w:p>
    <w:p w14:paraId="50E4C899" w14:textId="77777777" w:rsidR="00957494" w:rsidRDefault="00957494" w:rsidP="00957494">
      <w:pPr>
        <w:pStyle w:val="DHHSbody"/>
      </w:pPr>
      <w:r>
        <w:t>Building on HOPE’s early success, we are now expanding this initiative to a further six hospitals. During 2018–19, HOPE trials will be rolled out at:</w:t>
      </w:r>
    </w:p>
    <w:p w14:paraId="73F078B6" w14:textId="2A5E7E1D" w:rsidR="00957494" w:rsidRDefault="00957494" w:rsidP="00AE7851">
      <w:pPr>
        <w:pStyle w:val="DHHSbullet1"/>
      </w:pPr>
      <w:r>
        <w:t>Latrobe Regional Hospital</w:t>
      </w:r>
    </w:p>
    <w:p w14:paraId="6B53C3DE" w14:textId="048D889D" w:rsidR="00957494" w:rsidRDefault="00957494" w:rsidP="00AE7851">
      <w:pPr>
        <w:pStyle w:val="DHHSbullet1"/>
      </w:pPr>
      <w:r>
        <w:t>Sunshine Hospital (Melbourne Health)</w:t>
      </w:r>
    </w:p>
    <w:p w14:paraId="078E0F44" w14:textId="62251979" w:rsidR="00957494" w:rsidRDefault="00957494" w:rsidP="00AE7851">
      <w:pPr>
        <w:pStyle w:val="DHHSbullet1"/>
      </w:pPr>
      <w:r>
        <w:t>Casey Hospital (Monash Health)</w:t>
      </w:r>
    </w:p>
    <w:p w14:paraId="6FEC61AB" w14:textId="2B71AF2F" w:rsidR="00957494" w:rsidRDefault="00957494" w:rsidP="00AE7851">
      <w:pPr>
        <w:pStyle w:val="DHHSbullet1"/>
      </w:pPr>
      <w:r>
        <w:t>Ballarat Health Services (including Horsham)</w:t>
      </w:r>
    </w:p>
    <w:p w14:paraId="5A6BBF47" w14:textId="7E5898F7" w:rsidR="00957494" w:rsidRDefault="00957494" w:rsidP="00AE7851">
      <w:pPr>
        <w:pStyle w:val="DHHSbullet1"/>
      </w:pPr>
      <w:r>
        <w:t>Werribee Mercy Hospital</w:t>
      </w:r>
    </w:p>
    <w:p w14:paraId="7295DED5" w14:textId="6A984889" w:rsidR="00957494" w:rsidRDefault="00957494" w:rsidP="00534692">
      <w:pPr>
        <w:pStyle w:val="DHHSbullet1"/>
        <w:spacing w:after="240"/>
        <w:ind w:left="288" w:hanging="288"/>
      </w:pPr>
      <w:r>
        <w:t>Bendigo Health Service (including Mildura).</w:t>
      </w:r>
    </w:p>
    <w:tbl>
      <w:tblPr>
        <w:tblStyle w:val="TableGrid"/>
        <w:tblW w:w="0" w:type="auto"/>
        <w:tblLook w:val="04A0" w:firstRow="1" w:lastRow="0" w:firstColumn="1" w:lastColumn="0" w:noHBand="0" w:noVBand="1"/>
      </w:tblPr>
      <w:tblGrid>
        <w:gridCol w:w="9184"/>
      </w:tblGrid>
      <w:tr w:rsidR="00534692" w14:paraId="47843C8A" w14:textId="77777777" w:rsidTr="00534692">
        <w:tc>
          <w:tcPr>
            <w:tcW w:w="9292" w:type="dxa"/>
          </w:tcPr>
          <w:p w14:paraId="5FE4949E" w14:textId="77777777" w:rsidR="00534692" w:rsidRDefault="00534692" w:rsidP="00534692">
            <w:pPr>
              <w:pStyle w:val="DHHSboxheading"/>
            </w:pPr>
            <w:r>
              <w:t>Delivering hope at St Vincent’s Hospital</w:t>
            </w:r>
          </w:p>
          <w:p w14:paraId="5F266636" w14:textId="77777777" w:rsidR="00534692" w:rsidRDefault="00534692" w:rsidP="00534692">
            <w:pPr>
              <w:pStyle w:val="DHHSbody"/>
            </w:pPr>
            <w:r>
              <w:t>As a team, we know that the HOPE program has been invaluable to both clients and their loved ones following a suicide attempt or engagement in suicidal or risky behaviours.</w:t>
            </w:r>
          </w:p>
          <w:p w14:paraId="1F4C24CA" w14:textId="28F7E96A" w:rsidR="00534692" w:rsidRDefault="00534692" w:rsidP="00534692">
            <w:pPr>
              <w:pStyle w:val="DHHSbody"/>
            </w:pPr>
            <w:r>
              <w:t xml:space="preserve">It’s a privilege to work alongside those who have come so close to suicide and to see clients and their families make positive changes and talk openly about how to keep safe in the future. As they </w:t>
            </w:r>
            <w:r>
              <w:lastRenderedPageBreak/>
              <w:t>move along their recovery journey from suicidality, it can be tough and challenging,</w:t>
            </w:r>
            <w:r w:rsidR="00422042">
              <w:t xml:space="preserve"> </w:t>
            </w:r>
            <w:r>
              <w:t>but we know there is real strength in making and developing human connections. We aim to become a supportive and reliable contact who</w:t>
            </w:r>
            <w:r w:rsidR="00422042">
              <w:t xml:space="preserve"> </w:t>
            </w:r>
            <w:r>
              <w:t>can be called upon in a suicidal crisis and who can hold and foster hope for a life beyond suicidality.</w:t>
            </w:r>
          </w:p>
          <w:p w14:paraId="472C2356" w14:textId="77777777" w:rsidR="00534692" w:rsidRDefault="00534692" w:rsidP="00534692">
            <w:pPr>
              <w:pStyle w:val="DHHSbody"/>
            </w:pPr>
            <w:r>
              <w:t>Here are some of the things we really appreciate and value about the HOPE initiative:</w:t>
            </w:r>
          </w:p>
          <w:p w14:paraId="03547ECD" w14:textId="77777777" w:rsidR="00534692" w:rsidRDefault="00534692" w:rsidP="00534692">
            <w:pPr>
              <w:pStyle w:val="DHHSbullet1"/>
            </w:pPr>
            <w:r>
              <w:t>helping empower clients to manage their personal safety through safety planning</w:t>
            </w:r>
          </w:p>
          <w:p w14:paraId="5B9128CE" w14:textId="77777777" w:rsidR="00534692" w:rsidRDefault="00534692" w:rsidP="00534692">
            <w:pPr>
              <w:pStyle w:val="DHHSbullet1"/>
            </w:pPr>
            <w:r>
              <w:t>supporting clients to explore and utilise alternative and more adaptive coping strategies to understand and manage their suicidal drivers (for example, psychological pain, stress, agitation, hopelessness, self-hate)</w:t>
            </w:r>
          </w:p>
          <w:p w14:paraId="6AD758BA" w14:textId="77777777" w:rsidR="00534692" w:rsidRDefault="00534692" w:rsidP="00534692">
            <w:pPr>
              <w:pStyle w:val="DHHSbullet1"/>
            </w:pPr>
            <w:r>
              <w:t>addressing the psychosocial stressors that may be contributing to a client’s suicidality such as housing or ﬁnancial distress</w:t>
            </w:r>
          </w:p>
          <w:p w14:paraId="6273CC02" w14:textId="77777777" w:rsidR="00534692" w:rsidRDefault="00534692" w:rsidP="00534692">
            <w:pPr>
              <w:pStyle w:val="DHHSbullet1"/>
            </w:pPr>
            <w:r>
              <w:t>involvement and liaison with a client’s professional support network to ensure good continuity of care and collaborative decision making and keeping the client as the centre of what we do</w:t>
            </w:r>
          </w:p>
          <w:p w14:paraId="0F664D0F" w14:textId="77777777" w:rsidR="00534692" w:rsidRDefault="00534692" w:rsidP="00534692">
            <w:pPr>
              <w:pStyle w:val="DHHSbullet1lastline"/>
            </w:pPr>
            <w:r>
              <w:t>supporting our clients’ families and loved ones along their recovery journey post-suicidality and to navigate the complex mental health system.</w:t>
            </w:r>
          </w:p>
          <w:p w14:paraId="62A6F43D" w14:textId="77777777" w:rsidR="00534692" w:rsidRDefault="00534692" w:rsidP="00534692">
            <w:pPr>
              <w:pStyle w:val="DHHSbody"/>
            </w:pPr>
            <w:r>
              <w:t>We relish the opportunity to continue this essential work and to support those in their most vulnerable moments, despite the confronting nature of the work, for as long as suicide remains a signiﬁcant health and social issue in Australia.</w:t>
            </w:r>
          </w:p>
          <w:p w14:paraId="466C65A5" w14:textId="29C7B734" w:rsidR="00534692" w:rsidRDefault="00534692" w:rsidP="00534692">
            <w:pPr>
              <w:pStyle w:val="DHHSbody"/>
            </w:pPr>
            <w:r>
              <w:t xml:space="preserve">– Lilli Haig-Wood, Team Leader Penny </w:t>
            </w:r>
            <w:proofErr w:type="spellStart"/>
            <w:r>
              <w:t>Schleiger</w:t>
            </w:r>
            <w:proofErr w:type="spellEnd"/>
            <w:r>
              <w:t xml:space="preserve">, Senior Clinician Juliet Thornton, Clinician Hennie </w:t>
            </w:r>
            <w:proofErr w:type="spellStart"/>
            <w:r>
              <w:t>Lanting</w:t>
            </w:r>
            <w:proofErr w:type="spellEnd"/>
            <w:r>
              <w:t>, Family Support Worker</w:t>
            </w:r>
          </w:p>
        </w:tc>
      </w:tr>
    </w:tbl>
    <w:p w14:paraId="6F40F9F5" w14:textId="5E49AE66" w:rsidR="00957494" w:rsidRDefault="00706D56" w:rsidP="00706D56">
      <w:pPr>
        <w:pStyle w:val="Heading3"/>
      </w:pPr>
      <w:r>
        <w:lastRenderedPageBreak/>
        <w:t>Place-based suicide prevention trials</w:t>
      </w:r>
    </w:p>
    <w:p w14:paraId="71FC4EE7" w14:textId="28FA273B" w:rsidR="00957494" w:rsidRDefault="00957494" w:rsidP="00957494">
      <w:pPr>
        <w:pStyle w:val="DHHSbody"/>
      </w:pPr>
      <w:r>
        <w:t>Place-based suicide prevention trials continue to be delivered through a partnership and</w:t>
      </w:r>
      <w:r w:rsidR="00534692">
        <w:t xml:space="preserve"> </w:t>
      </w:r>
      <w:r>
        <w:t>co-investment with Primary Health Networks (PHN) in 12 locations across Victoria:</w:t>
      </w:r>
    </w:p>
    <w:p w14:paraId="776BEE0C" w14:textId="4C40D909" w:rsidR="00957494" w:rsidRDefault="00957494" w:rsidP="00AA27E4">
      <w:pPr>
        <w:pStyle w:val="DHHSbullet1"/>
      </w:pPr>
      <w:r>
        <w:t>Mornington Peninsula/Frankston</w:t>
      </w:r>
    </w:p>
    <w:p w14:paraId="02984590" w14:textId="346323E2" w:rsidR="00957494" w:rsidRDefault="00957494" w:rsidP="00AA27E4">
      <w:pPr>
        <w:pStyle w:val="DHHSbullet1"/>
      </w:pPr>
      <w:r>
        <w:t>Dandenong</w:t>
      </w:r>
    </w:p>
    <w:p w14:paraId="26B15AE3" w14:textId="58D5F2AC" w:rsidR="00957494" w:rsidRDefault="00957494" w:rsidP="00AA27E4">
      <w:pPr>
        <w:pStyle w:val="DHHSbullet1"/>
      </w:pPr>
      <w:r>
        <w:t>Latrobe Valley</w:t>
      </w:r>
    </w:p>
    <w:p w14:paraId="7CF88B6F" w14:textId="76721937" w:rsidR="00957494" w:rsidRDefault="00957494" w:rsidP="00AA27E4">
      <w:pPr>
        <w:pStyle w:val="DHHSbullet1"/>
      </w:pPr>
      <w:r>
        <w:t>Bass Coast</w:t>
      </w:r>
    </w:p>
    <w:p w14:paraId="660A116A" w14:textId="7D1277EB" w:rsidR="00957494" w:rsidRDefault="00957494" w:rsidP="00AA27E4">
      <w:pPr>
        <w:pStyle w:val="DHHSbullet1"/>
      </w:pPr>
      <w:r>
        <w:t>Brimbank/Melton</w:t>
      </w:r>
    </w:p>
    <w:p w14:paraId="2B4B0585" w14:textId="43D1D037" w:rsidR="00957494" w:rsidRDefault="00957494" w:rsidP="00AA27E4">
      <w:pPr>
        <w:pStyle w:val="DHHSbullet1"/>
      </w:pPr>
      <w:r>
        <w:t>Macedon Ranges</w:t>
      </w:r>
    </w:p>
    <w:p w14:paraId="781F9C60" w14:textId="6705320F" w:rsidR="00957494" w:rsidRDefault="00957494" w:rsidP="00AA27E4">
      <w:pPr>
        <w:pStyle w:val="DHHSbullet1"/>
      </w:pPr>
      <w:r>
        <w:t>Whittlesea</w:t>
      </w:r>
    </w:p>
    <w:p w14:paraId="6FBEFFA4" w14:textId="35311515" w:rsidR="00957494" w:rsidRDefault="00957494" w:rsidP="00AA27E4">
      <w:pPr>
        <w:pStyle w:val="DHHSbullet1"/>
      </w:pPr>
      <w:r>
        <w:t>Maroondah</w:t>
      </w:r>
    </w:p>
    <w:p w14:paraId="0D621EA8" w14:textId="76B9BC77" w:rsidR="00957494" w:rsidRDefault="00957494" w:rsidP="00AA27E4">
      <w:pPr>
        <w:pStyle w:val="DHHSbullet1"/>
      </w:pPr>
      <w:r>
        <w:t>Mildura</w:t>
      </w:r>
    </w:p>
    <w:p w14:paraId="083ED20D" w14:textId="25B1C3F0" w:rsidR="00957494" w:rsidRDefault="00957494" w:rsidP="00AA27E4">
      <w:pPr>
        <w:pStyle w:val="DHHSbullet1"/>
      </w:pPr>
      <w:r>
        <w:t>Benalla</w:t>
      </w:r>
    </w:p>
    <w:p w14:paraId="6D0CE6FB" w14:textId="08653F40" w:rsidR="00957494" w:rsidRDefault="00957494" w:rsidP="00AA27E4">
      <w:pPr>
        <w:pStyle w:val="DHHSbullet1"/>
      </w:pPr>
      <w:r>
        <w:t>Ballarat</w:t>
      </w:r>
    </w:p>
    <w:p w14:paraId="2306161C" w14:textId="1B52D252" w:rsidR="00957494" w:rsidRDefault="00957494" w:rsidP="00AA27E4">
      <w:pPr>
        <w:pStyle w:val="DHHSbullet1lastline"/>
      </w:pPr>
      <w:r>
        <w:t>the Great South Coast.</w:t>
      </w:r>
    </w:p>
    <w:p w14:paraId="3B8AEB71" w14:textId="77777777" w:rsidR="00957494" w:rsidRDefault="00957494" w:rsidP="00957494">
      <w:pPr>
        <w:pStyle w:val="DHHSbody"/>
      </w:pPr>
      <w:r>
        <w:t>The trials are supporting communities to work together to identify what is needed to prevent suicide, foster individual and community resilience and wellbeing, and strengthen systems to prevent suicide in an ongoing way.</w:t>
      </w:r>
    </w:p>
    <w:p w14:paraId="5B771B86" w14:textId="49C25E59" w:rsidR="00957494" w:rsidRDefault="00957494" w:rsidP="00957494">
      <w:pPr>
        <w:pStyle w:val="DHHSbody"/>
      </w:pPr>
      <w:r>
        <w:t>This is a new way of working together to prevent suicide that requires strong collaborations across many sectors within a community, including people with lived experience of suicide, community agencies, the Aboriginal community-controlled sector, schools, businesses, local councils, transport providers, police, health services, ambulance services and others.</w:t>
      </w:r>
    </w:p>
    <w:p w14:paraId="0367DCD8" w14:textId="77777777" w:rsidR="00957494" w:rsidRDefault="00957494" w:rsidP="00957494">
      <w:pPr>
        <w:pStyle w:val="DHHSbody"/>
      </w:pPr>
      <w:r>
        <w:t>This year, strategies collaboratively identiﬁed and implemented by the communities included:</w:t>
      </w:r>
    </w:p>
    <w:p w14:paraId="27677199" w14:textId="3DA9E86B" w:rsidR="00957494" w:rsidRDefault="00957494" w:rsidP="00AA27E4">
      <w:pPr>
        <w:pStyle w:val="DHHSbullet1"/>
      </w:pPr>
      <w:r>
        <w:lastRenderedPageBreak/>
        <w:t>raising awareness of mental health issues and support services so that people know</w:t>
      </w:r>
      <w:r w:rsidR="00AA27E4">
        <w:t xml:space="preserve"> </w:t>
      </w:r>
      <w:r>
        <w:t>where to go for help (for example, R U OK? Day)</w:t>
      </w:r>
    </w:p>
    <w:p w14:paraId="467DCBF4" w14:textId="2F1B2E39" w:rsidR="00957494" w:rsidRDefault="00957494" w:rsidP="00AA27E4">
      <w:pPr>
        <w:pStyle w:val="DHHSbullet1"/>
      </w:pPr>
      <w:r>
        <w:t>supporting people with lived experience to talk about suicide in the community</w:t>
      </w:r>
    </w:p>
    <w:p w14:paraId="7FF35406" w14:textId="7DD2C11D" w:rsidR="00957494" w:rsidRDefault="00957494" w:rsidP="00AA27E4">
      <w:pPr>
        <w:pStyle w:val="DHHSbullet1"/>
      </w:pPr>
      <w:r>
        <w:t>equipping general practitioners to identify and help people in distress</w:t>
      </w:r>
    </w:p>
    <w:p w14:paraId="34EB5ACC" w14:textId="6645DC5A" w:rsidR="00957494" w:rsidRDefault="00957494" w:rsidP="00AA27E4">
      <w:pPr>
        <w:pStyle w:val="DHHSbullet1"/>
      </w:pPr>
      <w:r>
        <w:t>school-based programs to help build resilience and help-seeking among young people</w:t>
      </w:r>
    </w:p>
    <w:p w14:paraId="44071E40" w14:textId="64798860" w:rsidR="00957494" w:rsidRDefault="00957494" w:rsidP="00AA27E4">
      <w:pPr>
        <w:pStyle w:val="DHHSbullet1"/>
      </w:pPr>
      <w:r>
        <w:t>improving mental health in workplaces</w:t>
      </w:r>
    </w:p>
    <w:p w14:paraId="6020446E" w14:textId="1507E3CD" w:rsidR="00957494" w:rsidRDefault="00957494" w:rsidP="00AA27E4">
      <w:pPr>
        <w:pStyle w:val="DHHSbullet1"/>
      </w:pPr>
      <w:r>
        <w:t>improving the skills and conﬁdence of frontline workers (including ambulance and police staff) to deal with suicidal crisis</w:t>
      </w:r>
    </w:p>
    <w:p w14:paraId="50EE1F3B" w14:textId="1F0031AF" w:rsidR="00957494" w:rsidRDefault="00957494" w:rsidP="00AA27E4">
      <w:pPr>
        <w:pStyle w:val="DHHSbullet1lastline"/>
      </w:pPr>
      <w:r>
        <w:t>training local volunteers to recognise and respond to people at risk of suicide.</w:t>
      </w:r>
    </w:p>
    <w:p w14:paraId="5A30EA28" w14:textId="77777777" w:rsidR="00957494" w:rsidRDefault="00957494" w:rsidP="00957494">
      <w:pPr>
        <w:pStyle w:val="DHHSbody"/>
      </w:pPr>
      <w:r>
        <w:t>An important part of these trials is developing culturally appropriate and safe suicide prevention approaches. Engagement with Aboriginal communities to explore the particular issues for Aboriginal people is an important part of these trials.</w:t>
      </w:r>
    </w:p>
    <w:p w14:paraId="2193E490" w14:textId="77777777" w:rsidR="00957494" w:rsidRDefault="00957494" w:rsidP="00957494">
      <w:pPr>
        <w:pStyle w:val="DHHSbody"/>
      </w:pPr>
      <w:r>
        <w:t xml:space="preserve"> </w:t>
      </w:r>
    </w:p>
    <w:p w14:paraId="41B42E98" w14:textId="77777777" w:rsidR="00957494" w:rsidRDefault="00957494" w:rsidP="00534692">
      <w:pPr>
        <w:pStyle w:val="DHHSquote"/>
      </w:pPr>
      <w:r>
        <w:t>‘We have obviously been able to tap into and meet a need in this community.’</w:t>
      </w:r>
    </w:p>
    <w:p w14:paraId="386C6598" w14:textId="77777777" w:rsidR="00957494" w:rsidRDefault="00957494" w:rsidP="00534692">
      <w:pPr>
        <w:pStyle w:val="DHHSquote"/>
      </w:pPr>
      <w:proofErr w:type="spellStart"/>
      <w:r>
        <w:t>Merryl</w:t>
      </w:r>
      <w:proofErr w:type="spellEnd"/>
      <w:r>
        <w:t xml:space="preserve"> White, Suicide Prevention Coordinator, Murray Primary Health Network (March 2018)</w:t>
      </w:r>
    </w:p>
    <w:p w14:paraId="09806E3C" w14:textId="1FBFC0C7" w:rsidR="00957494" w:rsidRDefault="00957494" w:rsidP="00957494">
      <w:pPr>
        <w:pStyle w:val="DHHSbody"/>
      </w:pPr>
    </w:p>
    <w:tbl>
      <w:tblPr>
        <w:tblStyle w:val="TableGrid"/>
        <w:tblW w:w="0" w:type="auto"/>
        <w:tblLook w:val="04A0" w:firstRow="1" w:lastRow="0" w:firstColumn="1" w:lastColumn="0" w:noHBand="0" w:noVBand="1"/>
      </w:tblPr>
      <w:tblGrid>
        <w:gridCol w:w="9184"/>
      </w:tblGrid>
      <w:tr w:rsidR="00534692" w14:paraId="56FE56AF" w14:textId="77777777" w:rsidTr="00534692">
        <w:tc>
          <w:tcPr>
            <w:tcW w:w="9292" w:type="dxa"/>
          </w:tcPr>
          <w:p w14:paraId="59E04778" w14:textId="44565673" w:rsidR="00534692" w:rsidRDefault="00534692" w:rsidP="00534692">
            <w:pPr>
              <w:pStyle w:val="DHHSboxheading"/>
            </w:pPr>
            <w:r>
              <w:t>Merbein community learns suicide bereavement and support skills</w:t>
            </w:r>
          </w:p>
          <w:p w14:paraId="0C22B8A3" w14:textId="77777777" w:rsidR="00534692" w:rsidRDefault="00534692" w:rsidP="00534692">
            <w:pPr>
              <w:pStyle w:val="DHHSbody"/>
            </w:pPr>
            <w:r>
              <w:t>The ﬁrst event of the place-based suicide prevention trial, led by the Murray Primary Health Network, was held in the small community of Merbein in March 2018.</w:t>
            </w:r>
          </w:p>
          <w:p w14:paraId="2B120A3A" w14:textId="77777777" w:rsidR="00534692" w:rsidRDefault="00534692" w:rsidP="00534692">
            <w:pPr>
              <w:pStyle w:val="DHHSbody"/>
            </w:pPr>
            <w:r>
              <w:t xml:space="preserve">Run by </w:t>
            </w:r>
            <w:proofErr w:type="spellStart"/>
            <w:r>
              <w:t>StandBy</w:t>
            </w:r>
            <w:proofErr w:type="spellEnd"/>
            <w:r>
              <w:t xml:space="preserve"> Murray, a ‘What do I say? What do I DO?’ workshop attracted 65 people, who learnt about suicide bereavement, self-care and what to say and do after a suicide in their town.</w:t>
            </w:r>
          </w:p>
          <w:p w14:paraId="6E1F11B5" w14:textId="77777777" w:rsidR="00534692" w:rsidRDefault="00534692" w:rsidP="00534692">
            <w:pPr>
              <w:pStyle w:val="DHHSbody"/>
            </w:pPr>
            <w:proofErr w:type="spellStart"/>
            <w:r>
              <w:t>Merryl</w:t>
            </w:r>
            <w:proofErr w:type="spellEnd"/>
            <w:r>
              <w:t xml:space="preserve"> Whyte, suicide prevention coordinator at Murray Primary Health Network, said that the workshop attendance was fantastic and a record for </w:t>
            </w:r>
            <w:proofErr w:type="spellStart"/>
            <w:r>
              <w:t>StandBy</w:t>
            </w:r>
            <w:proofErr w:type="spellEnd"/>
            <w:r>
              <w:t xml:space="preserve"> Murray. ‘The feedback we have had from </w:t>
            </w:r>
            <w:proofErr w:type="spellStart"/>
            <w:r>
              <w:t>StandBy</w:t>
            </w:r>
            <w:proofErr w:type="spellEnd"/>
            <w:r>
              <w:t xml:space="preserve"> Murray facilitator Lucinda Fraser is that they have never had numbers of this type turn up to this workshop before… We are really pleased that our local community embraced this event, the ﬁrst we have run as part of our Mildura trial. And that we have obviously been able to tap into and meet a need in this community.’</w:t>
            </w:r>
          </w:p>
          <w:p w14:paraId="38F74743" w14:textId="77777777" w:rsidR="00534692" w:rsidRDefault="00534692" w:rsidP="00534692">
            <w:pPr>
              <w:pStyle w:val="DHHSbody"/>
            </w:pPr>
            <w:r>
              <w:t xml:space="preserve">In the lead up to the event, several Merbein residents were proactive in promoting the workshop in their town. </w:t>
            </w:r>
            <w:proofErr w:type="spellStart"/>
            <w:r>
              <w:t>Merryl</w:t>
            </w:r>
            <w:proofErr w:type="spellEnd"/>
            <w:r>
              <w:t xml:space="preserve"> says that this is partly why so many people came along. ‘We had assistance from quite a few Merbein people who were very keen for this training to be held in their town – and it was deﬁnitely down to them that we were able to create an event that attracted so many people away from their Monday night commitments.’</w:t>
            </w:r>
          </w:p>
          <w:p w14:paraId="6730D23D" w14:textId="3F3F5198" w:rsidR="00534692" w:rsidRDefault="00534692" w:rsidP="00957494">
            <w:pPr>
              <w:pStyle w:val="DHHSbody"/>
            </w:pPr>
            <w:r>
              <w:t>The Mildura trial began in August 2017 and is one of the 12 locations across the state where the Victorian Government is partnering with Primary Health Networks to test a new place-based approach to suicide prevention.</w:t>
            </w:r>
          </w:p>
        </w:tc>
      </w:tr>
    </w:tbl>
    <w:p w14:paraId="1A534A91" w14:textId="77777777" w:rsidR="00534692" w:rsidRDefault="00534692" w:rsidP="00957494">
      <w:pPr>
        <w:pStyle w:val="DHHSbody"/>
      </w:pPr>
    </w:p>
    <w:tbl>
      <w:tblPr>
        <w:tblStyle w:val="TableGrid"/>
        <w:tblW w:w="0" w:type="auto"/>
        <w:tblLook w:val="04A0" w:firstRow="1" w:lastRow="0" w:firstColumn="1" w:lastColumn="0" w:noHBand="0" w:noVBand="1"/>
      </w:tblPr>
      <w:tblGrid>
        <w:gridCol w:w="9184"/>
      </w:tblGrid>
      <w:tr w:rsidR="00534692" w14:paraId="548A3D2E" w14:textId="77777777" w:rsidTr="00534692">
        <w:tc>
          <w:tcPr>
            <w:tcW w:w="9292" w:type="dxa"/>
          </w:tcPr>
          <w:p w14:paraId="33874A92" w14:textId="17891499" w:rsidR="00534692" w:rsidRDefault="00534692" w:rsidP="00534692">
            <w:pPr>
              <w:pStyle w:val="DHHSboxheading"/>
            </w:pPr>
            <w:r>
              <w:t>Gippsland dairy farmers share mental health journeys</w:t>
            </w:r>
          </w:p>
          <w:p w14:paraId="68449263" w14:textId="77777777" w:rsidR="00534692" w:rsidRDefault="00534692" w:rsidP="00534692">
            <w:pPr>
              <w:pStyle w:val="DHHSbody"/>
            </w:pPr>
            <w:r>
              <w:t>Gippsland dairy farmers are leading the way in reducing stigma by sharing their personal stories in a calendar promoting help-seeking and suicide prevention.</w:t>
            </w:r>
          </w:p>
          <w:p w14:paraId="29B0C784" w14:textId="77777777" w:rsidR="00534692" w:rsidRDefault="00534692" w:rsidP="00534692">
            <w:pPr>
              <w:pStyle w:val="DHHSbody"/>
            </w:pPr>
            <w:r>
              <w:t xml:space="preserve">The Gippsland Dairy Calendar was launched at Farm World 2018 as part of the suicide prevention activities occurring in Gippsland and focuses on stories of 12 brave farmers sharing their mental health journey. Farm World is one of Victoria’s largest regional agricultural events, attracting more </w:t>
            </w:r>
            <w:r>
              <w:lastRenderedPageBreak/>
              <w:t>than 55,000 visitors over four days, and is therefore a great opportunity to directly engage with the local community.</w:t>
            </w:r>
          </w:p>
          <w:p w14:paraId="7DE2EDD6" w14:textId="77777777" w:rsidR="00534692" w:rsidRDefault="00534692" w:rsidP="00534692">
            <w:pPr>
              <w:pStyle w:val="DHHSbody"/>
            </w:pPr>
            <w:r>
              <w:t>Sallie Jones, project lead for the calendar and co-owner of Gippsland Jersey, said that the calendar ‘will serve as a starting point towards breaking down the stigma attached to mental health in our rural communities. Our wish is that this calendar prompts honest and real conversations about a health issue that often we feel ashamed or embarrassed about.’ Sallie’s dad, Michael Bowen, died by suicide in 2016, and she has dedicated her work on this calendar to his memory.</w:t>
            </w:r>
          </w:p>
          <w:p w14:paraId="05CB379C" w14:textId="77777777" w:rsidR="00534692" w:rsidRDefault="00534692" w:rsidP="00534692">
            <w:pPr>
              <w:pStyle w:val="DHHSbody"/>
            </w:pPr>
            <w:r>
              <w:t>Distributed free to 1,400 dairy farms throughout the Gippsland region, the calendars serve as a resource for farmers experiencing mental health struggles. The calendar provides relevant assistance numbers for health and welfare support services, encouraging farmers to seek help early. Calendars can also be purchased by the wider community.</w:t>
            </w:r>
          </w:p>
          <w:p w14:paraId="3170EEE9" w14:textId="00E7E9B5" w:rsidR="00534692" w:rsidRDefault="00534692" w:rsidP="00957494">
            <w:pPr>
              <w:pStyle w:val="DHHSbody"/>
            </w:pPr>
            <w:r>
              <w:t>The Gippsland Dairy Calendar project has been made possible by place-based suicide prevention trials operating in the Latrobe Valley and Bass Coast areas.</w:t>
            </w:r>
          </w:p>
        </w:tc>
      </w:tr>
    </w:tbl>
    <w:p w14:paraId="50ECE7EE" w14:textId="609DBC8B" w:rsidR="00957494" w:rsidRDefault="00706D56" w:rsidP="00706D56">
      <w:pPr>
        <w:pStyle w:val="Heading3"/>
      </w:pPr>
      <w:r>
        <w:lastRenderedPageBreak/>
        <w:t>National suicide prevention implementation strategy</w:t>
      </w:r>
    </w:p>
    <w:p w14:paraId="2B8A76F2" w14:textId="77777777" w:rsidR="00957494" w:rsidRDefault="00957494" w:rsidP="00957494">
      <w:pPr>
        <w:pStyle w:val="DHHSbody"/>
      </w:pPr>
      <w:r>
        <w:t xml:space="preserve">The Victorian Government, alongside the Commonwealth and other state and territory governments, endorsed the </w:t>
      </w:r>
      <w:r w:rsidRPr="00235E13">
        <w:rPr>
          <w:i/>
        </w:rPr>
        <w:t>Fifth national mental health and suicide prevention plan</w:t>
      </w:r>
      <w:r>
        <w:t xml:space="preserve"> in August 2017.</w:t>
      </w:r>
    </w:p>
    <w:p w14:paraId="3532FA2E" w14:textId="2A80D4F5" w:rsidR="00957494" w:rsidRDefault="00957494" w:rsidP="00957494">
      <w:pPr>
        <w:pStyle w:val="DHHSbody"/>
      </w:pPr>
      <w:r>
        <w:t>The ﬁfth plan commits governments to developing a national suicide prevention implementation strategy that operationalises the 11 elements</w:t>
      </w:r>
      <w:r w:rsidR="00AA27E4">
        <w:t xml:space="preserve"> </w:t>
      </w:r>
      <w:r>
        <w:t xml:space="preserve">of the World Health Organization’s initiative </w:t>
      </w:r>
      <w:r w:rsidRPr="00235E13">
        <w:rPr>
          <w:i/>
        </w:rPr>
        <w:t>Preventing suicide: a global imperative</w:t>
      </w:r>
      <w:r>
        <w:t>. It will take into account existing strategies, plans and activities, with a focus on:</w:t>
      </w:r>
    </w:p>
    <w:p w14:paraId="7FB484DC" w14:textId="320EB64B" w:rsidR="00957494" w:rsidRDefault="00957494" w:rsidP="00AA27E4">
      <w:pPr>
        <w:pStyle w:val="DHHSbullet1"/>
      </w:pPr>
      <w:r>
        <w:t>providing consistent and timely follow-up care for people who have attempted suicide or are at risk of suicide, including agreeing on clear roles and responsibilities for providers across the service system</w:t>
      </w:r>
    </w:p>
    <w:p w14:paraId="4B59D712" w14:textId="7673A936" w:rsidR="00957494" w:rsidRDefault="00957494" w:rsidP="00AA27E4">
      <w:pPr>
        <w:pStyle w:val="DHHSbullet1"/>
      </w:pPr>
      <w:r>
        <w:t>ensuring timely follow-up support is available to people affected by suicide</w:t>
      </w:r>
    </w:p>
    <w:p w14:paraId="509C9DC9" w14:textId="0AFD4245" w:rsidR="00957494" w:rsidRDefault="00957494" w:rsidP="00AA27E4">
      <w:pPr>
        <w:pStyle w:val="DHHSbullet1"/>
      </w:pPr>
      <w:r>
        <w:t>improving cultural safety across all service settings</w:t>
      </w:r>
    </w:p>
    <w:p w14:paraId="235E1677" w14:textId="3608003F" w:rsidR="00957494" w:rsidRDefault="00957494" w:rsidP="00AA27E4">
      <w:pPr>
        <w:pStyle w:val="DHHSbullet1"/>
      </w:pPr>
      <w:r>
        <w:t>improving relationships between providers, including emergency services</w:t>
      </w:r>
    </w:p>
    <w:p w14:paraId="6B90A307" w14:textId="15BC30CA" w:rsidR="00957494" w:rsidRDefault="00957494" w:rsidP="00AA27E4">
      <w:pPr>
        <w:pStyle w:val="DHHSbullet1lastline"/>
      </w:pPr>
      <w:r>
        <w:t>improving data collection and combined evaluation efforts to build the evidence base on ‘what works’ in relation to preventing suicide and suicide attempts.</w:t>
      </w:r>
    </w:p>
    <w:p w14:paraId="26CB2E8B" w14:textId="77777777" w:rsidR="00957494" w:rsidRDefault="00957494" w:rsidP="00957494">
      <w:pPr>
        <w:pStyle w:val="DHHSbody"/>
      </w:pPr>
      <w:r>
        <w:t>Governments will develop and deliver the strategy for endorsement by Australian health ministers in 2020.</w:t>
      </w:r>
    </w:p>
    <w:p w14:paraId="5BC54CA8" w14:textId="77777777" w:rsidR="00957494" w:rsidRDefault="00957494" w:rsidP="00957494">
      <w:pPr>
        <w:pStyle w:val="DHHSbody"/>
      </w:pPr>
      <w:r>
        <w:t>Victoria is leading this work on behalf of all governments.</w:t>
      </w:r>
    </w:p>
    <w:p w14:paraId="6EE3629A" w14:textId="0ECB1BFB" w:rsidR="00534692" w:rsidRDefault="00534692" w:rsidP="00534692">
      <w:pPr>
        <w:pStyle w:val="DHHSquote"/>
        <w:rPr>
          <w:lang w:eastAsia="en-AU"/>
        </w:rPr>
      </w:pPr>
      <w:r>
        <w:rPr>
          <w:lang w:eastAsia="en-AU"/>
        </w:rPr>
        <w:t>‘We are gaining some very valuable and insightful perspectives from the mental health workforce.’</w:t>
      </w:r>
    </w:p>
    <w:p w14:paraId="3B1AB1C8" w14:textId="2B947278" w:rsidR="00957494" w:rsidRPr="00534692" w:rsidRDefault="00534692" w:rsidP="00534692">
      <w:pPr>
        <w:pStyle w:val="DHHSquote"/>
      </w:pPr>
      <w:r w:rsidRPr="00534692">
        <w:t>Rosemary Charleston, Director, Centre for Mental Health Learning (July 2018)</w:t>
      </w:r>
    </w:p>
    <w:p w14:paraId="312B927F" w14:textId="77777777" w:rsidR="00706D56" w:rsidRDefault="00706D56" w:rsidP="00706D56">
      <w:pPr>
        <w:pStyle w:val="Heading2"/>
      </w:pPr>
      <w:bookmarkStart w:id="8" w:name="_Toc28340148"/>
      <w:r>
        <w:t>Supporting and strengthening our mental health workforce</w:t>
      </w:r>
      <w:bookmarkEnd w:id="8"/>
    </w:p>
    <w:p w14:paraId="66EE33C3" w14:textId="12252749" w:rsidR="00534692" w:rsidRDefault="00706D56" w:rsidP="00957494">
      <w:pPr>
        <w:pStyle w:val="DHHSbody"/>
      </w:pPr>
      <w:r w:rsidRPr="00242F9D">
        <w:rPr>
          <w:b/>
          <w:bCs/>
        </w:rPr>
        <w:t>OUTCOME 16: Services are safe, of high quality, offer choice and provide a positive service experience</w:t>
      </w:r>
    </w:p>
    <w:p w14:paraId="3EB09234" w14:textId="3B19AC68" w:rsidR="00957494" w:rsidRDefault="00706D56" w:rsidP="00706D56">
      <w:pPr>
        <w:pStyle w:val="Heading3"/>
      </w:pPr>
      <w:r>
        <w:t>Centre for Mental Health Learning</w:t>
      </w:r>
    </w:p>
    <w:p w14:paraId="04504EE7" w14:textId="2D2CACF5" w:rsidR="00957494" w:rsidRDefault="00957494" w:rsidP="00957494">
      <w:pPr>
        <w:pStyle w:val="DHHSbody"/>
      </w:pPr>
      <w:r>
        <w:t xml:space="preserve">Following a competitive process undertaken this year, we were pleased to announce that </w:t>
      </w:r>
      <w:proofErr w:type="spellStart"/>
      <w:r>
        <w:t>NorthWestern</w:t>
      </w:r>
      <w:proofErr w:type="spellEnd"/>
      <w:r>
        <w:t xml:space="preserve"> Mental Health was successful in its bid to establish and operate the highly</w:t>
      </w:r>
      <w:r w:rsidR="00AA27E4">
        <w:t xml:space="preserve"> </w:t>
      </w:r>
      <w:r>
        <w:t xml:space="preserve">anticipated Centre for Mental Health Learning. The centre is a key part of Victoria’s </w:t>
      </w:r>
      <w:r w:rsidRPr="00242F9D">
        <w:rPr>
          <w:i/>
          <w:iCs/>
        </w:rPr>
        <w:t>Mental health workforce strategy</w:t>
      </w:r>
      <w:r>
        <w:t>, released under the 10-year mental health plan.</w:t>
      </w:r>
    </w:p>
    <w:p w14:paraId="17EFA9CB" w14:textId="77777777" w:rsidR="00957494" w:rsidRDefault="00957494" w:rsidP="00957494">
      <w:pPr>
        <w:pStyle w:val="DHHSbody"/>
      </w:pPr>
      <w:r>
        <w:lastRenderedPageBreak/>
        <w:t>The centre will become the centrepiece for mental health workforce development in Victoria, creating a platform for learning and development activities, practice support resources, research, increased collaboration and access to expertise.</w:t>
      </w:r>
    </w:p>
    <w:p w14:paraId="35BCC8AD" w14:textId="0EC03C73" w:rsidR="00957494" w:rsidRDefault="00957494" w:rsidP="00957494">
      <w:pPr>
        <w:pStyle w:val="DHHSbody"/>
      </w:pPr>
      <w:r>
        <w:t>The centre will act as an umbrella organisation, helping to coordinate and leverage current mental health investments by partnering with statewide trainers, Mental Health Workforce Learning and Development Clusters, health services, clinical</w:t>
      </w:r>
      <w:r w:rsidR="00AA27E4">
        <w:t xml:space="preserve"> </w:t>
      </w:r>
      <w:r>
        <w:t>and experts-by-experience academics, and other stakeholders.</w:t>
      </w:r>
    </w:p>
    <w:p w14:paraId="029086F7" w14:textId="77AEA2DB" w:rsidR="00957494" w:rsidRDefault="00957494" w:rsidP="00957494">
      <w:pPr>
        <w:pStyle w:val="DHHSbody"/>
      </w:pPr>
      <w:r>
        <w:t>The centre is expected to begin full operations by the end of 2018.</w:t>
      </w:r>
    </w:p>
    <w:p w14:paraId="47DBE9C5" w14:textId="77777777" w:rsidR="00242F9D" w:rsidRDefault="00242F9D" w:rsidP="00706D56">
      <w:pPr>
        <w:pStyle w:val="Heading4"/>
        <w:rPr>
          <w:lang w:eastAsia="en-AU"/>
        </w:rPr>
      </w:pPr>
      <w:r>
        <w:rPr>
          <w:lang w:eastAsia="en-AU"/>
        </w:rPr>
        <w:t>A new centre for mental health learning</w:t>
      </w:r>
    </w:p>
    <w:p w14:paraId="0C5784FA" w14:textId="40AA6A2D" w:rsidR="00242F9D" w:rsidRPr="00242F9D" w:rsidRDefault="00242F9D" w:rsidP="00242F9D">
      <w:pPr>
        <w:pStyle w:val="DHHSbody"/>
      </w:pPr>
      <w:r w:rsidRPr="00242F9D">
        <w:t>The Centre for Mental Health Learning,</w:t>
      </w:r>
      <w:r>
        <w:t xml:space="preserve"> </w:t>
      </w:r>
      <w:proofErr w:type="spellStart"/>
      <w:r w:rsidRPr="00242F9D">
        <w:t>auspiced</w:t>
      </w:r>
      <w:proofErr w:type="spellEnd"/>
      <w:r w:rsidRPr="00242F9D">
        <w:t xml:space="preserve"> by </w:t>
      </w:r>
      <w:proofErr w:type="spellStart"/>
      <w:r w:rsidRPr="00242F9D">
        <w:t>NorthWestern</w:t>
      </w:r>
      <w:proofErr w:type="spellEnd"/>
      <w:r w:rsidRPr="00242F9D">
        <w:t xml:space="preserve"> Mental Health,</w:t>
      </w:r>
      <w:r>
        <w:t xml:space="preserve"> </w:t>
      </w:r>
      <w:r w:rsidRPr="00242F9D">
        <w:t>is an exciting initiative for Victorian public clinical mental health services. Rosemary Charleston was appointed as the centre</w:t>
      </w:r>
      <w:r w:rsidR="00BF16A4">
        <w:t>’</w:t>
      </w:r>
      <w:r w:rsidRPr="00242F9D">
        <w:t xml:space="preserve">s first director in early 2018. </w:t>
      </w:r>
    </w:p>
    <w:p w14:paraId="01AA91EA" w14:textId="5E279223" w:rsidR="00242F9D" w:rsidRPr="00242F9D" w:rsidRDefault="00242F9D" w:rsidP="00242F9D">
      <w:pPr>
        <w:pStyle w:val="DHHSbody"/>
      </w:pPr>
      <w:r w:rsidRPr="00242F9D">
        <w:t>Rosemary says, ‘Our engagement and consultation processes have now commenced, and we are gaining some very valuable and insightful perspectives from the mental health workforce. There has been great energy</w:t>
      </w:r>
      <w:r>
        <w:t xml:space="preserve"> </w:t>
      </w:r>
      <w:r w:rsidRPr="00242F9D">
        <w:t>and enthusiasm in these discussions about</w:t>
      </w:r>
      <w:r>
        <w:t xml:space="preserve"> </w:t>
      </w:r>
      <w:r w:rsidRPr="00242F9D">
        <w:t>what the centre can contribute to the sector.</w:t>
      </w:r>
      <w:r>
        <w:t xml:space="preserve"> </w:t>
      </w:r>
      <w:r w:rsidRPr="00242F9D">
        <w:t>Another real achievement is our website</w:t>
      </w:r>
      <w:r>
        <w:t xml:space="preserve"> </w:t>
      </w:r>
      <w:r w:rsidRPr="00242F9D">
        <w:t>launch in August 2018.</w:t>
      </w:r>
      <w:r w:rsidRPr="00242F9D">
        <w:rPr>
          <w:rFonts w:hint="eastAsia"/>
        </w:rPr>
        <w:t>’</w:t>
      </w:r>
    </w:p>
    <w:p w14:paraId="104D760F" w14:textId="5859DDA0" w:rsidR="00957494" w:rsidRDefault="00706D56" w:rsidP="00706D56">
      <w:pPr>
        <w:pStyle w:val="Heading3"/>
      </w:pPr>
      <w:r>
        <w:t>Mental Health Workforce Innovation Program</w:t>
      </w:r>
    </w:p>
    <w:p w14:paraId="2D2C74C6" w14:textId="054081A6" w:rsidR="00957494" w:rsidRDefault="00957494" w:rsidP="00957494">
      <w:pPr>
        <w:pStyle w:val="DHHSbody"/>
      </w:pPr>
      <w:r>
        <w:t>The Department of Health and Human Services awarded new grants to support consumer-led and carer-led workforce innovation projects during the year. These included four</w:t>
      </w:r>
      <w:r w:rsidR="00AA27E4">
        <w:t xml:space="preserve"> </w:t>
      </w:r>
      <w:r>
        <w:t>consumer-led projects, four family/carer-led projects and a Forensicare research project on the mental health lived experience workforce within the justice system to be jointly led by a family/carer advocate and consumer consultant.</w:t>
      </w:r>
    </w:p>
    <w:p w14:paraId="1BBB20B6" w14:textId="0775223B" w:rsidR="00957494" w:rsidRDefault="00957494" w:rsidP="00957494">
      <w:pPr>
        <w:pStyle w:val="DHHSbody"/>
      </w:pPr>
      <w:r>
        <w:t>The projects will begin in the second half of  2018. More information about the Mental Health Workforce Innovation Program, including a summary of all grant recipients is available from the department’s website &lt;https://www2.health.vic.gov.au/mental-health/workforce-and-training/consumer-led-and-carer-led-workforce- innovation-grants&gt;.</w:t>
      </w:r>
    </w:p>
    <w:p w14:paraId="74E2A461" w14:textId="77777777" w:rsidR="00957494" w:rsidRDefault="00957494" w:rsidP="00957494">
      <w:pPr>
        <w:pStyle w:val="DHHSbody"/>
      </w:pPr>
      <w:r>
        <w:t>Mental Health Workforce Innovation Day was held in September 2017. Eighty-four people attended an event on the day including clinical mental health workers, lived experience workers, statewide training providers, clinical academics and members of the Mental Health Expert Taskforce and its reference groups.</w:t>
      </w:r>
    </w:p>
    <w:p w14:paraId="7F27ED9F" w14:textId="2C6E9860" w:rsidR="00957494" w:rsidRDefault="00957494" w:rsidP="00957494">
      <w:pPr>
        <w:pStyle w:val="DHHSbody"/>
      </w:pPr>
      <w:r>
        <w:t>The day provided a forum for the clinical mental health workforce to come together to share ideas about workforce innovation, to share their experiences with innovative workforce models, to discuss factors that support and inhibit innovative practice, and to hear about the experiences of organisations leading the way</w:t>
      </w:r>
      <w:r w:rsidR="00AA27E4">
        <w:t xml:space="preserve"> </w:t>
      </w:r>
      <w:r>
        <w:t>in implementing innovative workforce models.</w:t>
      </w:r>
    </w:p>
    <w:tbl>
      <w:tblPr>
        <w:tblStyle w:val="TableGrid"/>
        <w:tblW w:w="0" w:type="auto"/>
        <w:tblLook w:val="04A0" w:firstRow="1" w:lastRow="0" w:firstColumn="1" w:lastColumn="0" w:noHBand="0" w:noVBand="1"/>
      </w:tblPr>
      <w:tblGrid>
        <w:gridCol w:w="9184"/>
      </w:tblGrid>
      <w:tr w:rsidR="00242F9D" w14:paraId="7CF50B74" w14:textId="77777777" w:rsidTr="00242F9D">
        <w:tc>
          <w:tcPr>
            <w:tcW w:w="9292" w:type="dxa"/>
          </w:tcPr>
          <w:p w14:paraId="4A57CA45" w14:textId="23D5790B" w:rsidR="00242F9D" w:rsidRDefault="00242F9D" w:rsidP="00242F9D">
            <w:pPr>
              <w:pStyle w:val="DHHSboxheading"/>
            </w:pPr>
            <w:r>
              <w:t>Enabling supported decision making</w:t>
            </w:r>
          </w:p>
          <w:p w14:paraId="24F78499" w14:textId="77777777" w:rsidR="00242F9D" w:rsidRDefault="00242F9D" w:rsidP="00242F9D">
            <w:pPr>
              <w:pStyle w:val="DHHSbody"/>
            </w:pPr>
            <w:r>
              <w:t>The Enabling Supported Decision Making project, established by the Royal Australian and New Zealand College of Psychiatrists (RANZCP) Victorian Branch in 2015, has seen a partnership between consumers, psychiatrists and other stakeholders. This partnership has now produced a position statement for psychiatrists on supported decision making, as well as a pilot workshop.</w:t>
            </w:r>
          </w:p>
          <w:p w14:paraId="46A698A7" w14:textId="77777777" w:rsidR="00242F9D" w:rsidRDefault="00242F9D" w:rsidP="00242F9D">
            <w:pPr>
              <w:pStyle w:val="DHHSbody"/>
            </w:pPr>
            <w:r>
              <w:t>The workshop was co-designed and co-delivered by consumers and clinicians to 60 psychiatrists and registrars in May 2018. The workshop’s interactive format and content was extraordinarily well received and breaks new ground in the way the RANZCP delivers training.</w:t>
            </w:r>
          </w:p>
          <w:p w14:paraId="003B2BEB" w14:textId="77777777" w:rsidR="00242F9D" w:rsidRDefault="00242F9D" w:rsidP="00242F9D">
            <w:pPr>
              <w:pStyle w:val="DHHSbody"/>
            </w:pPr>
            <w:r>
              <w:t xml:space="preserve">Though principally for Victorian-based psychiatrists working under the </w:t>
            </w:r>
            <w:r w:rsidRPr="00235E13">
              <w:rPr>
                <w:i/>
              </w:rPr>
              <w:t>Mental Health Act 2014</w:t>
            </w:r>
            <w:r>
              <w:t>, both the position statement and workshop will also support best practice for mental health professionals throughout Australia and New Zealand in all mental health practice settings.</w:t>
            </w:r>
          </w:p>
          <w:p w14:paraId="76502DAC" w14:textId="4F916A92" w:rsidR="00242F9D" w:rsidRDefault="00242F9D" w:rsidP="00957494">
            <w:pPr>
              <w:pStyle w:val="DHHSbody"/>
            </w:pPr>
            <w:r>
              <w:lastRenderedPageBreak/>
              <w:t>This project was funded by the department as a way to explore and better understand co-production.</w:t>
            </w:r>
          </w:p>
        </w:tc>
      </w:tr>
    </w:tbl>
    <w:p w14:paraId="775DF14C" w14:textId="0C04CD71" w:rsidR="00957494" w:rsidRDefault="00706D56" w:rsidP="00706D56">
      <w:pPr>
        <w:pStyle w:val="Heading3"/>
      </w:pPr>
      <w:r>
        <w:lastRenderedPageBreak/>
        <w:t>Building co-design capacity</w:t>
      </w:r>
    </w:p>
    <w:p w14:paraId="598C78F0" w14:textId="4F25E8A5" w:rsidR="00242F9D" w:rsidRPr="00242F9D" w:rsidRDefault="00242F9D" w:rsidP="00242F9D">
      <w:pPr>
        <w:pStyle w:val="DHHSbody"/>
        <w:rPr>
          <w:b/>
          <w:bCs/>
        </w:rPr>
      </w:pPr>
      <w:r w:rsidRPr="00242F9D">
        <w:rPr>
          <w:b/>
          <w:bCs/>
        </w:rPr>
        <w:t>OUTCOME 7: Victorians with mental illness participate in learning and education</w:t>
      </w:r>
    </w:p>
    <w:p w14:paraId="22F32D03" w14:textId="77777777" w:rsidR="00957494" w:rsidRDefault="00957494" w:rsidP="00957494">
      <w:pPr>
        <w:pStyle w:val="DHHSbody"/>
      </w:pPr>
      <w:r>
        <w:t>The department’s Workforce branch, together with lived experience workforce partners and their organisations, have embarked on a journey to build and improve skills around co-design.</w:t>
      </w:r>
    </w:p>
    <w:p w14:paraId="66128868" w14:textId="77777777" w:rsidR="00957494" w:rsidRDefault="00957494" w:rsidP="00957494">
      <w:pPr>
        <w:pStyle w:val="DHHSbody"/>
      </w:pPr>
      <w:r>
        <w:t>The Australian Centre for Social Innovation (TACSI) worked with consumer academic Cath Roper to create a tailored program run as a pilot series of three co-design workshops from December 2017 to March 2018.</w:t>
      </w:r>
    </w:p>
    <w:p w14:paraId="7007E016" w14:textId="77777777" w:rsidR="00957494" w:rsidRDefault="00957494" w:rsidP="00957494">
      <w:pPr>
        <w:pStyle w:val="DHHSbody"/>
      </w:pPr>
      <w:r>
        <w:t>TACSI is supporting several areas of the department to examine and strengthen the conditions required for co-designing with lived experience participants. The department has also funded TACSI to provide planning and coaching support for a number of co-design projects in the sector.</w:t>
      </w:r>
    </w:p>
    <w:p w14:paraId="792C91D1" w14:textId="480F073A" w:rsidR="00957494" w:rsidRDefault="00706D56" w:rsidP="00706D56">
      <w:pPr>
        <w:pStyle w:val="Heading3"/>
      </w:pPr>
      <w:r>
        <w:t>Aboriginal mental health workforce initiatives</w:t>
      </w:r>
    </w:p>
    <w:p w14:paraId="3DE2F96F" w14:textId="77777777" w:rsidR="00957494" w:rsidRDefault="00957494" w:rsidP="00957494">
      <w:pPr>
        <w:pStyle w:val="DHHSbody"/>
      </w:pPr>
      <w:r>
        <w:t>In 2017–18 the Victorian Government announced funding to support two new Aboriginal-speciﬁc initiatives:</w:t>
      </w:r>
    </w:p>
    <w:p w14:paraId="4787F090" w14:textId="65126F32" w:rsidR="00957494" w:rsidRDefault="00957494" w:rsidP="00AA27E4">
      <w:pPr>
        <w:pStyle w:val="DHHSbullet1"/>
      </w:pPr>
      <w:r>
        <w:t>a mental health traineeship program for Aboriginal people in mental health services</w:t>
      </w:r>
    </w:p>
    <w:p w14:paraId="4524AAF7" w14:textId="3F463307" w:rsidR="00957494" w:rsidRDefault="00957494" w:rsidP="00AA27E4">
      <w:pPr>
        <w:pStyle w:val="DHHSbullet1"/>
      </w:pPr>
      <w:r>
        <w:t>Aboriginal clinical and therapeutic positions in Aboriginal community-controlled health services.</w:t>
      </w:r>
    </w:p>
    <w:p w14:paraId="13793FCD" w14:textId="3148D749" w:rsidR="00957494" w:rsidRDefault="00706D56" w:rsidP="00706D56">
      <w:pPr>
        <w:pStyle w:val="Heading4"/>
      </w:pPr>
      <w:r>
        <w:t>Aboriginal Mental Health Traineeships Program</w:t>
      </w:r>
    </w:p>
    <w:p w14:paraId="2D915D09" w14:textId="77777777" w:rsidR="00957494" w:rsidRDefault="00957494" w:rsidP="00957494">
      <w:pPr>
        <w:pStyle w:val="DHHSbody"/>
      </w:pPr>
      <w:r>
        <w:t>The Aboriginal Mental Health Traineeship program is a new workforce strategy to build a mental health workforce that provides culturally safe and inclusive mental health care for Aboriginal Victorians.</w:t>
      </w:r>
    </w:p>
    <w:p w14:paraId="0637B41E" w14:textId="33AEF099" w:rsidR="00957494" w:rsidRDefault="00957494" w:rsidP="00957494">
      <w:pPr>
        <w:pStyle w:val="DHHSbody"/>
      </w:pPr>
      <w:r>
        <w:t>Area mental health services will employ</w:t>
      </w:r>
      <w:r w:rsidR="00A511BE">
        <w:t xml:space="preserve"> </w:t>
      </w:r>
      <w:r>
        <w:t>10 Aboriginal mental health trainees, providing them with supervised workplace training and clinical placements over three years while they complete a Bachelor of Science (Aboriginal Mental Health) through Charles Sturt University in New South Wales.</w:t>
      </w:r>
    </w:p>
    <w:p w14:paraId="22058478" w14:textId="77777777" w:rsidR="00957494" w:rsidRDefault="00957494" w:rsidP="00957494">
      <w:pPr>
        <w:pStyle w:val="DHHSbody"/>
      </w:pPr>
      <w:r>
        <w:t>This specialist course aims to prepare graduates to work within mental health services with all members of the community, with a particular understanding and appreciation of Aboriginal and Torres Strait Islander clients, their families and communities.</w:t>
      </w:r>
    </w:p>
    <w:p w14:paraId="48B7B175" w14:textId="77777777" w:rsidR="00957494" w:rsidRDefault="00957494" w:rsidP="00957494">
      <w:pPr>
        <w:pStyle w:val="DHHSbody"/>
      </w:pPr>
      <w:r>
        <w:t>The initiative aims to:</w:t>
      </w:r>
    </w:p>
    <w:p w14:paraId="4A1FA261" w14:textId="7A18D278" w:rsidR="00957494" w:rsidRDefault="00957494" w:rsidP="00AA27E4">
      <w:pPr>
        <w:pStyle w:val="DHHSbullet1"/>
      </w:pPr>
      <w:r>
        <w:t>improve the effectiveness of mental health services in delivering culturally safe and inclusive services to Aboriginal people</w:t>
      </w:r>
    </w:p>
    <w:p w14:paraId="3AA54B04" w14:textId="6D9CF033" w:rsidR="00957494" w:rsidRDefault="00957494" w:rsidP="00AA27E4">
      <w:pPr>
        <w:pStyle w:val="DHHSbullet1"/>
      </w:pPr>
      <w:r>
        <w:t>improve mental health promotion, prevention, early detection, intervention and treatment for Aboriginal people and communities</w:t>
      </w:r>
    </w:p>
    <w:p w14:paraId="723BA1E1" w14:textId="7B66A9EC" w:rsidR="00957494" w:rsidRDefault="00957494" w:rsidP="00AA27E4">
      <w:pPr>
        <w:pStyle w:val="DHHSbullet1lastline"/>
      </w:pPr>
      <w:r>
        <w:t>strengthen Aboriginal-controlled community organisation and area mental health service partnerships and referral pathways.</w:t>
      </w:r>
    </w:p>
    <w:p w14:paraId="400D52C8" w14:textId="5950FC24" w:rsidR="00957494" w:rsidRDefault="00957494" w:rsidP="00957494">
      <w:pPr>
        <w:pStyle w:val="DHHSbody"/>
      </w:pPr>
      <w:r>
        <w:t>Trainees will be located at eight area mental health services across metropolitan and rural Victoria. Eastern Health received funding for</w:t>
      </w:r>
      <w:r w:rsidR="00A511BE">
        <w:t xml:space="preserve"> </w:t>
      </w:r>
      <w:r>
        <w:t>two trainees, as did Bendigo Health. Alfred Health, Peninsula Health, Latrobe Regional Hospital, Mildura Base Hospital, Monash Health and Forensicare all received funding for one trainee.</w:t>
      </w:r>
    </w:p>
    <w:p w14:paraId="5A2D929A" w14:textId="77777777" w:rsidR="00957494" w:rsidRDefault="00957494" w:rsidP="00957494">
      <w:pPr>
        <w:pStyle w:val="DHHSbody"/>
      </w:pPr>
      <w:r>
        <w:t>Recruitment to the positions will be completed in October 2018.</w:t>
      </w:r>
    </w:p>
    <w:p w14:paraId="5D42DED7" w14:textId="06DE5B32" w:rsidR="00957494" w:rsidRDefault="00706D56" w:rsidP="00706D56">
      <w:pPr>
        <w:pStyle w:val="Heading4"/>
      </w:pPr>
      <w:r>
        <w:t>Aboriginal clinical and therapeutic mental health positions</w:t>
      </w:r>
    </w:p>
    <w:p w14:paraId="696BB638" w14:textId="77777777" w:rsidR="00957494" w:rsidRDefault="00957494" w:rsidP="00957494">
      <w:pPr>
        <w:pStyle w:val="DHHSbody"/>
      </w:pPr>
      <w:r>
        <w:t>This initiative will support 10 mental health clinical and therapeutic positions in selected Aboriginal community-controlled organisations across rural and metropolitan areas:</w:t>
      </w:r>
    </w:p>
    <w:p w14:paraId="643A738F" w14:textId="3D1F83B4" w:rsidR="00957494" w:rsidRDefault="00957494" w:rsidP="00AA27E4">
      <w:pPr>
        <w:pStyle w:val="DHHSbullet1"/>
      </w:pPr>
      <w:proofErr w:type="spellStart"/>
      <w:r>
        <w:lastRenderedPageBreak/>
        <w:t>Ramahyuck</w:t>
      </w:r>
      <w:proofErr w:type="spellEnd"/>
      <w:r>
        <w:t xml:space="preserve"> District Aboriginal Corporation (Morwell)</w:t>
      </w:r>
    </w:p>
    <w:p w14:paraId="31702066" w14:textId="60E104C4" w:rsidR="00957494" w:rsidRDefault="00957494" w:rsidP="00AA27E4">
      <w:pPr>
        <w:pStyle w:val="DHHSbullet1"/>
      </w:pPr>
      <w:r>
        <w:t>Victorian Aboriginal Child Care Agency</w:t>
      </w:r>
    </w:p>
    <w:p w14:paraId="3597AEAA" w14:textId="6EA8A08E" w:rsidR="00957494" w:rsidRDefault="00957494" w:rsidP="00AA27E4">
      <w:pPr>
        <w:pStyle w:val="DHHSbullet1"/>
      </w:pPr>
      <w:r>
        <w:t>Mallee District Aboriginal Services (Swan Hill)</w:t>
      </w:r>
    </w:p>
    <w:p w14:paraId="17147FC9" w14:textId="4DD6C052" w:rsidR="00957494" w:rsidRDefault="00957494" w:rsidP="00AA27E4">
      <w:pPr>
        <w:pStyle w:val="DHHSbullet1"/>
      </w:pPr>
      <w:r>
        <w:t>Healesville Indigenous Community Services Association</w:t>
      </w:r>
    </w:p>
    <w:p w14:paraId="0876F533" w14:textId="15E9DF47" w:rsidR="00957494" w:rsidRDefault="00957494" w:rsidP="00AA27E4">
      <w:pPr>
        <w:pStyle w:val="DHHSbullet1"/>
      </w:pPr>
      <w:proofErr w:type="spellStart"/>
      <w:r>
        <w:t>Gunditjmara</w:t>
      </w:r>
      <w:proofErr w:type="spellEnd"/>
      <w:r>
        <w:t xml:space="preserve"> Aboriginal Co-operative</w:t>
      </w:r>
    </w:p>
    <w:p w14:paraId="56A95B53" w14:textId="2ACCE313" w:rsidR="00957494" w:rsidRDefault="00957494" w:rsidP="00AA27E4">
      <w:pPr>
        <w:pStyle w:val="DHHSbullet1"/>
      </w:pPr>
      <w:r>
        <w:t>Ballarat and District Aboriginal Co-operative</w:t>
      </w:r>
    </w:p>
    <w:p w14:paraId="3A216907" w14:textId="7BE43C0D" w:rsidR="00957494" w:rsidRDefault="00957494" w:rsidP="00AA27E4">
      <w:pPr>
        <w:pStyle w:val="DHHSbullet1"/>
      </w:pPr>
      <w:proofErr w:type="spellStart"/>
      <w:r>
        <w:t>Budja</w:t>
      </w:r>
      <w:proofErr w:type="spellEnd"/>
      <w:r>
        <w:t xml:space="preserve"> </w:t>
      </w:r>
      <w:proofErr w:type="spellStart"/>
      <w:r>
        <w:t>Budja</w:t>
      </w:r>
      <w:proofErr w:type="spellEnd"/>
      <w:r>
        <w:t xml:space="preserve"> Aboriginal Co-operative</w:t>
      </w:r>
    </w:p>
    <w:p w14:paraId="2EC6FE45" w14:textId="311506EA" w:rsidR="00957494" w:rsidRDefault="00957494" w:rsidP="00AA27E4">
      <w:pPr>
        <w:pStyle w:val="DHHSbullet1"/>
      </w:pPr>
      <w:proofErr w:type="spellStart"/>
      <w:r>
        <w:t>Winda</w:t>
      </w:r>
      <w:proofErr w:type="spellEnd"/>
      <w:r>
        <w:t>-Mara Aboriginal Corporation</w:t>
      </w:r>
    </w:p>
    <w:p w14:paraId="231576E8" w14:textId="1E4A30A6" w:rsidR="00957494" w:rsidRDefault="00957494" w:rsidP="00AA27E4">
      <w:pPr>
        <w:pStyle w:val="DHHSbullet1"/>
      </w:pPr>
      <w:proofErr w:type="spellStart"/>
      <w:r>
        <w:t>Dhauwurd</w:t>
      </w:r>
      <w:proofErr w:type="spellEnd"/>
      <w:r>
        <w:t>-Wurrung Elderly and Community Health Service</w:t>
      </w:r>
    </w:p>
    <w:p w14:paraId="097F73F5" w14:textId="6B528A4E" w:rsidR="00957494" w:rsidRDefault="00957494" w:rsidP="00AA27E4">
      <w:pPr>
        <w:pStyle w:val="DHHSbullet1lastline"/>
      </w:pPr>
      <w:proofErr w:type="spellStart"/>
      <w:r>
        <w:t>Kirrae</w:t>
      </w:r>
      <w:proofErr w:type="spellEnd"/>
      <w:r>
        <w:t xml:space="preserve"> Health Services.</w:t>
      </w:r>
    </w:p>
    <w:p w14:paraId="79903107" w14:textId="77777777" w:rsidR="00957494" w:rsidRDefault="00957494" w:rsidP="00957494">
      <w:pPr>
        <w:pStyle w:val="DHHSbody"/>
      </w:pPr>
      <w:r>
        <w:t>The initiative aims to increase the workforce available to deliver culturally responsive, trauma-informed services that can address the social and emotional wellbeing and mental health needs of Aboriginal people in Victoria.</w:t>
      </w:r>
    </w:p>
    <w:p w14:paraId="78B1BA1A" w14:textId="50298600" w:rsidR="00957494" w:rsidRDefault="00957494" w:rsidP="00957494">
      <w:pPr>
        <w:pStyle w:val="DHHSbody"/>
      </w:pPr>
      <w:r>
        <w:t>The clinical and therapeutic mental health positions may be selected from a broad range of disciplines (such as mental health nurses, occupational therapists, psychiatrists,</w:t>
      </w:r>
      <w:r w:rsidR="009C649D">
        <w:t xml:space="preserve"> p</w:t>
      </w:r>
      <w:r>
        <w:t>sychologists and social workers), as determined by the selected service provider.</w:t>
      </w:r>
    </w:p>
    <w:p w14:paraId="766A462D" w14:textId="638FFA52" w:rsidR="00957494" w:rsidRDefault="00706D56" w:rsidP="00706D56">
      <w:pPr>
        <w:pStyle w:val="Heading3"/>
      </w:pPr>
      <w:r>
        <w:t>Safer Care Victoria</w:t>
      </w:r>
    </w:p>
    <w:p w14:paraId="6613201C" w14:textId="77777777" w:rsidR="00957494" w:rsidRDefault="00957494" w:rsidP="00957494">
      <w:pPr>
        <w:pStyle w:val="DHHSbody"/>
      </w:pPr>
      <w:r>
        <w:t>Established in January 2017, Safer Care Victoria (SCV) is the state’s lead agency for monitoring and improving quality and safety in Victorian health care. SCV supports health services and clinicians to identify and respond to areas for improvement, and works closely with consumers, families and carers to ensure they are at the centre of everything we do.</w:t>
      </w:r>
    </w:p>
    <w:p w14:paraId="06C3C471" w14:textId="77777777" w:rsidR="00957494" w:rsidRDefault="00957494" w:rsidP="00957494">
      <w:pPr>
        <w:pStyle w:val="DHHSbody"/>
      </w:pPr>
      <w:r>
        <w:t>Across its strategic priorities (partnering with consumers, partnering with clinicians, leadership, review and response, and system improvement and innovation), SCV has progressed a number of activities related to Victoria’s mental health clinical services in its ﬁrst full year of operation. These include:</w:t>
      </w:r>
    </w:p>
    <w:p w14:paraId="1F53D69B" w14:textId="4F204A0F" w:rsidR="00957494" w:rsidRDefault="00957494" w:rsidP="009C649D">
      <w:pPr>
        <w:pStyle w:val="DHHSbullet1"/>
      </w:pPr>
      <w:r>
        <w:t>partnering with the Ofﬁce of the Chief Psychiatrist to review sentinel events in mental health services</w:t>
      </w:r>
    </w:p>
    <w:p w14:paraId="6E5CAA95" w14:textId="59ADBE68" w:rsidR="00957494" w:rsidRDefault="00957494" w:rsidP="009C649D">
      <w:pPr>
        <w:pStyle w:val="DHHSbullet1"/>
      </w:pPr>
      <w:r>
        <w:t>working to share consumer feedback and concerns between SCV, the Health Complaints Commissioner, the Mental Health Complaints Commissioner and the department</w:t>
      </w:r>
    </w:p>
    <w:p w14:paraId="740911C2" w14:textId="218E594D" w:rsidR="00957494" w:rsidRDefault="00957494" w:rsidP="009C649D">
      <w:pPr>
        <w:pStyle w:val="DHHSbullet1lastline"/>
      </w:pPr>
      <w:r>
        <w:t>funding the trial and evaluation of the ‘Safe Haven Cafe’ at St Vincent’s Hospital through the Better Care Victoria Innovation Fund.</w:t>
      </w:r>
    </w:p>
    <w:p w14:paraId="321D5B19" w14:textId="7B7A2B63" w:rsidR="00957494" w:rsidRDefault="00957494" w:rsidP="00957494">
      <w:pPr>
        <w:pStyle w:val="DHHSbody"/>
      </w:pPr>
      <w:r>
        <w:t>In addition, SCV is establishing the Mental Health Clinical Network. Clinical networks have the primary role of providing clinical</w:t>
      </w:r>
      <w:r w:rsidR="009C649D">
        <w:t xml:space="preserve"> </w:t>
      </w:r>
      <w:r>
        <w:t>leadership, expertise and advice to SCV, with the ultimate aim of improving consumer outcomes and experiences. SCV has engaged with key stakeholders across Victoria, including consumer and carer groups, to begin planning for the Mental Health Clinical Network. In 2018–19 SCV will recruit a clinical lead and establish the Governance and Data/Evidence (INSIGHT) committees.</w:t>
      </w:r>
    </w:p>
    <w:p w14:paraId="2B3CAA8C" w14:textId="77777777" w:rsidR="00957494" w:rsidRDefault="00957494" w:rsidP="00957494">
      <w:pPr>
        <w:pStyle w:val="DHHSbody"/>
      </w:pPr>
      <w:r>
        <w:t>More information about the Mental Health Clinical Network is available from the Better Safer Care website &lt;https://bettersafercare.vic.gov.au/&gt;.</w:t>
      </w:r>
    </w:p>
    <w:p w14:paraId="478E73A0" w14:textId="7A90535D" w:rsidR="00C634BF" w:rsidRPr="00C634BF" w:rsidRDefault="00C634BF" w:rsidP="00C634BF">
      <w:pPr>
        <w:pStyle w:val="DHHSquote"/>
      </w:pPr>
      <w:r w:rsidRPr="00C634BF">
        <w:t>‘</w:t>
      </w:r>
      <w:proofErr w:type="spellStart"/>
      <w:r w:rsidRPr="00C634BF">
        <w:t>Balit</w:t>
      </w:r>
      <w:proofErr w:type="spellEnd"/>
      <w:r w:rsidRPr="00C634BF">
        <w:t xml:space="preserve"> </w:t>
      </w:r>
      <w:proofErr w:type="spellStart"/>
      <w:r w:rsidRPr="00C634BF">
        <w:t>Murrup</w:t>
      </w:r>
      <w:proofErr w:type="spellEnd"/>
      <w:r w:rsidRPr="00C634BF">
        <w:t xml:space="preserve"> means “strong spirit” in the </w:t>
      </w:r>
      <w:proofErr w:type="spellStart"/>
      <w:r w:rsidRPr="00C634BF">
        <w:t>Woi</w:t>
      </w:r>
      <w:proofErr w:type="spellEnd"/>
      <w:r w:rsidRPr="00C634BF">
        <w:t>-wurrung language.’</w:t>
      </w:r>
    </w:p>
    <w:p w14:paraId="1D378B2E" w14:textId="26A97548" w:rsidR="00957494" w:rsidRPr="00C634BF" w:rsidRDefault="00C634BF" w:rsidP="00C634BF">
      <w:pPr>
        <w:pStyle w:val="DHHSquote"/>
      </w:pPr>
      <w:r w:rsidRPr="00C634BF">
        <w:t>Aboriginal social and emotional wellbeing framework 2017–2027</w:t>
      </w:r>
    </w:p>
    <w:p w14:paraId="31FF6F23" w14:textId="2F574D0F" w:rsidR="00C634BF" w:rsidRDefault="00C634BF" w:rsidP="00957494">
      <w:pPr>
        <w:pStyle w:val="DHHSbody"/>
      </w:pPr>
    </w:p>
    <w:p w14:paraId="344C3BAC" w14:textId="77777777" w:rsidR="00706D56" w:rsidRDefault="00706D56" w:rsidP="00706D56">
      <w:pPr>
        <w:pStyle w:val="Heading2"/>
      </w:pPr>
      <w:bookmarkStart w:id="9" w:name="_Toc28340149"/>
      <w:r w:rsidRPr="00C634BF">
        <w:t>Aboriginal social and emotional wellbeing</w:t>
      </w:r>
      <w:bookmarkEnd w:id="9"/>
    </w:p>
    <w:p w14:paraId="43340CE5" w14:textId="29C01BE0" w:rsidR="00C634BF" w:rsidRDefault="00706D56" w:rsidP="00957494">
      <w:pPr>
        <w:pStyle w:val="DHHSbody"/>
      </w:pPr>
      <w:r w:rsidRPr="00C634BF">
        <w:rPr>
          <w:b/>
          <w:bCs/>
        </w:rPr>
        <w:t>OUTCOME 3: The gap in mental health and wellbeing for Aboriginal Victorians is reduced</w:t>
      </w:r>
    </w:p>
    <w:p w14:paraId="41B8C6FF" w14:textId="1D68DE90" w:rsidR="00957494" w:rsidRDefault="00C634BF" w:rsidP="00706D56">
      <w:pPr>
        <w:pStyle w:val="Heading3"/>
      </w:pPr>
      <w:proofErr w:type="spellStart"/>
      <w:r>
        <w:lastRenderedPageBreak/>
        <w:t>Balit</w:t>
      </w:r>
      <w:proofErr w:type="spellEnd"/>
      <w:r>
        <w:t xml:space="preserve"> </w:t>
      </w:r>
      <w:proofErr w:type="spellStart"/>
      <w:r>
        <w:t>Murrup</w:t>
      </w:r>
      <w:proofErr w:type="spellEnd"/>
      <w:r>
        <w:t xml:space="preserve"> launched</w:t>
      </w:r>
    </w:p>
    <w:p w14:paraId="68B6EAFE" w14:textId="77777777" w:rsidR="00957494" w:rsidRDefault="00957494" w:rsidP="00957494">
      <w:pPr>
        <w:pStyle w:val="DHHSbody"/>
      </w:pPr>
      <w:proofErr w:type="spellStart"/>
      <w:r w:rsidRPr="00534692">
        <w:rPr>
          <w:i/>
          <w:iCs/>
        </w:rPr>
        <w:t>Balit</w:t>
      </w:r>
      <w:proofErr w:type="spellEnd"/>
      <w:r w:rsidRPr="00534692">
        <w:rPr>
          <w:i/>
          <w:iCs/>
        </w:rPr>
        <w:t xml:space="preserve"> </w:t>
      </w:r>
      <w:proofErr w:type="spellStart"/>
      <w:r w:rsidRPr="00534692">
        <w:rPr>
          <w:i/>
          <w:iCs/>
        </w:rPr>
        <w:t>Murrup</w:t>
      </w:r>
      <w:proofErr w:type="spellEnd"/>
      <w:r w:rsidRPr="00534692">
        <w:rPr>
          <w:i/>
          <w:iCs/>
        </w:rPr>
        <w:t>: Aboriginal social and emotional wellbeing framework 2017–2027</w:t>
      </w:r>
      <w:r>
        <w:t xml:space="preserve"> was launched in October 2017. A key initiative of the </w:t>
      </w:r>
      <w:r w:rsidRPr="00235E13">
        <w:rPr>
          <w:i/>
        </w:rPr>
        <w:t>10-year mental health plan</w:t>
      </w:r>
      <w:r>
        <w:t xml:space="preserve">, </w:t>
      </w:r>
      <w:proofErr w:type="spellStart"/>
      <w:r w:rsidRPr="00235E13">
        <w:rPr>
          <w:i/>
        </w:rPr>
        <w:t>Balit</w:t>
      </w:r>
      <w:proofErr w:type="spellEnd"/>
      <w:r w:rsidRPr="00235E13">
        <w:rPr>
          <w:i/>
        </w:rPr>
        <w:t xml:space="preserve"> </w:t>
      </w:r>
      <w:proofErr w:type="spellStart"/>
      <w:r w:rsidRPr="00235E13">
        <w:rPr>
          <w:i/>
        </w:rPr>
        <w:t>Murrup</w:t>
      </w:r>
      <w:proofErr w:type="spellEnd"/>
      <w:r>
        <w:t xml:space="preserve"> was developed through consultation with Aboriginal people about what is needed to improve resilience, social and emotional wellbeing and mental health in the Victorian Aboriginal community.</w:t>
      </w:r>
    </w:p>
    <w:p w14:paraId="4C62019E" w14:textId="12E5D3C3" w:rsidR="00957494" w:rsidRDefault="00957494" w:rsidP="00957494">
      <w:pPr>
        <w:pStyle w:val="DHHSbody"/>
      </w:pPr>
      <w:proofErr w:type="spellStart"/>
      <w:r w:rsidRPr="00235E13">
        <w:rPr>
          <w:i/>
        </w:rPr>
        <w:t>Balit</w:t>
      </w:r>
      <w:proofErr w:type="spellEnd"/>
      <w:r w:rsidRPr="00235E13">
        <w:rPr>
          <w:i/>
        </w:rPr>
        <w:t xml:space="preserve"> </w:t>
      </w:r>
      <w:proofErr w:type="spellStart"/>
      <w:r w:rsidRPr="00235E13">
        <w:rPr>
          <w:i/>
        </w:rPr>
        <w:t>Murrup</w:t>
      </w:r>
      <w:proofErr w:type="spellEnd"/>
      <w:r>
        <w:t xml:space="preserve"> focuses on Aboriginal healing, trauma-informed practice and recovery and, most importantly, self-determination. It is underpinned by a holistic understanding of mental health, Aboriginal social and emotional wellbeing and the need for healing and trauma-informed care. Initiatives under </w:t>
      </w:r>
      <w:proofErr w:type="spellStart"/>
      <w:r w:rsidRPr="00235E13">
        <w:rPr>
          <w:i/>
        </w:rPr>
        <w:t>Balit</w:t>
      </w:r>
      <w:proofErr w:type="spellEnd"/>
      <w:r w:rsidRPr="00235E13">
        <w:rPr>
          <w:i/>
        </w:rPr>
        <w:t xml:space="preserve"> </w:t>
      </w:r>
      <w:proofErr w:type="spellStart"/>
      <w:r w:rsidRPr="00235E13">
        <w:rPr>
          <w:i/>
        </w:rPr>
        <w:t>Murrup</w:t>
      </w:r>
      <w:proofErr w:type="spellEnd"/>
      <w:r>
        <w:t xml:space="preserve"> focus on self-determination and strengthening leadership and capacity within Aboriginal community-controlled organisations.</w:t>
      </w:r>
    </w:p>
    <w:p w14:paraId="759C0F43" w14:textId="21B0C9BD" w:rsidR="00957494" w:rsidRDefault="00957494" w:rsidP="00957494">
      <w:pPr>
        <w:pStyle w:val="DHHSbody"/>
      </w:pPr>
      <w:r>
        <w:t>Projects funded in 2016–17 are now underway to test new service models for Aboriginal Victorians with moderate to severe mental illness and other complex health and social support needs. In 2017–18 funding was also allocated to support the Aboriginal-speciﬁc mental health training program and clinical and therapeutic mental health positions described earlier in this chapter.</w:t>
      </w:r>
    </w:p>
    <w:p w14:paraId="1AB7305A" w14:textId="0E1653A0" w:rsidR="00957494" w:rsidRDefault="002326C2" w:rsidP="00706D56">
      <w:pPr>
        <w:pStyle w:val="Heading3"/>
      </w:pPr>
      <w:r>
        <w:t>Improving mental health outcomes for Aboriginal people with moderate to severe mental illness</w:t>
      </w:r>
    </w:p>
    <w:p w14:paraId="00C6B9F3" w14:textId="77777777" w:rsidR="00957494" w:rsidRDefault="00957494" w:rsidP="00957494">
      <w:pPr>
        <w:pStyle w:val="DHHSbody"/>
      </w:pPr>
      <w:r>
        <w:t>Four demonstration projects are currently underway to deliver integrated, culturally safe mental health services to meet the mental health and social and emotional wellbeing needs of local Aboriginal communities.</w:t>
      </w:r>
    </w:p>
    <w:p w14:paraId="62D85D2B" w14:textId="77777777" w:rsidR="00957494" w:rsidRDefault="00957494" w:rsidP="00957494">
      <w:pPr>
        <w:pStyle w:val="DHHSbody"/>
      </w:pPr>
      <w:r>
        <w:t>The four demonstration sites are:</w:t>
      </w:r>
    </w:p>
    <w:p w14:paraId="217B15D0" w14:textId="0961649C" w:rsidR="00957494" w:rsidRDefault="00957494" w:rsidP="009C649D">
      <w:pPr>
        <w:pStyle w:val="DHHSbullet1"/>
      </w:pPr>
      <w:r>
        <w:t>Ballarat and District Aboriginal Co-operative (in partnership with Ballarat Health Services)</w:t>
      </w:r>
    </w:p>
    <w:p w14:paraId="0A008DAE" w14:textId="328B2A50" w:rsidR="00957494" w:rsidRDefault="00957494" w:rsidP="009C649D">
      <w:pPr>
        <w:pStyle w:val="DHHSbullet1"/>
      </w:pPr>
      <w:r>
        <w:t>Mallee District Aboriginal Services (in partnership with Mildura Base Hospital and Mallee Family Care)</w:t>
      </w:r>
    </w:p>
    <w:p w14:paraId="5247F9C4" w14:textId="6661A609" w:rsidR="00957494" w:rsidRDefault="00957494" w:rsidP="009C649D">
      <w:pPr>
        <w:pStyle w:val="DHHSbullet1"/>
      </w:pPr>
      <w:r>
        <w:t xml:space="preserve">Victorian Aboriginal Health Service (in partnership with St Vincent’s Health, Austin Health and </w:t>
      </w:r>
      <w:proofErr w:type="spellStart"/>
      <w:r>
        <w:t>NorthWestern</w:t>
      </w:r>
      <w:proofErr w:type="spellEnd"/>
      <w:r>
        <w:t xml:space="preserve"> Mental Health)</w:t>
      </w:r>
    </w:p>
    <w:p w14:paraId="2E45BED4" w14:textId="6309F28B" w:rsidR="00957494" w:rsidRDefault="00957494" w:rsidP="009C649D">
      <w:pPr>
        <w:pStyle w:val="DHHSbullet1lastline"/>
      </w:pPr>
      <w:r>
        <w:t>Wathaurong Aboriginal Co-operative (in partnership with Barwon Health).</w:t>
      </w:r>
    </w:p>
    <w:p w14:paraId="44B690B3" w14:textId="15F99BC9" w:rsidR="00957494" w:rsidRDefault="00957494" w:rsidP="00957494">
      <w:pPr>
        <w:pStyle w:val="DHHSbody"/>
      </w:pPr>
      <w:r>
        <w:t>Each project is led by an Aboriginal community-controlled organisation in partnership with a local health service.</w:t>
      </w:r>
    </w:p>
    <w:p w14:paraId="2AD9FA05" w14:textId="77777777" w:rsidR="00957494" w:rsidRDefault="00957494" w:rsidP="00957494">
      <w:pPr>
        <w:pStyle w:val="DHHSbody"/>
      </w:pPr>
      <w:r>
        <w:t>The innovative partnership models encourage coordination of care with other service providers to deliver integrated wraparound care for Aboriginal people with moderate to severe mental illness and other complex health and social support needs.</w:t>
      </w:r>
    </w:p>
    <w:tbl>
      <w:tblPr>
        <w:tblStyle w:val="TableGrid"/>
        <w:tblW w:w="0" w:type="auto"/>
        <w:tblLook w:val="04A0" w:firstRow="1" w:lastRow="0" w:firstColumn="1" w:lastColumn="0" w:noHBand="0" w:noVBand="1"/>
      </w:tblPr>
      <w:tblGrid>
        <w:gridCol w:w="9184"/>
      </w:tblGrid>
      <w:tr w:rsidR="00C634BF" w14:paraId="344CE9A3" w14:textId="77777777" w:rsidTr="00706D56">
        <w:tc>
          <w:tcPr>
            <w:tcW w:w="9184" w:type="dxa"/>
          </w:tcPr>
          <w:p w14:paraId="7A571574" w14:textId="77777777" w:rsidR="00C634BF" w:rsidRDefault="00C634BF" w:rsidP="00C634BF">
            <w:pPr>
              <w:pStyle w:val="DHHSboxheading"/>
            </w:pPr>
            <w:r>
              <w:t>Doing it with heart – preventing suicide in Aboriginal communities</w:t>
            </w:r>
          </w:p>
          <w:p w14:paraId="79DEF1A8" w14:textId="77777777" w:rsidR="00C634BF" w:rsidRDefault="00C634BF" w:rsidP="00C634BF">
            <w:pPr>
              <w:pStyle w:val="DHHSbody"/>
            </w:pPr>
            <w:r>
              <w:t>A statewide conversation about the difﬁcult and complex issue of suicide prevention in Victorian Aboriginal communities was held in Melbourne in November 2017.</w:t>
            </w:r>
          </w:p>
          <w:p w14:paraId="78E9B73C" w14:textId="77777777" w:rsidR="00C634BF" w:rsidRDefault="00C634BF" w:rsidP="00C634BF">
            <w:pPr>
              <w:pStyle w:val="DHHSbody"/>
            </w:pPr>
            <w:r>
              <w:t>The statewide forum brought together more than 100 people from multiple organisations to focus on preventing suicide in Victorian Aboriginal communities. People from PHNs, Aboriginal community-controlled health organisations, community mental health organisations, health and community health organisations, various government departments, Victoria Police, universities, Aboriginal family violence groups, and Aboriginal social and emotional wellbeing program staff gathered and contributed to the day.</w:t>
            </w:r>
          </w:p>
          <w:p w14:paraId="392766B8" w14:textId="77777777" w:rsidR="00C634BF" w:rsidRDefault="00C634BF" w:rsidP="00C634BF">
            <w:pPr>
              <w:pStyle w:val="DHHSbody"/>
            </w:pPr>
            <w:r>
              <w:t xml:space="preserve">Dynamic Aboriginal actor Tammy Anderson and respected Elder Aunty Nellie Flagg led the forum and set the scene for a heartfelt and honest supported discussion. Counsellors from </w:t>
            </w:r>
            <w:proofErr w:type="spellStart"/>
            <w:r>
              <w:t>Yoowinna</w:t>
            </w:r>
            <w:proofErr w:type="spellEnd"/>
            <w:r>
              <w:t xml:space="preserve"> </w:t>
            </w:r>
            <w:proofErr w:type="spellStart"/>
            <w:r>
              <w:t>Wurnalung</w:t>
            </w:r>
            <w:proofErr w:type="spellEnd"/>
            <w:r>
              <w:t xml:space="preserve"> and Wathaurong Aboriginal Cooperative were on hand for support.</w:t>
            </w:r>
          </w:p>
          <w:p w14:paraId="379C664E" w14:textId="77777777" w:rsidR="00C634BF" w:rsidRDefault="00C634BF" w:rsidP="00C634BF">
            <w:pPr>
              <w:pStyle w:val="DHHSbody"/>
            </w:pPr>
            <w:r>
              <w:lastRenderedPageBreak/>
              <w:t>Evidence is growing about what works in suicide prevention. Professor Pat Dudgeon and Leilani Darwin from the Black Dog Institute spoke about the highly regarded Aboriginal Torres Strait Islander Suicide Prevention Evaluation Project and tools. Dr Graham Gee discussed promising results of research conducted through the #</w:t>
            </w:r>
            <w:proofErr w:type="spellStart"/>
            <w:r>
              <w:t>HerTribe</w:t>
            </w:r>
            <w:proofErr w:type="spellEnd"/>
            <w:r>
              <w:t xml:space="preserve"> program in collaboration with the Victorian Aboriginal Health Service. #</w:t>
            </w:r>
            <w:proofErr w:type="spellStart"/>
            <w:r>
              <w:t>HerTribe</w:t>
            </w:r>
            <w:proofErr w:type="spellEnd"/>
            <w:r>
              <w:t>, which combines community connection, culture, physical activity and support, has been shown to reduce the psychological distress of participants and was used to road test the new Aboriginal resilience measure.</w:t>
            </w:r>
          </w:p>
          <w:p w14:paraId="060D806D" w14:textId="23DA2D7C" w:rsidR="00C634BF" w:rsidRDefault="00C634BF" w:rsidP="00C634BF">
            <w:pPr>
              <w:pStyle w:val="DHHSbody"/>
            </w:pPr>
            <w:r>
              <w:t xml:space="preserve">Connecting efforts between Aboriginal and non-Aboriginal initiatives was an important theme for the day. Elizabeth </w:t>
            </w:r>
            <w:proofErr w:type="spellStart"/>
            <w:r>
              <w:t>Deveny</w:t>
            </w:r>
            <w:proofErr w:type="spellEnd"/>
            <w:r>
              <w:t xml:space="preserve"> from the South Eastern Melbourne PHN highlighted the broad role of PHNs in mental health reform and alignment with suicide prevention initiatives. Belinda Duarte from Culture is Life and Indi Clarke from the Koori Youth Council also delivered powerful presentations about the work of their respective organisations in building resilience through cultural factors among young Aboriginal people and communities.</w:t>
            </w:r>
          </w:p>
          <w:p w14:paraId="16617833" w14:textId="7D3C21DD" w:rsidR="00C634BF" w:rsidRDefault="00C634BF" w:rsidP="00957494">
            <w:pPr>
              <w:pStyle w:val="DHHSbody"/>
            </w:pPr>
            <w:r>
              <w:t xml:space="preserve">It became clear that further conversations and work are needed. Forum outcomes are informing the work of the 12 place-based suicide prevention trials and implementation of </w:t>
            </w:r>
            <w:proofErr w:type="spellStart"/>
            <w:r w:rsidRPr="00235E13">
              <w:rPr>
                <w:i/>
              </w:rPr>
              <w:t>Balit</w:t>
            </w:r>
            <w:proofErr w:type="spellEnd"/>
            <w:r w:rsidRPr="00235E13">
              <w:rPr>
                <w:i/>
              </w:rPr>
              <w:t xml:space="preserve"> </w:t>
            </w:r>
            <w:proofErr w:type="spellStart"/>
            <w:r w:rsidRPr="00235E13">
              <w:rPr>
                <w:i/>
              </w:rPr>
              <w:t>Murrup</w:t>
            </w:r>
            <w:proofErr w:type="spellEnd"/>
            <w:r>
              <w:t>.</w:t>
            </w:r>
          </w:p>
        </w:tc>
      </w:tr>
    </w:tbl>
    <w:p w14:paraId="47E8178F" w14:textId="77777777" w:rsidR="00706D56" w:rsidRDefault="00706D56" w:rsidP="00706D56">
      <w:pPr>
        <w:pStyle w:val="Heading2"/>
      </w:pPr>
      <w:bookmarkStart w:id="10" w:name="_Toc28340150"/>
      <w:r>
        <w:lastRenderedPageBreak/>
        <w:t>Meeting the mental health needs of children and families</w:t>
      </w:r>
      <w:bookmarkEnd w:id="10"/>
    </w:p>
    <w:p w14:paraId="0759673D" w14:textId="43ED2FE2" w:rsidR="00957494" w:rsidRDefault="00F90A3F" w:rsidP="00957494">
      <w:pPr>
        <w:pStyle w:val="DHHSbody"/>
      </w:pPr>
      <w:r w:rsidRPr="002326C2">
        <w:rPr>
          <w:b/>
          <w:bCs/>
        </w:rPr>
        <w:t>OUTCOME 1: Victorians have good mental health and wellbeing at all ages and stages of life</w:t>
      </w:r>
    </w:p>
    <w:p w14:paraId="42A948AE" w14:textId="41E54430" w:rsidR="00957494" w:rsidRDefault="002326C2" w:rsidP="00706D56">
      <w:pPr>
        <w:pStyle w:val="Heading3"/>
      </w:pPr>
      <w:r>
        <w:t>Perinatal mental health services</w:t>
      </w:r>
    </w:p>
    <w:p w14:paraId="735603E3" w14:textId="77777777" w:rsidR="00957494" w:rsidRDefault="00957494" w:rsidP="00957494">
      <w:pPr>
        <w:pStyle w:val="DHHSbody"/>
      </w:pPr>
      <w:r>
        <w:t>The perinatal period (the weeks before and after birth) can be a particularly vulnerable time for women and their families. Early identiﬁcation of women who may be at risk of experiencing perinatal depression and anxiety is the key to early recovery.</w:t>
      </w:r>
    </w:p>
    <w:p w14:paraId="4C997BB4" w14:textId="040FC21F" w:rsidR="00957494" w:rsidRDefault="00957494" w:rsidP="00957494">
      <w:pPr>
        <w:pStyle w:val="DHHSbody"/>
      </w:pPr>
      <w:r>
        <w:t>In Victoria screening is provided as part of routine antenatal care and maternal and child health services. Vulnerable mothers</w:t>
      </w:r>
      <w:r w:rsidR="00FA719D">
        <w:t xml:space="preserve"> </w:t>
      </w:r>
      <w:r>
        <w:t>are then referred to appropriate community-based or other specialist services. While routine screening for mental illness during the perinatal period is critical for identifying problems early, we know that to make</w:t>
      </w:r>
      <w:r w:rsidR="00FA719D">
        <w:t xml:space="preserve"> </w:t>
      </w:r>
      <w:r>
        <w:t>a difference for women, screening must</w:t>
      </w:r>
      <w:r w:rsidR="00FA719D">
        <w:t xml:space="preserve"> </w:t>
      </w:r>
      <w:r>
        <w:t>be supported by timely access to community- based services.</w:t>
      </w:r>
    </w:p>
    <w:p w14:paraId="19279A84" w14:textId="4B3C09B3" w:rsidR="00957494" w:rsidRDefault="00957494" w:rsidP="00957494">
      <w:pPr>
        <w:pStyle w:val="DHHSbody"/>
      </w:pPr>
      <w:r>
        <w:t>The Victorian Government addressed the withdrawal of Commonwealth funding for perinatal emotional health programs in 2015 by providing additional funding for these</w:t>
      </w:r>
      <w:r w:rsidR="00FA719D">
        <w:t xml:space="preserve"> </w:t>
      </w:r>
      <w:r>
        <w:t>health programs in the last three State Budgets. Funding announced in 2017–18 delivers certainty for priority services and projects. It also supports women and their families living in rural and regional Victoria to access specialist perinatal mental health clinical assessment and treatment services.</w:t>
      </w:r>
    </w:p>
    <w:p w14:paraId="69671813" w14:textId="5AC32EEE" w:rsidR="00957494" w:rsidRDefault="00957494" w:rsidP="00957494">
      <w:pPr>
        <w:pStyle w:val="DHHSbody"/>
      </w:pPr>
      <w:r>
        <w:t>Mother and baby units have been established in six health services across metropolitan and regional Victoria to provide residential</w:t>
      </w:r>
      <w:r w:rsidR="00FA719D">
        <w:t xml:space="preserve"> </w:t>
      </w:r>
      <w:r>
        <w:t>multidisciplinary care for women experiencing serious mental illness in the perinatal period. These are located at Austin Health (Austin Hospital), Monash Medical Centre, Werribee Mercy Hospital, Latrobe Regional Hospital, Ballarat Health Services and Bendigo Health.</w:t>
      </w:r>
    </w:p>
    <w:p w14:paraId="33138B90" w14:textId="77777777" w:rsidR="00957494" w:rsidRDefault="00957494" w:rsidP="00957494">
      <w:pPr>
        <w:pStyle w:val="DHHSbody"/>
      </w:pPr>
      <w:r>
        <w:t>Despite new investment, access to perinatal mental health services for some regional and rural communities is still especially challenging. To help improve access to services, the department has increased care coordination services provided by Perinatal Anxiety and Depression Australia (or ‘PANDA’) to Victorian women.</w:t>
      </w:r>
    </w:p>
    <w:p w14:paraId="4C1CCE2A" w14:textId="623417B7" w:rsidR="00957494" w:rsidRDefault="00957494" w:rsidP="00957494">
      <w:pPr>
        <w:pStyle w:val="DHHSbody"/>
      </w:pPr>
      <w:r>
        <w:t>In 2017–18 Melbourne Health, Monash Health and Eastern Health received grants to establish a sustainable and integrated service model</w:t>
      </w:r>
      <w:r w:rsidR="00FA719D">
        <w:t xml:space="preserve"> </w:t>
      </w:r>
      <w:r>
        <w:t>based on partnerships with local service systems and PHNs. This work is designed to inform how sustainable models that improve access to mental health services may be developed across PHNs.</w:t>
      </w:r>
    </w:p>
    <w:p w14:paraId="01116170" w14:textId="7C367969" w:rsidR="00957494" w:rsidRDefault="00957494" w:rsidP="00957494">
      <w:pPr>
        <w:pStyle w:val="DHHSbody"/>
      </w:pPr>
      <w:r>
        <w:lastRenderedPageBreak/>
        <w:t>The Victorian Parliamentary Inquiry into Perinatal Services, tabled in Parliament in</w:t>
      </w:r>
      <w:r w:rsidR="00FA719D">
        <w:t xml:space="preserve"> </w:t>
      </w:r>
      <w:r>
        <w:t>June 2018, made a number of recommendations about perinatal mental health services. The Victorian Government’s response to the inquiry’s recommendations will be addressed in next year’s annual report.</w:t>
      </w:r>
    </w:p>
    <w:tbl>
      <w:tblPr>
        <w:tblStyle w:val="TableGrid"/>
        <w:tblW w:w="0" w:type="auto"/>
        <w:tblLook w:val="04A0" w:firstRow="1" w:lastRow="0" w:firstColumn="1" w:lastColumn="0" w:noHBand="0" w:noVBand="1"/>
      </w:tblPr>
      <w:tblGrid>
        <w:gridCol w:w="9184"/>
      </w:tblGrid>
      <w:tr w:rsidR="002326C2" w14:paraId="0462F633" w14:textId="77777777" w:rsidTr="00706D56">
        <w:tc>
          <w:tcPr>
            <w:tcW w:w="9184" w:type="dxa"/>
          </w:tcPr>
          <w:p w14:paraId="158BBC2C" w14:textId="0B36B20A" w:rsidR="002326C2" w:rsidRDefault="002326C2" w:rsidP="002326C2">
            <w:pPr>
              <w:pStyle w:val="DHHSboxheading"/>
            </w:pPr>
            <w:r>
              <w:t>New stepping stones unit and children’s neurodevelopment unit</w:t>
            </w:r>
          </w:p>
          <w:p w14:paraId="2CBE9C55" w14:textId="77777777" w:rsidR="002326C2" w:rsidRDefault="002326C2" w:rsidP="002326C2">
            <w:pPr>
              <w:pStyle w:val="DHHSbody"/>
            </w:pPr>
            <w:r>
              <w:t>In February 2018 Monash Health Early in Life Mental Health Service’s Stepping Stones Adolescent Inpatient Unit moved from Monash Medical Centre to the new Monash Children’s Hospital in Clayton.</w:t>
            </w:r>
          </w:p>
          <w:p w14:paraId="4126B10C" w14:textId="4C58E6B3" w:rsidR="002326C2" w:rsidRDefault="002326C2" w:rsidP="00957494">
            <w:pPr>
              <w:pStyle w:val="DHHSbody"/>
            </w:pPr>
            <w:r>
              <w:t>The purpose-built facility also hosts a new Children’s Neurodevelopment Unit, providing specialist multidisciplinary assessment, treatment and support for children and young people aged up to 25 years, including those with severe and complex psychological, behavioural and psychiatric problems.</w:t>
            </w:r>
          </w:p>
        </w:tc>
      </w:tr>
    </w:tbl>
    <w:p w14:paraId="7348CC1B" w14:textId="77777777" w:rsidR="00706D56" w:rsidRDefault="00706D56" w:rsidP="00706D56">
      <w:pPr>
        <w:pStyle w:val="Heading2"/>
      </w:pPr>
      <w:bookmarkStart w:id="11" w:name="_Toc28340151"/>
      <w:r>
        <w:t>Supporting diversity and increasing access</w:t>
      </w:r>
      <w:bookmarkEnd w:id="11"/>
    </w:p>
    <w:p w14:paraId="273081CF" w14:textId="144F16D7" w:rsidR="002326C2" w:rsidRDefault="00F90A3F" w:rsidP="00957494">
      <w:pPr>
        <w:pStyle w:val="DHHSbody"/>
      </w:pPr>
      <w:r w:rsidRPr="002326C2">
        <w:rPr>
          <w:b/>
          <w:bCs/>
        </w:rPr>
        <w:t>OUTCOME 2: The gap in mental health and wellbeing for at-risk groups is reduced</w:t>
      </w:r>
    </w:p>
    <w:p w14:paraId="033455D5" w14:textId="35AA5304" w:rsidR="00957494" w:rsidRDefault="002326C2" w:rsidP="00706D56">
      <w:pPr>
        <w:pStyle w:val="Heading3"/>
      </w:pPr>
      <w:r>
        <w:t>Supporting culturally diverse communities to promote mental health</w:t>
      </w:r>
    </w:p>
    <w:p w14:paraId="09CD8EEB" w14:textId="77777777" w:rsidR="00957494" w:rsidRDefault="00957494" w:rsidP="00957494">
      <w:pPr>
        <w:pStyle w:val="DHHSbody"/>
      </w:pPr>
      <w:r>
        <w:t>We recognise that culturally diverse communities can sometimes face challenges when accessing services and support in Australia.</w:t>
      </w:r>
    </w:p>
    <w:p w14:paraId="2DF08C3D" w14:textId="77777777" w:rsidR="00957494" w:rsidRDefault="00957494" w:rsidP="00957494">
      <w:pPr>
        <w:pStyle w:val="DHHSbody"/>
      </w:pPr>
      <w:r>
        <w:t>We want to ensure that our mental health services identify and overcome language and cultural barriers so they are accessible to all Victorians and can provide effective treatment and support to any Victorian in need, no matter their cultural, religious or linguistic background.</w:t>
      </w:r>
    </w:p>
    <w:p w14:paraId="0040D9D8" w14:textId="77777777" w:rsidR="00957494" w:rsidRDefault="00957494" w:rsidP="00957494">
      <w:pPr>
        <w:pStyle w:val="DHHSbody"/>
      </w:pPr>
      <w:r>
        <w:t>In particular, people from refugee backgrounds almost universally have a history of exposure to highly traumatic events that can signiﬁcantly impact their mental health. We need to ensure that our services are responsive to these needs.</w:t>
      </w:r>
    </w:p>
    <w:p w14:paraId="52F1E7F5" w14:textId="77777777" w:rsidR="00957494" w:rsidRDefault="00957494" w:rsidP="00957494">
      <w:pPr>
        <w:pStyle w:val="DHHSbody"/>
      </w:pPr>
      <w:r>
        <w:t>In 2017–18, 13 organisations received funding through a new small grants program for projects that support culturally diverse Victorians experiencing, or at risk of experiencing, poor mental health, and their families and carers.</w:t>
      </w:r>
    </w:p>
    <w:p w14:paraId="255C71D8" w14:textId="77777777" w:rsidR="00957494" w:rsidRDefault="00957494" w:rsidP="00957494">
      <w:pPr>
        <w:pStyle w:val="DHHSbody"/>
      </w:pPr>
      <w:r>
        <w:t>Organisations and their funded projects include:</w:t>
      </w:r>
    </w:p>
    <w:p w14:paraId="66882EC1" w14:textId="4F9B4208" w:rsidR="00957494" w:rsidRDefault="00957494" w:rsidP="00FA719D">
      <w:pPr>
        <w:pStyle w:val="DHHSbullet1"/>
      </w:pPr>
      <w:proofErr w:type="spellStart"/>
      <w:r>
        <w:t>Diversitat</w:t>
      </w:r>
      <w:proofErr w:type="spellEnd"/>
      <w:r>
        <w:t xml:space="preserve">, to support Afghan, Karen, </w:t>
      </w:r>
      <w:proofErr w:type="spellStart"/>
      <w:r>
        <w:t>Karenni</w:t>
      </w:r>
      <w:proofErr w:type="spellEnd"/>
      <w:r>
        <w:t>, Iraqi and Syrian refugees, particularly young people, in the Barwon region</w:t>
      </w:r>
    </w:p>
    <w:p w14:paraId="1176804D" w14:textId="63C0BE27" w:rsidR="00957494" w:rsidRDefault="00957494" w:rsidP="00FA719D">
      <w:pPr>
        <w:pStyle w:val="DHHSbullet1"/>
      </w:pPr>
      <w:proofErr w:type="spellStart"/>
      <w:r>
        <w:t>cohealth</w:t>
      </w:r>
      <w:proofErr w:type="spellEnd"/>
      <w:r>
        <w:t>, to provide a community-led project supporting women from the Horn of Africa</w:t>
      </w:r>
    </w:p>
    <w:p w14:paraId="0A24C9D1" w14:textId="193AC6C1" w:rsidR="00957494" w:rsidRDefault="00957494" w:rsidP="00FA719D">
      <w:pPr>
        <w:pStyle w:val="DHHSbullet1"/>
      </w:pPr>
      <w:r>
        <w:t>Chinese Health Foundation of Australia, to address barriers for Chinese migrants in accessing mental health services</w:t>
      </w:r>
    </w:p>
    <w:p w14:paraId="405F011C" w14:textId="14242C0C" w:rsidR="00957494" w:rsidRDefault="00957494" w:rsidP="00FA719D">
      <w:pPr>
        <w:pStyle w:val="DHHSbullet1lastline"/>
      </w:pPr>
      <w:r>
        <w:t>Ava Iranian Women’s Choir, to create a social support network for Iranian refugee women in the inner northern suburbs of Melbourne.</w:t>
      </w:r>
    </w:p>
    <w:p w14:paraId="17BA7321" w14:textId="77777777" w:rsidR="00957494" w:rsidRDefault="00957494" w:rsidP="00957494">
      <w:pPr>
        <w:pStyle w:val="DHHSbody"/>
      </w:pPr>
      <w:r>
        <w:t>These grants have been coordinated by the Victorian Mental Illness Awareness Council (VMIAC) and Tandem, Inc.</w:t>
      </w:r>
    </w:p>
    <w:tbl>
      <w:tblPr>
        <w:tblStyle w:val="TableGrid"/>
        <w:tblW w:w="0" w:type="auto"/>
        <w:tblLook w:val="04A0" w:firstRow="1" w:lastRow="0" w:firstColumn="1" w:lastColumn="0" w:noHBand="0" w:noVBand="1"/>
      </w:tblPr>
      <w:tblGrid>
        <w:gridCol w:w="9184"/>
      </w:tblGrid>
      <w:tr w:rsidR="00822BD0" w14:paraId="323AC3D8" w14:textId="77777777" w:rsidTr="00822BD0">
        <w:tc>
          <w:tcPr>
            <w:tcW w:w="9292" w:type="dxa"/>
          </w:tcPr>
          <w:p w14:paraId="428126E9" w14:textId="475120EA" w:rsidR="00822BD0" w:rsidRDefault="00822BD0" w:rsidP="00822BD0">
            <w:pPr>
              <w:pStyle w:val="DHHSboxheading"/>
            </w:pPr>
            <w:r>
              <w:t>Mental health guidelines for interpreters</w:t>
            </w:r>
          </w:p>
          <w:p w14:paraId="7F8D339E" w14:textId="7718EF78" w:rsidR="00822BD0" w:rsidRDefault="00822BD0" w:rsidP="00822BD0">
            <w:pPr>
              <w:pStyle w:val="DHHSbody"/>
            </w:pPr>
            <w:r>
              <w:t xml:space="preserve">Research has found that using specialist interpreters can improve mental health outcomes for the most vulnerable. </w:t>
            </w:r>
            <w:proofErr w:type="spellStart"/>
            <w:r>
              <w:t>LanguageLoop</w:t>
            </w:r>
            <w:proofErr w:type="spellEnd"/>
            <w:r>
              <w:t xml:space="preserve"> – formerly known as the Victorian Interpreting and Translating Service – commissioned researchers from Monash University to undertake a study to develop guidelines for interpreters working in mental health settings.</w:t>
            </w:r>
          </w:p>
          <w:p w14:paraId="67022DB5" w14:textId="77777777" w:rsidR="00822BD0" w:rsidRDefault="00822BD0" w:rsidP="00822BD0">
            <w:pPr>
              <w:pStyle w:val="DHHSbody"/>
            </w:pPr>
            <w:r>
              <w:t xml:space="preserve">In an Australian ﬁrst, the study focused on the mental health needs of culturally diverse consumers including newly arrived immigrants and refugees settling in Australia. It studied the outcomes of </w:t>
            </w:r>
            <w:r>
              <w:lastRenderedPageBreak/>
              <w:t>interpreters and psychologists working together to achieve better outcomes for culturally diverse mental health consumers.</w:t>
            </w:r>
          </w:p>
          <w:p w14:paraId="59A05597" w14:textId="77777777" w:rsidR="00822BD0" w:rsidRDefault="00822BD0" w:rsidP="00822BD0">
            <w:pPr>
              <w:pStyle w:val="DHHSbody"/>
            </w:pPr>
            <w:r>
              <w:t xml:space="preserve">The ﬁndings resulted in </w:t>
            </w:r>
            <w:r w:rsidRPr="00235E13">
              <w:rPr>
                <w:i/>
              </w:rPr>
              <w:t>Mental health interpreting guidelines for interpreters</w:t>
            </w:r>
            <w:r>
              <w:t xml:space="preserve">, launched in December 2017. </w:t>
            </w:r>
            <w:proofErr w:type="spellStart"/>
            <w:r>
              <w:t>LanguageLoop</w:t>
            </w:r>
            <w:proofErr w:type="spellEnd"/>
            <w:r>
              <w:t xml:space="preserve"> chief executive ofﬁcer Elizabeth Compton said the study provided a key to overcoming language barriers and will help interpreters become better skilled to help practitioners ensure mental health services are accessible for all.</w:t>
            </w:r>
          </w:p>
          <w:p w14:paraId="77005DB7" w14:textId="77777777" w:rsidR="00822BD0" w:rsidRDefault="00822BD0" w:rsidP="00822BD0">
            <w:pPr>
              <w:pStyle w:val="DHHSbody"/>
            </w:pPr>
            <w:r>
              <w:t xml:space="preserve">Through these guidelines, </w:t>
            </w:r>
            <w:proofErr w:type="spellStart"/>
            <w:r>
              <w:t>LanguageLoop</w:t>
            </w:r>
            <w:proofErr w:type="spellEnd"/>
            <w:r>
              <w:t>, in partnership with Monash University, is shedding light on the immediate need for culturally diverse communities to access mental health services without barriers, drawing attention to the importance of interpreters’ work in this ﬁeld.</w:t>
            </w:r>
          </w:p>
          <w:p w14:paraId="641829D8" w14:textId="77777777" w:rsidR="00822BD0" w:rsidRDefault="00822BD0" w:rsidP="00822BD0">
            <w:pPr>
              <w:pStyle w:val="DHHSbody"/>
            </w:pPr>
            <w:r>
              <w:t>In the general population, more than three million Australians live with anxiety or depression and approximately 45 per cent of people will experience a mental health condition during their lives. For culturally diverse communities and non-English speakers, this creates a greater challenge to access mental health services.</w:t>
            </w:r>
          </w:p>
          <w:p w14:paraId="0E0A20C2" w14:textId="77777777" w:rsidR="00822BD0" w:rsidRDefault="00822BD0" w:rsidP="00822BD0">
            <w:pPr>
              <w:pStyle w:val="DHHSbody"/>
            </w:pPr>
            <w:r>
              <w:t xml:space="preserve">Dr Jim </w:t>
            </w:r>
            <w:proofErr w:type="spellStart"/>
            <w:r>
              <w:t>Hlavac</w:t>
            </w:r>
            <w:proofErr w:type="spellEnd"/>
            <w:r>
              <w:t xml:space="preserve"> led the Monash University research team that examined the factors at play when an interpreter was involved in a mental health scenario. He described the role as critical in assisting professionals to work effectively with culturally diverse consumers in mental health interactions. Monash University has developed a specialist course for interpreters that will be delivered to </w:t>
            </w:r>
            <w:proofErr w:type="spellStart"/>
            <w:r>
              <w:t>LanguageLoop</w:t>
            </w:r>
            <w:proofErr w:type="spellEnd"/>
            <w:r>
              <w:t xml:space="preserve"> interpreters working across Australia in hospitals, schools, law courts and specialist mental health services.</w:t>
            </w:r>
          </w:p>
          <w:p w14:paraId="1783B170" w14:textId="0E687BF1" w:rsidR="00822BD0" w:rsidRDefault="00822BD0" w:rsidP="00957494">
            <w:pPr>
              <w:pStyle w:val="DHHSbody"/>
            </w:pPr>
            <w:r>
              <w:t xml:space="preserve">For more information, visit the </w:t>
            </w:r>
            <w:proofErr w:type="spellStart"/>
            <w:r>
              <w:t>LanguageLoop</w:t>
            </w:r>
            <w:proofErr w:type="spellEnd"/>
            <w:r>
              <w:t xml:space="preserve"> website &lt;http://www.languageloop.com.au/&gt;</w:t>
            </w:r>
          </w:p>
        </w:tc>
      </w:tr>
    </w:tbl>
    <w:p w14:paraId="6E06C676" w14:textId="1C60A405" w:rsidR="00957494" w:rsidRDefault="00957494" w:rsidP="00957494">
      <w:pPr>
        <w:pStyle w:val="DHHSbody"/>
      </w:pPr>
    </w:p>
    <w:p w14:paraId="14F88805" w14:textId="77777777" w:rsidR="00957494" w:rsidRDefault="00957494" w:rsidP="00822BD0">
      <w:pPr>
        <w:pStyle w:val="DHHSquote"/>
      </w:pPr>
      <w:r>
        <w:t>‘I want to champion the youth.’</w:t>
      </w:r>
    </w:p>
    <w:p w14:paraId="1D86D1B4" w14:textId="77777777" w:rsidR="00957494" w:rsidRDefault="00957494" w:rsidP="00822BD0">
      <w:pPr>
        <w:pStyle w:val="DHHSquote"/>
      </w:pPr>
      <w:r>
        <w:t>Participant, Seat at the Table (June 2018)</w:t>
      </w:r>
    </w:p>
    <w:p w14:paraId="47C24ECD" w14:textId="77777777" w:rsidR="00957494" w:rsidRDefault="00957494" w:rsidP="00957494">
      <w:pPr>
        <w:pStyle w:val="DHHSbody"/>
      </w:pPr>
    </w:p>
    <w:tbl>
      <w:tblPr>
        <w:tblStyle w:val="TableGrid"/>
        <w:tblW w:w="0" w:type="auto"/>
        <w:tblLook w:val="04A0" w:firstRow="1" w:lastRow="0" w:firstColumn="1" w:lastColumn="0" w:noHBand="0" w:noVBand="1"/>
      </w:tblPr>
      <w:tblGrid>
        <w:gridCol w:w="9184"/>
      </w:tblGrid>
      <w:tr w:rsidR="00822BD0" w14:paraId="22F96CB7" w14:textId="77777777" w:rsidTr="00822BD0">
        <w:tc>
          <w:tcPr>
            <w:tcW w:w="9292" w:type="dxa"/>
          </w:tcPr>
          <w:p w14:paraId="05583E4D" w14:textId="5A92AFF8" w:rsidR="00822BD0" w:rsidRDefault="00822BD0" w:rsidP="00822BD0">
            <w:pPr>
              <w:pStyle w:val="DHHSboxheading"/>
            </w:pPr>
            <w:r>
              <w:t>Everyone deserves a seat at the table</w:t>
            </w:r>
          </w:p>
          <w:p w14:paraId="255AC94B" w14:textId="77777777" w:rsidR="00822BD0" w:rsidRDefault="00822BD0" w:rsidP="00822BD0">
            <w:pPr>
              <w:pStyle w:val="DHHSbody"/>
            </w:pPr>
            <w:r>
              <w:t>Seat at the Table uses a co-design approach to improve engagement around the mental health of young people from refugee and asylum seeker backgrounds in Melbourne’s western suburbs.</w:t>
            </w:r>
          </w:p>
          <w:p w14:paraId="57A52CA3" w14:textId="747072DF" w:rsidR="00822BD0" w:rsidRDefault="00822BD0" w:rsidP="00822BD0">
            <w:pPr>
              <w:pStyle w:val="DHHSbody"/>
            </w:pPr>
            <w:proofErr w:type="spellStart"/>
            <w:r>
              <w:t>Auspiced</w:t>
            </w:r>
            <w:proofErr w:type="spellEnd"/>
            <w:r>
              <w:t xml:space="preserve"> by </w:t>
            </w:r>
            <w:proofErr w:type="spellStart"/>
            <w:r>
              <w:t>HealthWest</w:t>
            </w:r>
            <w:proofErr w:type="spellEnd"/>
            <w:r>
              <w:t>, Seat at the Table uses a collaborative approach to create ideas that increase engagement and reduce stigma around (the often sensitive issue of) mental health. As one community participant put it, ‘Co-design is about everyone having skin in the game’.</w:t>
            </w:r>
          </w:p>
          <w:p w14:paraId="76AE54A9" w14:textId="77777777" w:rsidR="00822BD0" w:rsidRDefault="00822BD0" w:rsidP="00822BD0">
            <w:pPr>
              <w:pStyle w:val="DHHSbody"/>
            </w:pPr>
            <w:r>
              <w:t>The purpose of the project is to actively engage with young people with lived experience and to work together with service providers.</w:t>
            </w:r>
          </w:p>
          <w:p w14:paraId="18F2C35E" w14:textId="77777777" w:rsidR="00822BD0" w:rsidRDefault="00822BD0" w:rsidP="00822BD0">
            <w:pPr>
              <w:pStyle w:val="DHHSbody"/>
            </w:pPr>
            <w:r>
              <w:t>The project continues to:</w:t>
            </w:r>
          </w:p>
          <w:p w14:paraId="343DBD3F" w14:textId="77777777" w:rsidR="00822BD0" w:rsidRDefault="00822BD0" w:rsidP="00822BD0">
            <w:pPr>
              <w:pStyle w:val="DHHSbullet1"/>
            </w:pPr>
            <w:r>
              <w:t>pilot innovative strategies to promote mental health</w:t>
            </w:r>
          </w:p>
          <w:p w14:paraId="3F91FA65" w14:textId="77777777" w:rsidR="00822BD0" w:rsidRDefault="00822BD0" w:rsidP="00822BD0">
            <w:pPr>
              <w:pStyle w:val="DHHSbullet1"/>
            </w:pPr>
            <w:r>
              <w:t>establish and support a network of young people from refugee and asylum seeker backgrounds with an interest in mental health</w:t>
            </w:r>
          </w:p>
          <w:p w14:paraId="5E3FCCBB" w14:textId="77777777" w:rsidR="00822BD0" w:rsidRDefault="00822BD0" w:rsidP="00822BD0">
            <w:pPr>
              <w:pStyle w:val="DHHSbullet1"/>
            </w:pPr>
            <w:r>
              <w:t>develop an exemplary model of participation and build capacity among service providers for community participation</w:t>
            </w:r>
          </w:p>
          <w:p w14:paraId="509E0C2E" w14:textId="77777777" w:rsidR="00822BD0" w:rsidRDefault="00822BD0" w:rsidP="00822BD0">
            <w:pPr>
              <w:pStyle w:val="DHHSbullet1lastline"/>
            </w:pPr>
            <w:r>
              <w:t>improve participation in mental health services.</w:t>
            </w:r>
          </w:p>
          <w:p w14:paraId="54BAF297" w14:textId="4875A026" w:rsidR="00822BD0" w:rsidRDefault="00822BD0" w:rsidP="00957494">
            <w:pPr>
              <w:pStyle w:val="DHHSbody"/>
            </w:pPr>
            <w:r>
              <w:t>Ultimately, Seat at the Table seeks to support young people to develop ideas that would improve the mental health outcomes of other young people from refugee and asylum seeker backgrounds.</w:t>
            </w:r>
          </w:p>
        </w:tc>
      </w:tr>
    </w:tbl>
    <w:p w14:paraId="434FBE16" w14:textId="04B62B36" w:rsidR="00957494" w:rsidRDefault="00822BD0" w:rsidP="00706D56">
      <w:pPr>
        <w:pStyle w:val="Heading3"/>
      </w:pPr>
      <w:r>
        <w:lastRenderedPageBreak/>
        <w:t>Meeting the mental health needs of new arrivals and refugees</w:t>
      </w:r>
    </w:p>
    <w:p w14:paraId="4B144895" w14:textId="32F6A99B" w:rsidR="00822BD0" w:rsidRPr="00822BD0" w:rsidRDefault="00822BD0" w:rsidP="00822BD0">
      <w:pPr>
        <w:pStyle w:val="DHHSbody"/>
        <w:rPr>
          <w:b/>
          <w:bCs/>
        </w:rPr>
      </w:pPr>
      <w:r w:rsidRPr="00822BD0">
        <w:rPr>
          <w:b/>
          <w:bCs/>
        </w:rPr>
        <w:t>OUTCOME 15: Victorians with mental illness, their families and carers are treated with respect by services</w:t>
      </w:r>
    </w:p>
    <w:p w14:paraId="3591C65C" w14:textId="5BA459C2" w:rsidR="00957494" w:rsidRDefault="00957494" w:rsidP="00957494">
      <w:pPr>
        <w:pStyle w:val="DHHSbody"/>
      </w:pPr>
      <w:r>
        <w:t>Mental health and psychosocial support programs are providing newly arrived people from refugee backgrounds access to culturally responsive and trauma-informed mental health and psychosocial support.</w:t>
      </w:r>
    </w:p>
    <w:p w14:paraId="4C685940" w14:textId="399801F6" w:rsidR="00957494" w:rsidRDefault="00957494" w:rsidP="00957494">
      <w:pPr>
        <w:pStyle w:val="DHHSbody"/>
      </w:pPr>
      <w:r>
        <w:t>The Better Access to Mental Health for Young Syrian and Iraqi Refugees Program supports  a range of strategies for improving mental health services in Victoria. This new program aims to improve the capacity of mental health</w:t>
      </w:r>
      <w:r w:rsidR="00FA719D">
        <w:t xml:space="preserve"> </w:t>
      </w:r>
      <w:r>
        <w:t>services in the northern metropolitan region to address the mental health and wellbeing issues of newly arrived Syrian and Iraqi refugees early in settlement.</w:t>
      </w:r>
    </w:p>
    <w:p w14:paraId="5A34C843" w14:textId="77777777" w:rsidR="00957494" w:rsidRDefault="00957494" w:rsidP="00957494">
      <w:pPr>
        <w:pStyle w:val="DHHSbody"/>
      </w:pPr>
      <w:r>
        <w:t>The program is being rolled out primarily in Melbourne’s northern metropolitan region.</w:t>
      </w:r>
    </w:p>
    <w:p w14:paraId="35F38E47" w14:textId="77777777" w:rsidR="00957494" w:rsidRDefault="00957494" w:rsidP="00957494">
      <w:pPr>
        <w:pStyle w:val="DHHSbody"/>
      </w:pPr>
      <w:r>
        <w:t>It includes the following initiatives:</w:t>
      </w:r>
    </w:p>
    <w:p w14:paraId="0C9127EF" w14:textId="3EAC9138" w:rsidR="00957494" w:rsidRDefault="00957494" w:rsidP="00FA719D">
      <w:pPr>
        <w:pStyle w:val="DHHSbullet1"/>
      </w:pPr>
      <w:proofErr w:type="spellStart"/>
      <w:r>
        <w:t>Orygen</w:t>
      </w:r>
      <w:proofErr w:type="spellEnd"/>
      <w:r>
        <w:t>, the Royal Children’s Hospital and the Austin Child and Adolescent Mental Health Service are partnering to develop a culturally responsive mental health triage, assessment and referral program for refugee children and young people at risk of mental disorders, including specialised child and youth mental</w:t>
      </w:r>
      <w:r w:rsidR="00FA719D">
        <w:t xml:space="preserve"> </w:t>
      </w:r>
      <w:r>
        <w:t>health services outreach to specialised refugee and mainstream services.</w:t>
      </w:r>
    </w:p>
    <w:p w14:paraId="37B5AE2D" w14:textId="6B96CB18" w:rsidR="00957494" w:rsidRDefault="00957494" w:rsidP="00FA719D">
      <w:pPr>
        <w:pStyle w:val="DHHSbullet1"/>
      </w:pPr>
      <w:r>
        <w:t>Foundation House is overseeing a community-led mental health promotion and mental health literacy training program to build community resilience and rapid responses.</w:t>
      </w:r>
    </w:p>
    <w:p w14:paraId="0B39D4F9" w14:textId="66B222EA" w:rsidR="00957494" w:rsidRDefault="00957494" w:rsidP="00FA719D">
      <w:pPr>
        <w:pStyle w:val="DHHSbullet1"/>
      </w:pPr>
      <w:r>
        <w:t>Foundation House is partnering with mental health services to establish a Community of Practice in child and youth refugee mental health to support professional/organisational development and capacity building, particularly for primary mental health services.</w:t>
      </w:r>
    </w:p>
    <w:p w14:paraId="44AC1D10" w14:textId="1D647231" w:rsidR="00957494" w:rsidRDefault="00957494" w:rsidP="00822BD0">
      <w:pPr>
        <w:pStyle w:val="DHHSbullet1lastline"/>
      </w:pPr>
      <w:r>
        <w:t xml:space="preserve">Start-up funding is being provided for a </w:t>
      </w:r>
      <w:proofErr w:type="spellStart"/>
      <w:r>
        <w:t>HealthWest</w:t>
      </w:r>
      <w:proofErr w:type="spellEnd"/>
      <w:r>
        <w:t xml:space="preserve"> research partnership on youth refugee mental health.</w:t>
      </w:r>
    </w:p>
    <w:p w14:paraId="0645279D" w14:textId="1263D980" w:rsidR="00822BD0" w:rsidRPr="00822BD0" w:rsidRDefault="00822BD0" w:rsidP="00822BD0">
      <w:pPr>
        <w:pStyle w:val="DHHSbody"/>
        <w:rPr>
          <w:b/>
          <w:bCs/>
        </w:rPr>
      </w:pPr>
      <w:r w:rsidRPr="00822BD0">
        <w:rPr>
          <w:b/>
          <w:bCs/>
        </w:rPr>
        <w:t>OUTCOME 10: Victorians with mental illness are socially engaged and live in inclusive communities</w:t>
      </w:r>
    </w:p>
    <w:p w14:paraId="52A3DFB1" w14:textId="0F391E7C" w:rsidR="00957494" w:rsidRDefault="00822BD0" w:rsidP="00706D56">
      <w:pPr>
        <w:pStyle w:val="Heading3"/>
      </w:pPr>
      <w:r>
        <w:t xml:space="preserve">Supporting the mental health needs of </w:t>
      </w:r>
      <w:r w:rsidR="00957494">
        <w:t xml:space="preserve">LGBTIQ+ </w:t>
      </w:r>
      <w:r>
        <w:t>young people</w:t>
      </w:r>
    </w:p>
    <w:p w14:paraId="73C97472" w14:textId="77777777" w:rsidR="00957494" w:rsidRDefault="00957494" w:rsidP="00957494">
      <w:pPr>
        <w:pStyle w:val="DHHSbody"/>
      </w:pPr>
      <w:r>
        <w:t>Adolescence is a challenging time, not least of all for a young person who identiﬁes as LGBTIQ+.</w:t>
      </w:r>
    </w:p>
    <w:p w14:paraId="12852FE1" w14:textId="77777777" w:rsidR="00957494" w:rsidRDefault="00957494" w:rsidP="00957494">
      <w:pPr>
        <w:pStyle w:val="DHHSbody"/>
      </w:pPr>
      <w:r>
        <w:t>While most young people with a mental health issue do not exhibit suicidal behaviours, there  is a substantial body of research that supports a strong correlation between mental illness and suicidal behaviour.</w:t>
      </w:r>
    </w:p>
    <w:p w14:paraId="4F1B8A03" w14:textId="2121F86F" w:rsidR="00957494" w:rsidRDefault="00957494" w:rsidP="00521F5C">
      <w:pPr>
        <w:pStyle w:val="DHHSbody"/>
        <w:spacing w:after="240"/>
      </w:pPr>
      <w:r>
        <w:t>LGBTIQ+ young people have been identiﬁed as presenting with higher levels of depression, anxiety and other mental health problems and at higher risk of self-harm and suicide due to</w:t>
      </w:r>
      <w:r w:rsidR="00F90A3F">
        <w:t xml:space="preserve"> </w:t>
      </w:r>
      <w:r>
        <w:t>victimisation, harassment and rejection by family, friends and peers.</w:t>
      </w:r>
    </w:p>
    <w:tbl>
      <w:tblPr>
        <w:tblStyle w:val="TableGrid"/>
        <w:tblW w:w="0" w:type="auto"/>
        <w:tblLook w:val="04A0" w:firstRow="1" w:lastRow="0" w:firstColumn="1" w:lastColumn="0" w:noHBand="0" w:noVBand="1"/>
      </w:tblPr>
      <w:tblGrid>
        <w:gridCol w:w="9184"/>
      </w:tblGrid>
      <w:tr w:rsidR="00822BD0" w:rsidRPr="00822BD0" w14:paraId="5F10AB16" w14:textId="77777777" w:rsidTr="00F90A3F">
        <w:tc>
          <w:tcPr>
            <w:tcW w:w="9184" w:type="dxa"/>
          </w:tcPr>
          <w:p w14:paraId="1D8064E7" w14:textId="679B090B" w:rsidR="00822BD0" w:rsidRPr="00822BD0" w:rsidRDefault="00957494" w:rsidP="00822BD0">
            <w:pPr>
              <w:pStyle w:val="DHHSboxheading"/>
            </w:pPr>
            <w:r>
              <w:t xml:space="preserve"> </w:t>
            </w:r>
            <w:r w:rsidR="00822BD0" w:rsidRPr="00822BD0">
              <w:t>Healthy Equal Youth grants awarded in 2018</w:t>
            </w:r>
          </w:p>
          <w:p w14:paraId="61ABB9B3" w14:textId="77777777" w:rsidR="00822BD0" w:rsidRPr="00822BD0" w:rsidRDefault="00822BD0" w:rsidP="00822BD0">
            <w:pPr>
              <w:pStyle w:val="DHHSbody"/>
            </w:pPr>
            <w:r w:rsidRPr="00822BD0">
              <w:t>The Healthy Equal Youth (HEY) project is a partnership of 16 agencies, coordinated by the Youth Affairs Council of Victoria. The project delivers programs that support the wellbeing of LGBTIQ+ young people, including the department’s annual HEY Grants program.</w:t>
            </w:r>
          </w:p>
          <w:p w14:paraId="5A9A128B" w14:textId="10A97A58" w:rsidR="00822BD0" w:rsidRPr="00822BD0" w:rsidRDefault="00822BD0" w:rsidP="00822BD0">
            <w:pPr>
              <w:pStyle w:val="DHHSbody"/>
            </w:pPr>
            <w:r w:rsidRPr="00822BD0">
              <w:t>The 2017–18 HEY Grant recipients were announced in January 2018. They include SYN Media, which will use government support to produce radio programs and podcasts on issues affecting LGBTIQ+ young people, and Knox City Council, which will create a series</w:t>
            </w:r>
            <w:r>
              <w:t xml:space="preserve"> </w:t>
            </w:r>
            <w:r w:rsidRPr="00822BD0">
              <w:t>of short animated ﬁlms sharing lived experiences and information for local youth.</w:t>
            </w:r>
          </w:p>
          <w:p w14:paraId="4865F627" w14:textId="405C38ED" w:rsidR="00822BD0" w:rsidRPr="00822BD0" w:rsidRDefault="00822BD0" w:rsidP="00822BD0">
            <w:pPr>
              <w:pStyle w:val="DHHSbody"/>
            </w:pPr>
            <w:r w:rsidRPr="00822BD0">
              <w:t xml:space="preserve">Other recipients include Maroondah City Council Youth Services, the Victorian and Tasmanian Youth Cancer Service, Mornington Peninsula Shire, Wyndham City Youth Services, Wellington Shire </w:t>
            </w:r>
            <w:r w:rsidRPr="00822BD0">
              <w:lastRenderedPageBreak/>
              <w:t>Council, Inclusion Melbourne, Drummond Street Services, Headspace Horsham, Glenroy College and Embittered Swish. The recipients were awarded a total</w:t>
            </w:r>
            <w:r>
              <w:t xml:space="preserve"> </w:t>
            </w:r>
            <w:r w:rsidRPr="00822BD0">
              <w:t>of $111,000 in grant funding.</w:t>
            </w:r>
          </w:p>
          <w:p w14:paraId="7BA40996" w14:textId="33FF4428" w:rsidR="00822BD0" w:rsidRPr="00822BD0" w:rsidRDefault="00822BD0" w:rsidP="00822BD0">
            <w:pPr>
              <w:pStyle w:val="DHHSbody"/>
            </w:pPr>
            <w:r w:rsidRPr="00822BD0">
              <w:t>Sixty-ﬁve organisations have received HEY Grants over the past seven years.</w:t>
            </w:r>
          </w:p>
        </w:tc>
      </w:tr>
    </w:tbl>
    <w:p w14:paraId="730F5A1F" w14:textId="6868541F" w:rsidR="00957494" w:rsidRDefault="00706D56" w:rsidP="00706D56">
      <w:pPr>
        <w:pStyle w:val="Heading2"/>
      </w:pPr>
      <w:bookmarkStart w:id="12" w:name="_Toc28340152"/>
      <w:r>
        <w:lastRenderedPageBreak/>
        <w:t>Listening to consumers, families and carers</w:t>
      </w:r>
      <w:bookmarkEnd w:id="12"/>
    </w:p>
    <w:p w14:paraId="2F0147CE" w14:textId="31CE5C0D" w:rsidR="00957494" w:rsidRDefault="00D16030" w:rsidP="00D16030">
      <w:pPr>
        <w:pStyle w:val="Heading3"/>
      </w:pPr>
      <w:r>
        <w:t>Lived experience engagement registers</w:t>
      </w:r>
    </w:p>
    <w:p w14:paraId="48C760E6" w14:textId="40D1861F" w:rsidR="00957494" w:rsidRDefault="00957494" w:rsidP="00957494">
      <w:pPr>
        <w:pStyle w:val="DHHSbody"/>
      </w:pPr>
      <w:r>
        <w:t>Hearing from those who use our mental health services helps us guide, shape and deliver improvements. In 2017–18 we funded our peak mental health consumer and carer organisations to establish lived experience engagement registers. These registers provide a pathway</w:t>
      </w:r>
      <w:r w:rsidR="00521F5C">
        <w:t xml:space="preserve"> </w:t>
      </w:r>
      <w:r>
        <w:t>for consumers and carers to contribute their perspectives and experiences directly to the department in order to inform policies and projects.</w:t>
      </w:r>
    </w:p>
    <w:p w14:paraId="7A466422" w14:textId="18206B56" w:rsidR="00957494" w:rsidRDefault="00957494" w:rsidP="00957494">
      <w:pPr>
        <w:pStyle w:val="DHHSbody"/>
      </w:pPr>
      <w:r>
        <w:t>The VMIAC advocates for the needs of people who experience mental illness. The VMIAC Consumer Lived Experience Register has been developed</w:t>
      </w:r>
      <w:r w:rsidR="00521F5C">
        <w:t xml:space="preserve"> </w:t>
      </w:r>
      <w:r>
        <w:t>so people with lived experience of mental illness and/or emotional distress are able to provide advice and input as part of policy and service development within the department, within services, and more broadly across the mental health sector.</w:t>
      </w:r>
    </w:p>
    <w:p w14:paraId="797C6176" w14:textId="77777777" w:rsidR="00957494" w:rsidRDefault="00957494" w:rsidP="00957494">
      <w:pPr>
        <w:pStyle w:val="DHHSbody"/>
      </w:pPr>
      <w:r>
        <w:t>Tandem advocates for the needs of family, friends and carers of people with mental illness. The Tandem Mental Health Carers’ Register is a pool of trained mental health carer representatives from across Victoria who can participate at the state level to provide a strong carer voice in the mental health sector.</w:t>
      </w:r>
    </w:p>
    <w:p w14:paraId="33B3E879" w14:textId="77777777" w:rsidR="00957494" w:rsidRDefault="00957494" w:rsidP="00957494">
      <w:pPr>
        <w:pStyle w:val="DHHSbody"/>
      </w:pPr>
      <w:r>
        <w:t>Members of the register use their lived experience, knowledge of mental health services and communication skills to inﬂuence change by advocating and promoting the issues and concerns of consumers, their families and carers.</w:t>
      </w:r>
    </w:p>
    <w:p w14:paraId="3A9735E2" w14:textId="1DEC0609" w:rsidR="00957494" w:rsidRDefault="00D16030" w:rsidP="00D16030">
      <w:pPr>
        <w:pStyle w:val="Heading3"/>
      </w:pPr>
      <w:r>
        <w:t>Lived experience engagement framework</w:t>
      </w:r>
    </w:p>
    <w:p w14:paraId="55FB0587" w14:textId="77777777" w:rsidR="00957494" w:rsidRDefault="00957494" w:rsidP="00957494">
      <w:pPr>
        <w:pStyle w:val="DHHSbody"/>
      </w:pPr>
      <w:r>
        <w:t>As we drive mental health reforms across our programs and services, we must engage and partner more effectively with those most affected by the problem to develop real solutions. This means working with our stakeholders, especially consumers, their families and carers who use and need our mental health services.</w:t>
      </w:r>
    </w:p>
    <w:p w14:paraId="1A0FF180" w14:textId="77777777" w:rsidR="00957494" w:rsidRDefault="00957494" w:rsidP="00957494">
      <w:pPr>
        <w:pStyle w:val="DHHSbody"/>
      </w:pPr>
      <w:r>
        <w:t>To do this we recognise that our engagement efforts need to shift from traditional methods of ‘deliver and inform’ to ‘involve and collaborate’ through co-design and co-production engagement approaches.</w:t>
      </w:r>
    </w:p>
    <w:p w14:paraId="70B06CBA" w14:textId="77777777" w:rsidR="00957494" w:rsidRDefault="00957494" w:rsidP="00957494">
      <w:pPr>
        <w:pStyle w:val="DHHSbody"/>
      </w:pPr>
      <w:r>
        <w:t xml:space="preserve">Throughout 2017–18 the Lived Experience Reference Group worked to develop a new </w:t>
      </w:r>
      <w:r w:rsidRPr="00235E13">
        <w:rPr>
          <w:i/>
        </w:rPr>
        <w:t>Mental health lived experience engagement framework</w:t>
      </w:r>
      <w:r>
        <w:t xml:space="preserve">. This work began in 2016–17 alongside the Mental Health Expert Taskforce and was a key original output of </w:t>
      </w:r>
      <w:r w:rsidRPr="00235E13">
        <w:rPr>
          <w:i/>
        </w:rPr>
        <w:t>Victoria’s 10-year mental health plan</w:t>
      </w:r>
      <w:r>
        <w:t>.</w:t>
      </w:r>
    </w:p>
    <w:p w14:paraId="3B48025F" w14:textId="77777777" w:rsidR="00957494" w:rsidRDefault="00957494" w:rsidP="00957494">
      <w:pPr>
        <w:pStyle w:val="DHHSbody"/>
      </w:pPr>
      <w:r>
        <w:t>The framework will provide guidance to departmental staff on how to actively engage people with the relevant lived experience of mental illness or caring for someone with mental illness in their work.</w:t>
      </w:r>
    </w:p>
    <w:p w14:paraId="2D6F5067" w14:textId="56A5E284" w:rsidR="00957494" w:rsidRDefault="00565F18" w:rsidP="00744106">
      <w:pPr>
        <w:pStyle w:val="Heading3"/>
      </w:pPr>
      <w:r>
        <w:t>Your experience of service survey</w:t>
      </w:r>
    </w:p>
    <w:p w14:paraId="2E227342" w14:textId="753F049B" w:rsidR="00957494" w:rsidRDefault="00957494" w:rsidP="00957494">
      <w:pPr>
        <w:pStyle w:val="DHHSbody"/>
      </w:pPr>
      <w:r>
        <w:t>The Your Experience of Service (YES) survey is a national instrument that provides an annual snapshot of consumers’ experience using</w:t>
      </w:r>
      <w:r w:rsidR="00521F5C">
        <w:t xml:space="preserve"> </w:t>
      </w:r>
      <w:r>
        <w:t>clinical mental health services and psychosocial rehabilitation support services.</w:t>
      </w:r>
    </w:p>
    <w:p w14:paraId="45D22A38" w14:textId="69AF799C" w:rsidR="00957494" w:rsidRDefault="00957494" w:rsidP="00957494">
      <w:pPr>
        <w:pStyle w:val="DHHSbody"/>
      </w:pPr>
      <w:r>
        <w:t>There are two questionnaires – one clinical</w:t>
      </w:r>
      <w:r w:rsidR="00521F5C">
        <w:t xml:space="preserve"> </w:t>
      </w:r>
      <w:r>
        <w:t xml:space="preserve">and one for community-managed organisations. The questionnaires were developed with mental health consumers throughout Australia and are based on recovery principles in the </w:t>
      </w:r>
      <w:r w:rsidRPr="00235E13">
        <w:rPr>
          <w:i/>
        </w:rPr>
        <w:t>National Standards for Mental Health Services 2010</w:t>
      </w:r>
      <w:r>
        <w:t>.</w:t>
      </w:r>
    </w:p>
    <w:p w14:paraId="2AAA91DE" w14:textId="77777777" w:rsidR="00957494" w:rsidRDefault="00957494" w:rsidP="00957494">
      <w:pPr>
        <w:pStyle w:val="DHHSbody"/>
      </w:pPr>
      <w:r>
        <w:t xml:space="preserve">In Victoria the YES survey has been conducted annually since 2016 to better understand consumers’ experiences of state-funded specialist mental health services. Areas of consumer experience explored </w:t>
      </w:r>
      <w:r>
        <w:lastRenderedPageBreak/>
        <w:t>include: dignity and respect; evaluating recovery; uniqueness of the individual; partnership and communication; attitudes and rights; and providing real choices.</w:t>
      </w:r>
    </w:p>
    <w:p w14:paraId="6CAABE39" w14:textId="77777777" w:rsidR="00957494" w:rsidRDefault="00957494" w:rsidP="00957494">
      <w:pPr>
        <w:pStyle w:val="DHHSbody"/>
      </w:pPr>
      <w:r>
        <w:t>In 2016 and 2017 the YES survey was administered in March and April. In 2018 it was administered from March to May to increase uptake.</w:t>
      </w:r>
    </w:p>
    <w:p w14:paraId="6D5082F8" w14:textId="77777777" w:rsidR="00957494" w:rsidRDefault="00957494" w:rsidP="00957494">
      <w:pPr>
        <w:pStyle w:val="DHHSbody"/>
      </w:pPr>
      <w:r>
        <w:t>While the YES survey results for clinical services have been positive overall in many areas during 2017–18, there is some clear variation between service types. In particular, responses from people using acute adult inpatient services have been less positive than clinical services generally, while responses from those accessing acute adult mother and baby units have been more positive.</w:t>
      </w:r>
    </w:p>
    <w:p w14:paraId="44BD6472" w14:textId="77777777" w:rsidR="00957494" w:rsidRDefault="00957494" w:rsidP="00957494">
      <w:pPr>
        <w:pStyle w:val="DHHSbody"/>
      </w:pPr>
      <w:r>
        <w:t>Additional detail on these results is provided in Chapter 3.</w:t>
      </w:r>
    </w:p>
    <w:p w14:paraId="30C34919" w14:textId="77777777" w:rsidR="00957494" w:rsidRDefault="00957494" w:rsidP="00957494">
      <w:pPr>
        <w:pStyle w:val="DHHSbody"/>
      </w:pPr>
      <w:r>
        <w:t>Services that have transitioned to the NDIS are no longer required to administer the survey. Once the NDIS is fully implemented, the survey will only be run in clinical services (including residential services).</w:t>
      </w:r>
    </w:p>
    <w:p w14:paraId="4ED81C32" w14:textId="77777777" w:rsidR="00957494" w:rsidRDefault="00957494" w:rsidP="00957494">
      <w:pPr>
        <w:pStyle w:val="DHHSbody"/>
      </w:pPr>
      <w:r>
        <w:t xml:space="preserve"> </w:t>
      </w:r>
    </w:p>
    <w:p w14:paraId="53BE9B61" w14:textId="77777777" w:rsidR="00957494" w:rsidRDefault="00957494" w:rsidP="00744106">
      <w:pPr>
        <w:pStyle w:val="DHHSquote"/>
      </w:pPr>
      <w:r>
        <w:t>'I love to paint. It makes me feel alive and well.’</w:t>
      </w:r>
    </w:p>
    <w:p w14:paraId="525BC3AF" w14:textId="77777777" w:rsidR="00957494" w:rsidRDefault="00957494" w:rsidP="00744106">
      <w:pPr>
        <w:pStyle w:val="DHHSquote"/>
      </w:pPr>
      <w:r>
        <w:t xml:space="preserve">Carol </w:t>
      </w:r>
      <w:proofErr w:type="spellStart"/>
      <w:r>
        <w:t>Horman</w:t>
      </w:r>
      <w:proofErr w:type="spellEnd"/>
      <w:r>
        <w:t>, 2017 Winner, Mental Health Foundation Consumer Art Competition</w:t>
      </w:r>
    </w:p>
    <w:p w14:paraId="256EFC8C" w14:textId="77777777" w:rsidR="00957494" w:rsidRDefault="00957494" w:rsidP="00957494">
      <w:pPr>
        <w:pStyle w:val="DHHSbody"/>
      </w:pPr>
    </w:p>
    <w:tbl>
      <w:tblPr>
        <w:tblStyle w:val="TableGrid"/>
        <w:tblW w:w="0" w:type="auto"/>
        <w:tblLook w:val="04A0" w:firstRow="1" w:lastRow="0" w:firstColumn="1" w:lastColumn="0" w:noHBand="0" w:noVBand="1"/>
      </w:tblPr>
      <w:tblGrid>
        <w:gridCol w:w="9184"/>
      </w:tblGrid>
      <w:tr w:rsidR="00744106" w14:paraId="3CA0146B" w14:textId="77777777" w:rsidTr="00744106">
        <w:tc>
          <w:tcPr>
            <w:tcW w:w="9292" w:type="dxa"/>
          </w:tcPr>
          <w:p w14:paraId="0354B00A" w14:textId="7D146830" w:rsidR="00744106" w:rsidRDefault="00744106" w:rsidP="00744106">
            <w:pPr>
              <w:pStyle w:val="DHHSboxheading"/>
            </w:pPr>
            <w:r>
              <w:t>In deep thoughtfulness</w:t>
            </w:r>
          </w:p>
          <w:p w14:paraId="4C92114A" w14:textId="4650D5A4" w:rsidR="00744106" w:rsidRPr="00744106" w:rsidRDefault="00744106" w:rsidP="00744106">
            <w:pPr>
              <w:pStyle w:val="DHHSbody"/>
              <w:rPr>
                <w:i/>
                <w:iCs/>
              </w:rPr>
            </w:pPr>
            <w:r w:rsidRPr="00744106">
              <w:rPr>
                <w:i/>
                <w:iCs/>
              </w:rPr>
              <w:t xml:space="preserve">Carol </w:t>
            </w:r>
            <w:proofErr w:type="spellStart"/>
            <w:r w:rsidRPr="00744106">
              <w:rPr>
                <w:i/>
                <w:iCs/>
              </w:rPr>
              <w:t>Horman</w:t>
            </w:r>
            <w:proofErr w:type="spellEnd"/>
            <w:r w:rsidRPr="00744106">
              <w:rPr>
                <w:i/>
                <w:iCs/>
              </w:rPr>
              <w:t xml:space="preserve"> was awarded first place in the 2017 Mental Health Foundation Australia (Victoria) Consumer Art Competition. Her winning artwork, In deep thoughtfulness, featured on the 2017 Mental Health Week promotional poster, following an exhibition held at Melbourne’s Treasury Theatre with the department’s support.</w:t>
            </w:r>
          </w:p>
          <w:p w14:paraId="62F214A5" w14:textId="12EDEC61" w:rsidR="00744106" w:rsidRDefault="00744106" w:rsidP="00744106">
            <w:pPr>
              <w:pStyle w:val="DHHSbody"/>
            </w:pPr>
            <w:r>
              <w:t>I began painting in 2007, a year l can’t forget. I spent over 12 weeks in a psychiatric hospital suffering schizophrenia, major depression and post-traumatic stress disorder. I was suicidal.</w:t>
            </w:r>
          </w:p>
          <w:p w14:paraId="7C0EF3CD" w14:textId="77777777" w:rsidR="00744106" w:rsidRDefault="00744106" w:rsidP="00744106">
            <w:pPr>
              <w:pStyle w:val="DHHSbody"/>
            </w:pPr>
            <w:r>
              <w:t>The hospital helped me immensely, offering an array of activities and learning opportunities including art therapy. I discovered a new passion. I love to paint. It makes me feel alive and well.</w:t>
            </w:r>
          </w:p>
          <w:p w14:paraId="24D4BAA6" w14:textId="24CA5B6C" w:rsidR="00744106" w:rsidRDefault="00744106" w:rsidP="00744106">
            <w:pPr>
              <w:pStyle w:val="DHHSbody"/>
            </w:pPr>
            <w:r>
              <w:t>When l saw the photograph of my niece’s daughter, l knew straight away that</w:t>
            </w:r>
            <w:r w:rsidR="009E03C2">
              <w:t xml:space="preserve"> </w:t>
            </w:r>
            <w:r>
              <w:t xml:space="preserve">l needed to paint her. She has so much depth of character and beauty. </w:t>
            </w:r>
            <w:proofErr w:type="spellStart"/>
            <w:r>
              <w:t>Abelia</w:t>
            </w:r>
            <w:proofErr w:type="spellEnd"/>
            <w:r>
              <w:t xml:space="preserve"> and her mother Kate allowed me the privilege of painting her portrait. I worked</w:t>
            </w:r>
            <w:r w:rsidR="009E03C2">
              <w:t xml:space="preserve"> </w:t>
            </w:r>
            <w:r>
              <w:t>regularly on the painting for several months.</w:t>
            </w:r>
          </w:p>
          <w:p w14:paraId="26B659CF" w14:textId="1AAE2BBC" w:rsidR="00744106" w:rsidRDefault="00744106" w:rsidP="00957494">
            <w:pPr>
              <w:pStyle w:val="DHHSbody"/>
            </w:pPr>
            <w:r>
              <w:t xml:space="preserve">Then the opportunity arose to enter a painting in the Mental Health Foundation competition, so l titled her portrait </w:t>
            </w:r>
            <w:r w:rsidRPr="00744106">
              <w:rPr>
                <w:i/>
                <w:iCs/>
              </w:rPr>
              <w:t>In deep thoughtfulness</w:t>
            </w:r>
            <w:r>
              <w:t xml:space="preserve"> and l hoped then that others would see her the way l did.</w:t>
            </w:r>
          </w:p>
        </w:tc>
      </w:tr>
    </w:tbl>
    <w:p w14:paraId="6CEBBC2B" w14:textId="3E90D594" w:rsidR="00957494" w:rsidRDefault="00744106" w:rsidP="00706D56">
      <w:pPr>
        <w:pStyle w:val="Heading2"/>
      </w:pPr>
      <w:bookmarkStart w:id="13" w:name="_Toc28340153"/>
      <w:r>
        <w:t>Transitioning to the National Disability Insurance Scheme</w:t>
      </w:r>
      <w:bookmarkEnd w:id="13"/>
    </w:p>
    <w:p w14:paraId="2127DC42" w14:textId="70EA294D" w:rsidR="00744106" w:rsidRPr="00744106" w:rsidRDefault="00744106" w:rsidP="00744106">
      <w:pPr>
        <w:pStyle w:val="DHHSbody"/>
        <w:rPr>
          <w:b/>
          <w:bCs/>
        </w:rPr>
      </w:pPr>
      <w:r w:rsidRPr="00744106">
        <w:rPr>
          <w:b/>
          <w:bCs/>
        </w:rPr>
        <w:t>OUTCOME 6: Victorians with mental illness are supported to protect and promote health</w:t>
      </w:r>
    </w:p>
    <w:p w14:paraId="4D380E53" w14:textId="555E63CF" w:rsidR="00957494" w:rsidRPr="00521F5C" w:rsidRDefault="00957494" w:rsidP="00957494">
      <w:pPr>
        <w:pStyle w:val="DHHSbody"/>
        <w:rPr>
          <w:b/>
          <w:bCs/>
        </w:rPr>
      </w:pPr>
      <w:r w:rsidRPr="00521F5C">
        <w:rPr>
          <w:b/>
          <w:bCs/>
        </w:rPr>
        <w:t>42,204</w:t>
      </w:r>
      <w:r w:rsidR="00FA719D" w:rsidRPr="00521F5C">
        <w:rPr>
          <w:b/>
          <w:bCs/>
        </w:rPr>
        <w:t xml:space="preserve"> </w:t>
      </w:r>
      <w:r w:rsidRPr="00521F5C">
        <w:rPr>
          <w:b/>
          <w:bCs/>
        </w:rPr>
        <w:t>Victorians receiving</w:t>
      </w:r>
      <w:r w:rsidR="00FA719D" w:rsidRPr="00521F5C">
        <w:rPr>
          <w:b/>
          <w:bCs/>
        </w:rPr>
        <w:t xml:space="preserve"> </w:t>
      </w:r>
      <w:r w:rsidRPr="00521F5C">
        <w:rPr>
          <w:b/>
          <w:bCs/>
        </w:rPr>
        <w:t>NDIS support in June 2018</w:t>
      </w:r>
    </w:p>
    <w:p w14:paraId="2A0CFF63" w14:textId="77777777" w:rsidR="00957494" w:rsidRPr="00521F5C" w:rsidRDefault="00957494" w:rsidP="00957494">
      <w:pPr>
        <w:pStyle w:val="DHHSbody"/>
        <w:rPr>
          <w:b/>
          <w:bCs/>
        </w:rPr>
      </w:pPr>
      <w:r w:rsidRPr="00521F5C">
        <w:rPr>
          <w:b/>
          <w:bCs/>
        </w:rPr>
        <w:t>4,389 have a primary psychosocial disability</w:t>
      </w:r>
    </w:p>
    <w:p w14:paraId="5712E855" w14:textId="77777777" w:rsidR="00957494" w:rsidRDefault="00957494" w:rsidP="00957494">
      <w:pPr>
        <w:pStyle w:val="DHHSbody"/>
      </w:pPr>
      <w:r>
        <w:t>The NDIS is the national approach to providing life-long support to Australians with a disability, their carers and families. This includes people with a psychosocial disability.</w:t>
      </w:r>
    </w:p>
    <w:p w14:paraId="23F985D0" w14:textId="721D2DF1" w:rsidR="004A0EF1" w:rsidRPr="004A0EF1" w:rsidRDefault="00957494" w:rsidP="004A0EF1">
      <w:pPr>
        <w:pStyle w:val="DHHSbody"/>
      </w:pPr>
      <w:r>
        <w:t>The NDIS is progressively rolling out across Victoria and will be fully underway by 30 June</w:t>
      </w:r>
      <w:r w:rsidR="004A0EF1">
        <w:t xml:space="preserve"> </w:t>
      </w:r>
      <w:r w:rsidR="004A0EF1" w:rsidRPr="004A0EF1">
        <w:t>2019. We are working closely with the National</w:t>
      </w:r>
      <w:r w:rsidR="004A0EF1">
        <w:t xml:space="preserve"> </w:t>
      </w:r>
      <w:r w:rsidR="004A0EF1" w:rsidRPr="004A0EF1">
        <w:t>Disability Insurance Agency (NDIA) to ensure</w:t>
      </w:r>
      <w:r w:rsidR="004A0EF1">
        <w:t xml:space="preserve"> </w:t>
      </w:r>
      <w:r w:rsidR="004A0EF1" w:rsidRPr="004A0EF1">
        <w:t>the NDIS delivers its intended benefits to eligible</w:t>
      </w:r>
      <w:r w:rsidR="004A0EF1">
        <w:t xml:space="preserve"> </w:t>
      </w:r>
      <w:r w:rsidR="004A0EF1" w:rsidRPr="004A0EF1">
        <w:t>Victorians with a severe mental illness and</w:t>
      </w:r>
      <w:r w:rsidR="004A0EF1">
        <w:t xml:space="preserve"> </w:t>
      </w:r>
      <w:r w:rsidR="004A0EF1" w:rsidRPr="004A0EF1">
        <w:t>associated psychosocial disability, and to support</w:t>
      </w:r>
      <w:r w:rsidR="004A0EF1">
        <w:t xml:space="preserve"> </w:t>
      </w:r>
      <w:r w:rsidR="004A0EF1" w:rsidRPr="004A0EF1">
        <w:t>the smooth transition of consumers to the NDIS.</w:t>
      </w:r>
    </w:p>
    <w:p w14:paraId="19814C19" w14:textId="1AD549DF" w:rsidR="004A0EF1" w:rsidRPr="004A0EF1" w:rsidRDefault="004A0EF1" w:rsidP="004A0EF1">
      <w:pPr>
        <w:pStyle w:val="DHHSbody"/>
      </w:pPr>
      <w:r w:rsidRPr="004A0EF1">
        <w:lastRenderedPageBreak/>
        <w:t>Throughout 201</w:t>
      </w:r>
      <w:r>
        <w:t>7–</w:t>
      </w:r>
      <w:r w:rsidRPr="004A0EF1">
        <w:t>18 clients living in Inner</w:t>
      </w:r>
      <w:r>
        <w:t xml:space="preserve"> </w:t>
      </w:r>
      <w:r w:rsidRPr="004A0EF1">
        <w:t>Gippsland, Wimmera South West, Ovens Murray,</w:t>
      </w:r>
      <w:r>
        <w:t xml:space="preserve"> </w:t>
      </w:r>
      <w:r w:rsidRPr="004A0EF1">
        <w:t>Inner and Outer Eastern Melbourne, Hume</w:t>
      </w:r>
      <w:r>
        <w:t xml:space="preserve"> </w:t>
      </w:r>
      <w:r w:rsidRPr="004A0EF1">
        <w:t>Moreland and Bayside Peninsula transitioned</w:t>
      </w:r>
      <w:r>
        <w:t xml:space="preserve"> </w:t>
      </w:r>
      <w:r w:rsidRPr="004A0EF1">
        <w:t>to the NDIS. This process will enter its last year</w:t>
      </w:r>
      <w:r>
        <w:t xml:space="preserve"> </w:t>
      </w:r>
      <w:r w:rsidRPr="004A0EF1">
        <w:t>in 2018</w:t>
      </w:r>
      <w:r w:rsidRPr="004A0EF1">
        <w:rPr>
          <w:rFonts w:hint="eastAsia"/>
        </w:rPr>
        <w:t>–</w:t>
      </w:r>
      <w:r w:rsidRPr="004A0EF1">
        <w:t>19, when the final six areas transition.</w:t>
      </w:r>
    </w:p>
    <w:p w14:paraId="2A130911" w14:textId="41AF616F" w:rsidR="00957494" w:rsidRDefault="00957494" w:rsidP="00957494">
      <w:pPr>
        <w:pStyle w:val="DHHSbody"/>
      </w:pPr>
      <w:r>
        <w:t>While there are a number of challenges associated with substantial reform of this nature, the NDIS represents a signiﬁcant opportunity</w:t>
      </w:r>
      <w:r w:rsidR="004A0EF1">
        <w:t xml:space="preserve"> </w:t>
      </w:r>
      <w:r>
        <w:t>for people with a severe, enduring psychosocial disability to receive better and greater levels of support over their lifetime.</w:t>
      </w:r>
    </w:p>
    <w:p w14:paraId="374F9D3B" w14:textId="77777777" w:rsidR="00957494" w:rsidRDefault="00957494" w:rsidP="00957494">
      <w:pPr>
        <w:pStyle w:val="DHHSbody"/>
      </w:pPr>
      <w:r>
        <w:t>As at 30 June 2018, 42,204 Victorians had approved plans and were actively receiving support via the NDIS. This includes 4,389 Victorians with a primary psychosocial disability (see Figure 1).</w:t>
      </w:r>
    </w:p>
    <w:p w14:paraId="7E03AB21" w14:textId="77777777" w:rsidR="00957494" w:rsidRDefault="00957494" w:rsidP="00FA719D">
      <w:pPr>
        <w:pStyle w:val="DHHSfigurecaption"/>
      </w:pPr>
      <w:r>
        <w:t>Figure 1: Primary disability of active participants with an approved plan</w:t>
      </w:r>
    </w:p>
    <w:p w14:paraId="5512BD11" w14:textId="1F104E19" w:rsidR="00957494" w:rsidRDefault="00957494" w:rsidP="00957494">
      <w:pPr>
        <w:pStyle w:val="DHHSbody"/>
      </w:pPr>
      <w:r>
        <w:t>Intellectual disability</w:t>
      </w:r>
      <w:r w:rsidR="004A0EF1">
        <w:t xml:space="preserve"> = </w:t>
      </w:r>
      <w:r>
        <w:t>11,511</w:t>
      </w:r>
      <w:r w:rsidR="004A0EF1">
        <w:t xml:space="preserve"> (</w:t>
      </w:r>
      <w:r>
        <w:t>30%</w:t>
      </w:r>
      <w:r w:rsidR="004A0EF1">
        <w:t>)</w:t>
      </w:r>
    </w:p>
    <w:p w14:paraId="4AEC20FF" w14:textId="47A4A99B" w:rsidR="00957494" w:rsidRDefault="00957494" w:rsidP="00957494">
      <w:pPr>
        <w:pStyle w:val="DHHSbody"/>
      </w:pPr>
      <w:r>
        <w:t>Autism</w:t>
      </w:r>
      <w:r w:rsidR="004A0EF1">
        <w:t xml:space="preserve"> = </w:t>
      </w:r>
      <w:r>
        <w:t>9,423</w:t>
      </w:r>
      <w:r>
        <w:tab/>
      </w:r>
      <w:r w:rsidR="004A0EF1">
        <w:t>(</w:t>
      </w:r>
      <w:r>
        <w:t>24%</w:t>
      </w:r>
      <w:r w:rsidR="004A0EF1">
        <w:t>)</w:t>
      </w:r>
    </w:p>
    <w:p w14:paraId="5FBABF16" w14:textId="6597C022" w:rsidR="00957494" w:rsidRDefault="00957494" w:rsidP="00957494">
      <w:pPr>
        <w:pStyle w:val="DHHSbody"/>
      </w:pPr>
      <w:r>
        <w:t>Psychosocial disability</w:t>
      </w:r>
      <w:r w:rsidR="004A0EF1">
        <w:t xml:space="preserve"> = </w:t>
      </w:r>
      <w:r>
        <w:t>4,389</w:t>
      </w:r>
      <w:r w:rsidR="004A0EF1">
        <w:t xml:space="preserve"> (</w:t>
      </w:r>
      <w:r>
        <w:t>11%</w:t>
      </w:r>
      <w:r w:rsidR="004A0EF1">
        <w:t>)</w:t>
      </w:r>
    </w:p>
    <w:p w14:paraId="1A4190C7" w14:textId="09B2D842" w:rsidR="00957494" w:rsidRDefault="00957494" w:rsidP="00957494">
      <w:pPr>
        <w:pStyle w:val="DHHSbody"/>
      </w:pPr>
      <w:r>
        <w:t>Cereb</w:t>
      </w:r>
      <w:r w:rsidR="004A0EF1">
        <w:t>r</w:t>
      </w:r>
      <w:r>
        <w:t>al palsy</w:t>
      </w:r>
      <w:r w:rsidR="004A0EF1">
        <w:t xml:space="preserve"> = </w:t>
      </w:r>
      <w:r>
        <w:t xml:space="preserve">1,696 </w:t>
      </w:r>
      <w:r w:rsidR="004A0EF1">
        <w:t>(</w:t>
      </w:r>
      <w:r>
        <w:t>4%</w:t>
      </w:r>
      <w:r w:rsidR="004A0EF1">
        <w:t>)</w:t>
      </w:r>
      <w:r>
        <w:tab/>
      </w:r>
    </w:p>
    <w:p w14:paraId="605BD757" w14:textId="77AA4547" w:rsidR="00957494" w:rsidRDefault="00957494" w:rsidP="00957494">
      <w:pPr>
        <w:pStyle w:val="DHHSbody"/>
      </w:pPr>
      <w:r>
        <w:t>Other neurological</w:t>
      </w:r>
      <w:r w:rsidR="004A0EF1">
        <w:t xml:space="preserve"> = 1</w:t>
      </w:r>
      <w:r>
        <w:t xml:space="preserve">,846 </w:t>
      </w:r>
      <w:r w:rsidR="004A0EF1">
        <w:t>(</w:t>
      </w:r>
      <w:r>
        <w:t>5%</w:t>
      </w:r>
      <w:r w:rsidR="004A0EF1">
        <w:t>)</w:t>
      </w:r>
    </w:p>
    <w:p w14:paraId="2D838541" w14:textId="140F830F" w:rsidR="00957494" w:rsidRDefault="00957494" w:rsidP="00957494">
      <w:pPr>
        <w:pStyle w:val="DHHSbody"/>
      </w:pPr>
      <w:r>
        <w:t>Developmental delay</w:t>
      </w:r>
      <w:r w:rsidR="004A0EF1">
        <w:t xml:space="preserve"> = 2,612 (7%)</w:t>
      </w:r>
    </w:p>
    <w:p w14:paraId="366BEC6A" w14:textId="78A2FFD8" w:rsidR="004A0EF1" w:rsidRDefault="00957494" w:rsidP="00957494">
      <w:pPr>
        <w:pStyle w:val="DHHSbody"/>
      </w:pPr>
      <w:r>
        <w:t xml:space="preserve">Other physical </w:t>
      </w:r>
      <w:r w:rsidR="004A0EF1">
        <w:t>= 1,158 (3%)</w:t>
      </w:r>
    </w:p>
    <w:p w14:paraId="5B86A517" w14:textId="152002EF" w:rsidR="009111CF" w:rsidRPr="009111CF" w:rsidRDefault="00957494" w:rsidP="009111CF">
      <w:pPr>
        <w:pStyle w:val="DHHSbody"/>
      </w:pPr>
      <w:r>
        <w:t xml:space="preserve">Acquired brain injury </w:t>
      </w:r>
      <w:r w:rsidR="004A0EF1">
        <w:t xml:space="preserve">= </w:t>
      </w:r>
      <w:r w:rsidR="009111CF">
        <w:rPr>
          <w:lang w:eastAsia="en-AU"/>
        </w:rPr>
        <w:t>1</w:t>
      </w:r>
      <w:r w:rsidR="009111CF" w:rsidRPr="009111CF">
        <w:t>,280</w:t>
      </w:r>
      <w:r w:rsidR="009111CF">
        <w:t xml:space="preserve"> (3%)</w:t>
      </w:r>
    </w:p>
    <w:p w14:paraId="74D3AA17" w14:textId="67B7A171" w:rsidR="009111CF" w:rsidRPr="009111CF" w:rsidRDefault="00957494" w:rsidP="009111CF">
      <w:pPr>
        <w:pStyle w:val="DHHSbody"/>
      </w:pPr>
      <w:r>
        <w:t xml:space="preserve">Hearing impairment </w:t>
      </w:r>
      <w:r w:rsidR="004A0EF1">
        <w:t xml:space="preserve">= </w:t>
      </w:r>
      <w:r w:rsidR="009111CF" w:rsidRPr="009111CF">
        <w:t>848</w:t>
      </w:r>
      <w:r w:rsidR="009111CF">
        <w:t xml:space="preserve"> (2%)</w:t>
      </w:r>
    </w:p>
    <w:p w14:paraId="60AA2274" w14:textId="021C9D99" w:rsidR="009111CF" w:rsidRPr="009111CF" w:rsidRDefault="00957494" w:rsidP="009111CF">
      <w:pPr>
        <w:pStyle w:val="DHHSbody"/>
      </w:pPr>
      <w:r>
        <w:t>Visual impairment</w:t>
      </w:r>
      <w:r w:rsidR="004A0EF1">
        <w:t xml:space="preserve"> = </w:t>
      </w:r>
      <w:r w:rsidR="009111CF" w:rsidRPr="009111CF">
        <w:t>1,143</w:t>
      </w:r>
      <w:r w:rsidR="009111CF">
        <w:t xml:space="preserve"> (3%)</w:t>
      </w:r>
    </w:p>
    <w:p w14:paraId="14865D94" w14:textId="1E09B4BA" w:rsidR="009111CF" w:rsidRPr="009111CF" w:rsidRDefault="004A0EF1" w:rsidP="009111CF">
      <w:pPr>
        <w:pStyle w:val="DHHSbody"/>
      </w:pPr>
      <w:r w:rsidRPr="004A0EF1">
        <w:t>Other sensory/speech</w:t>
      </w:r>
      <w:r>
        <w:t xml:space="preserve"> = </w:t>
      </w:r>
      <w:r w:rsidR="009111CF" w:rsidRPr="009111CF">
        <w:t>372</w:t>
      </w:r>
      <w:r w:rsidR="009111CF">
        <w:t xml:space="preserve"> (1%)</w:t>
      </w:r>
    </w:p>
    <w:p w14:paraId="00C9DC21" w14:textId="7567092E" w:rsidR="009111CF" w:rsidRPr="009111CF" w:rsidRDefault="004A0EF1" w:rsidP="009111CF">
      <w:pPr>
        <w:pStyle w:val="DHHSbody"/>
      </w:pPr>
      <w:r w:rsidRPr="004A0EF1">
        <w:t>Multiple sclerosis</w:t>
      </w:r>
      <w:r>
        <w:t xml:space="preserve"> = </w:t>
      </w:r>
      <w:r w:rsidR="009111CF" w:rsidRPr="009111CF">
        <w:t>1,019</w:t>
      </w:r>
      <w:r w:rsidR="009111CF">
        <w:t xml:space="preserve"> (1%)</w:t>
      </w:r>
    </w:p>
    <w:p w14:paraId="4F568B78" w14:textId="0CD810BE" w:rsidR="009111CF" w:rsidRPr="009111CF" w:rsidRDefault="004A0EF1" w:rsidP="009111CF">
      <w:pPr>
        <w:pStyle w:val="DHHSbody"/>
      </w:pPr>
      <w:r w:rsidRPr="004A0EF1">
        <w:t>Global development delay</w:t>
      </w:r>
      <w:r>
        <w:t xml:space="preserve"> = </w:t>
      </w:r>
      <w:r w:rsidR="009111CF">
        <w:t>471 (1%)</w:t>
      </w:r>
    </w:p>
    <w:p w14:paraId="6E8C91CC" w14:textId="5806F335" w:rsidR="009111CF" w:rsidRPr="009111CF" w:rsidRDefault="004A0EF1" w:rsidP="009111CF">
      <w:pPr>
        <w:pStyle w:val="DHHSbody"/>
      </w:pPr>
      <w:r w:rsidRPr="004A0EF1">
        <w:t>Spinal cord injury</w:t>
      </w:r>
      <w:r>
        <w:t xml:space="preserve"> = </w:t>
      </w:r>
      <w:r w:rsidR="009111CF">
        <w:t>326 (1%)</w:t>
      </w:r>
    </w:p>
    <w:p w14:paraId="4BE5C909" w14:textId="42602833" w:rsidR="009111CF" w:rsidRPr="009111CF" w:rsidRDefault="004A0EF1" w:rsidP="009111CF">
      <w:pPr>
        <w:pStyle w:val="DHHSbody"/>
      </w:pPr>
      <w:r w:rsidRPr="004A0EF1">
        <w:t>Stroke</w:t>
      </w:r>
      <w:r>
        <w:t xml:space="preserve"> = </w:t>
      </w:r>
      <w:r w:rsidR="009111CF">
        <w:t>401 (1%)</w:t>
      </w:r>
    </w:p>
    <w:p w14:paraId="3557E99E" w14:textId="0AC6A950" w:rsidR="009111CF" w:rsidRPr="009111CF" w:rsidRDefault="004A0EF1" w:rsidP="009111CF">
      <w:pPr>
        <w:pStyle w:val="DHHSbody"/>
      </w:pPr>
      <w:r w:rsidRPr="004A0EF1">
        <w:t>Other</w:t>
      </w:r>
      <w:r>
        <w:t xml:space="preserve"> = </w:t>
      </w:r>
      <w:r w:rsidR="009111CF">
        <w:t>69 (0%)</w:t>
      </w:r>
    </w:p>
    <w:p w14:paraId="145E3ED5" w14:textId="4B61AB6E" w:rsidR="004A0EF1" w:rsidRDefault="004A0EF1" w:rsidP="00957494">
      <w:pPr>
        <w:pStyle w:val="DHHSbody"/>
      </w:pPr>
      <w:r>
        <w:t>&lt;end of figure</w:t>
      </w:r>
      <w:r w:rsidR="000B1B2C">
        <w:t>&gt;</w:t>
      </w:r>
    </w:p>
    <w:p w14:paraId="4005937A" w14:textId="02220C9D" w:rsidR="00957494" w:rsidRDefault="00957494" w:rsidP="00957494">
      <w:pPr>
        <w:pStyle w:val="DHHSbody"/>
      </w:pPr>
      <w:r>
        <w:t>When rollout is complete in Victoria, the NDIS will support between 15,000 and 16,000 people with a primary psychosocial disability each year. Not only will a signiﬁcantly greater number of people with a psychosocial disability receive support,</w:t>
      </w:r>
      <w:r w:rsidR="004F4523">
        <w:t xml:space="preserve"> </w:t>
      </w:r>
      <w:r>
        <w:t>if current trends hold, the value of their funding package is anticipated to be signiﬁcantly higher than the average level of funding they currently receive as clients of mental health community support services.</w:t>
      </w:r>
    </w:p>
    <w:p w14:paraId="30F777C7" w14:textId="5C96342B" w:rsidR="00957494" w:rsidRDefault="00565F18" w:rsidP="009111CF">
      <w:pPr>
        <w:pStyle w:val="Heading3"/>
      </w:pPr>
      <w:r>
        <w:t>Information, linkages and capacity building</w:t>
      </w:r>
    </w:p>
    <w:p w14:paraId="20BAD992" w14:textId="77777777" w:rsidR="00957494" w:rsidRDefault="00957494" w:rsidP="00957494">
      <w:pPr>
        <w:pStyle w:val="DHHSbody"/>
      </w:pPr>
      <w:r>
        <w:t>During 2017–18 the department received Commonwealth funding to deliver Information, Linkages and Capacity Building initiatives.</w:t>
      </w:r>
    </w:p>
    <w:p w14:paraId="29CD425C" w14:textId="3F6C200C" w:rsidR="00957494" w:rsidRDefault="00957494" w:rsidP="00957494">
      <w:pPr>
        <w:pStyle w:val="DHHSbody"/>
      </w:pPr>
      <w:r>
        <w:t>These initiatives supported 1,520 people with a psychosocial disability and their carers to build their individual capacity for daily living</w:t>
      </w:r>
      <w:r w:rsidR="00FA719D">
        <w:t xml:space="preserve"> </w:t>
      </w:r>
      <w:r>
        <w:t>and connectedness, as well as exercise genuine choice and control.</w:t>
      </w:r>
    </w:p>
    <w:p w14:paraId="76EF996A" w14:textId="33EB4D21" w:rsidR="00957494" w:rsidRDefault="00565F18" w:rsidP="009111CF">
      <w:pPr>
        <w:pStyle w:val="Heading3"/>
      </w:pPr>
      <w:r>
        <w:lastRenderedPageBreak/>
        <w:t>Support for mental health services</w:t>
      </w:r>
    </w:p>
    <w:p w14:paraId="60DD5E9C" w14:textId="77777777" w:rsidR="00957494" w:rsidRDefault="00957494" w:rsidP="00957494">
      <w:pPr>
        <w:pStyle w:val="DHHSbody"/>
      </w:pPr>
      <w:r>
        <w:t>The department has also been working closely with health services to prepare for the NDIS and optimise opportunities for eligible consumers of clinical mental health services.</w:t>
      </w:r>
    </w:p>
    <w:p w14:paraId="278369A7" w14:textId="77777777" w:rsidR="00957494" w:rsidRDefault="00957494" w:rsidP="00957494">
      <w:pPr>
        <w:pStyle w:val="DHHSbody"/>
      </w:pPr>
      <w:r>
        <w:t>The department released a practice guideline to support the interface between the clinical mental health service system and the NDIS. The guideline identiﬁes the key roles and responsibilities of all parties and best practice in supporting consumer access to the NDIS.</w:t>
      </w:r>
    </w:p>
    <w:p w14:paraId="7779037B" w14:textId="77777777" w:rsidR="00957494" w:rsidRDefault="00957494" w:rsidP="00957494">
      <w:pPr>
        <w:pStyle w:val="DHHSbody"/>
      </w:pPr>
      <w:r>
        <w:t>The department is working with Austin Health, Melbourne Health and St Vincent’s Hospital to develop practical resources for clinical mental health staff who are supporting consumers to access the NDIS. Learnings and resources are being shared with health services across Victoria as they are developed.</w:t>
      </w:r>
    </w:p>
    <w:p w14:paraId="00F4519D" w14:textId="2BB1E4B2" w:rsidR="00957494" w:rsidRDefault="00957494" w:rsidP="00957494">
      <w:pPr>
        <w:pStyle w:val="DHHSbody"/>
      </w:pPr>
      <w:r>
        <w:t>The department provided funding to Mental Health Victoria, VMIAC and Tandem to support community-managed mental health organisations, people with a psychosocial disability and their carers as they prepare for, and transition to, the NDIS. The department</w:t>
      </w:r>
      <w:r w:rsidR="00842E0E">
        <w:t xml:space="preserve"> </w:t>
      </w:r>
      <w:r>
        <w:t>also funded 10 mental health program leaders in relevant health services to lead NDIS readiness activities within their organisation and to</w:t>
      </w:r>
      <w:r w:rsidR="00521F5C">
        <w:t xml:space="preserve"> </w:t>
      </w:r>
      <w:r>
        <w:t>work with the NDIA, Local Area Coordination partners and NDIS providers to resolve local issues and achieve the best outcomes for shared participants.</w:t>
      </w:r>
    </w:p>
    <w:tbl>
      <w:tblPr>
        <w:tblStyle w:val="TableGrid"/>
        <w:tblW w:w="0" w:type="auto"/>
        <w:tblLook w:val="04A0" w:firstRow="1" w:lastRow="0" w:firstColumn="1" w:lastColumn="0" w:noHBand="0" w:noVBand="1"/>
      </w:tblPr>
      <w:tblGrid>
        <w:gridCol w:w="9184"/>
      </w:tblGrid>
      <w:tr w:rsidR="009111CF" w14:paraId="1359E038" w14:textId="77777777" w:rsidTr="009111CF">
        <w:tc>
          <w:tcPr>
            <w:tcW w:w="9292" w:type="dxa"/>
          </w:tcPr>
          <w:p w14:paraId="0B5B47B7" w14:textId="77777777" w:rsidR="009111CF" w:rsidRDefault="009111CF" w:rsidP="009111CF">
            <w:pPr>
              <w:pStyle w:val="DHHSboxheading"/>
            </w:pPr>
            <w:r>
              <w:t>A mother’s story</w:t>
            </w:r>
          </w:p>
          <w:p w14:paraId="47DAFC6A" w14:textId="77777777" w:rsidR="009111CF" w:rsidRPr="009111CF" w:rsidRDefault="009111CF" w:rsidP="009111CF">
            <w:pPr>
              <w:pStyle w:val="DHHSbody"/>
              <w:rPr>
                <w:i/>
                <w:iCs/>
              </w:rPr>
            </w:pPr>
            <w:r w:rsidRPr="009111CF">
              <w:rPr>
                <w:i/>
                <w:iCs/>
              </w:rPr>
              <w:t>In July 2016, the Alfred’s Child and Youth Mental Health Service (CYMHS) established the Mental Health Intellectual Disability Initiative for Youth (MHIDI-Y), a ﬁrst-of-its- kind mental health service for young people with an intellectual disability. This unique and essential service has provided much needed support to young people and families whose mental health care has not always been properly understood or treated.</w:t>
            </w:r>
          </w:p>
          <w:p w14:paraId="37124C8B" w14:textId="77777777" w:rsidR="009111CF" w:rsidRDefault="009111CF" w:rsidP="009111CF">
            <w:pPr>
              <w:pStyle w:val="DHHSbody"/>
            </w:pPr>
            <w:r>
              <w:t>Parenthood is a gift that’s mostly joyful, with moments of heartache. Parenting a teenage boy with multiple diagnoses differs somewhat – it can be endless heartache, big to small. Then, peppered with moments of joy.</w:t>
            </w:r>
          </w:p>
          <w:p w14:paraId="540F48C3" w14:textId="77777777" w:rsidR="009111CF" w:rsidRDefault="009111CF" w:rsidP="009111CF">
            <w:pPr>
              <w:pStyle w:val="DHHSquote"/>
            </w:pPr>
            <w:r>
              <w:t>We live for our family; for family unity. My boy will always belong to our family and be called ‘son’ and ‘brother’.</w:t>
            </w:r>
          </w:p>
          <w:p w14:paraId="696739A1" w14:textId="77777777" w:rsidR="009111CF" w:rsidRDefault="009111CF" w:rsidP="009111CF">
            <w:pPr>
              <w:pStyle w:val="DHHSbody"/>
            </w:pPr>
            <w:r>
              <w:t>However, his life will be enriched if he chooses to be physically and emotionally present some of the time, surrounded by the few that truly care. Given the choice and opportunity, would  a person prefer to stay alone in a world of pain?</w:t>
            </w:r>
          </w:p>
          <w:p w14:paraId="381AB8B2" w14:textId="77777777" w:rsidR="009111CF" w:rsidRDefault="009111CF" w:rsidP="009111CF">
            <w:pPr>
              <w:pStyle w:val="DHHSbody"/>
            </w:pPr>
            <w:r>
              <w:t>Our son was indeed very sick. His mental health declined considerably in his 12th year, and we crashed along with him. He suffered in all aspects of his daily life across all settings – be it home, school or respite facilities. We didn’t know how to help him feel settled and happy. We couldn’t manage his behaviours. As a family, we became more and more isolated from the outside world, and even within our home, sometimes taking refuge in separate zones like strangers in a hotel.</w:t>
            </w:r>
          </w:p>
          <w:p w14:paraId="742C4B05" w14:textId="77777777" w:rsidR="009111CF" w:rsidRDefault="009111CF" w:rsidP="009111CF">
            <w:pPr>
              <w:pStyle w:val="DHHSbody"/>
            </w:pPr>
            <w:r>
              <w:t>Caregivers in other settings felt the strain and struggled to cope – our family unity was in crisis.</w:t>
            </w:r>
          </w:p>
          <w:p w14:paraId="6246EE28" w14:textId="77777777" w:rsidR="009111CF" w:rsidRDefault="009111CF" w:rsidP="009111CF">
            <w:pPr>
              <w:pStyle w:val="DHHSbody"/>
            </w:pPr>
            <w:r>
              <w:t>It was time to invite other specialised health professionals into our care team. We already had an excellent paediatrician of 10 years on board, who’d gone above and beyond.</w:t>
            </w:r>
          </w:p>
          <w:p w14:paraId="562B71BC" w14:textId="77777777" w:rsidR="009111CF" w:rsidRDefault="009111CF" w:rsidP="009111CF">
            <w:pPr>
              <w:pStyle w:val="DHHSbody"/>
            </w:pPr>
            <w:r>
              <w:t>Initially at CYMHS there was much discussion – it became apparent he required urgent medical intervention. He began responding to medications, then Behaviour Support Intervention followed. Throughout, his caregivers, family, school teachers and respite workers needed the knowledge, strategies, support, conﬁdence and motivation from CYMHS  to persist.</w:t>
            </w:r>
          </w:p>
          <w:p w14:paraId="5BB72724" w14:textId="77777777" w:rsidR="009111CF" w:rsidRDefault="009111CF" w:rsidP="009111CF">
            <w:pPr>
              <w:pStyle w:val="DHHSbody"/>
            </w:pPr>
            <w:r>
              <w:t>Very slowly, our son is improving, as is his management of challenging behaviours.</w:t>
            </w:r>
          </w:p>
          <w:p w14:paraId="1C6574DC" w14:textId="77777777" w:rsidR="009111CF" w:rsidRDefault="009111CF" w:rsidP="009111CF">
            <w:pPr>
              <w:pStyle w:val="DHHSbody"/>
            </w:pPr>
            <w:r>
              <w:t>He continues to learn, little by little. We have good and bad moments, good and bad days. Overall, more regular, joyful moments – which we celebrate! And less heartache.</w:t>
            </w:r>
          </w:p>
          <w:p w14:paraId="7B40DB28" w14:textId="77777777" w:rsidR="009111CF" w:rsidRDefault="009111CF" w:rsidP="009111CF">
            <w:pPr>
              <w:pStyle w:val="DHHSbody"/>
            </w:pPr>
            <w:r>
              <w:lastRenderedPageBreak/>
              <w:t xml:space="preserve">His caregivers have a renewed sense of purpose and hope in helping him to succeed. There’s greater collaboration between all parties across his environments. So, it is not only our son who is changing for the better – we’re all changing as well. </w:t>
            </w:r>
          </w:p>
          <w:p w14:paraId="0224996D" w14:textId="77777777" w:rsidR="009111CF" w:rsidRDefault="009111CF" w:rsidP="009111CF">
            <w:pPr>
              <w:pStyle w:val="DHHSbody"/>
            </w:pPr>
            <w:r>
              <w:t>CYMHS is helping our son ﬁnd happiness. Consequently, we feel happier. His family are remaining strong and united. And he is learning to be a part of it and part of his school and respite families too.</w:t>
            </w:r>
          </w:p>
          <w:p w14:paraId="4ADCCAB8" w14:textId="1F5B084D" w:rsidR="009111CF" w:rsidRDefault="009111CF" w:rsidP="00957494">
            <w:pPr>
              <w:pStyle w:val="DHHSbody"/>
            </w:pPr>
            <w:r>
              <w:t>Together, CYMHS and all his families form a wonderful care team.</w:t>
            </w:r>
          </w:p>
        </w:tc>
      </w:tr>
    </w:tbl>
    <w:p w14:paraId="33396496" w14:textId="03D96521" w:rsidR="00957494" w:rsidRDefault="00565F18" w:rsidP="009111CF">
      <w:pPr>
        <w:pStyle w:val="Heading3"/>
      </w:pPr>
      <w:r>
        <w:lastRenderedPageBreak/>
        <w:t>National psychosocial support measure</w:t>
      </w:r>
    </w:p>
    <w:p w14:paraId="3BD48ABC" w14:textId="77777777" w:rsidR="00957494" w:rsidRDefault="00957494" w:rsidP="00957494">
      <w:pPr>
        <w:pStyle w:val="DHHSbody"/>
      </w:pPr>
      <w:r>
        <w:t>In June 2018 Victoria and the Commonwealth signed a bilateral agreement for a national psychosocial support measure.</w:t>
      </w:r>
    </w:p>
    <w:p w14:paraId="69D915CC" w14:textId="4751EE02" w:rsidR="00957494" w:rsidRDefault="00957494" w:rsidP="00957494">
      <w:pPr>
        <w:pStyle w:val="DHHSbody"/>
      </w:pPr>
      <w:r>
        <w:t>The measure targets people with a severe mental illness who do not qualify for the NDIS because they do not have a signiﬁcant, enduring psychosocial disability but require</w:t>
      </w:r>
      <w:r w:rsidR="00842E0E">
        <w:t xml:space="preserve"> </w:t>
      </w:r>
      <w:r>
        <w:t>a level of specialist, less intensive and possibly shorter psychosocial support to improve their daily living and connectedness.</w:t>
      </w:r>
    </w:p>
    <w:p w14:paraId="35D6FBA7" w14:textId="13A557F7" w:rsidR="00957494" w:rsidRDefault="00957494" w:rsidP="00957494">
      <w:pPr>
        <w:pStyle w:val="DHHSbody"/>
      </w:pPr>
      <w:r>
        <w:t>The Commonwealth will fund $20.6 million over four years in non-clinical community mental health services in Victoria as part</w:t>
      </w:r>
      <w:r w:rsidR="00521F5C">
        <w:t xml:space="preserve"> </w:t>
      </w:r>
      <w:r>
        <w:t>of the measure. Outside its NDIS contribution, Victoria is continuing to progressively invest in non-clinical mental health supports, with a</w:t>
      </w:r>
      <w:r w:rsidR="00842E0E">
        <w:t xml:space="preserve"> </w:t>
      </w:r>
      <w:r>
        <w:t>focus on people experiencing homelessness and social exclusion and vulnerable young people.</w:t>
      </w:r>
    </w:p>
    <w:p w14:paraId="13810B9D" w14:textId="77777777" w:rsidR="00957494" w:rsidRDefault="00957494" w:rsidP="00957494">
      <w:pPr>
        <w:pStyle w:val="DHHSbody"/>
      </w:pPr>
      <w:r>
        <w:t>This funding, which has progressively increased from 2015–16, forms Victoria’s co-contribution to the national psychosocial support measure.</w:t>
      </w:r>
    </w:p>
    <w:p w14:paraId="244D31A2" w14:textId="6296DFEA" w:rsidR="00957494" w:rsidRDefault="00957494" w:rsidP="00957494">
      <w:pPr>
        <w:pStyle w:val="DHHSbody"/>
      </w:pPr>
      <w:r>
        <w:t>Victoria’s contribution will fund a range of tailored psychosocial supports. These will build the capacity of people with a severe mental illness and associated psychosocial disability, their carers and families to understand</w:t>
      </w:r>
      <w:r w:rsidR="00842E0E">
        <w:t xml:space="preserve"> </w:t>
      </w:r>
      <w:r>
        <w:t>and better self-manage their mental health condition, connect to local health and community services, recover and participate in the life of the community.</w:t>
      </w:r>
    </w:p>
    <w:p w14:paraId="4075CE98" w14:textId="77777777" w:rsidR="00957494" w:rsidRDefault="00957494" w:rsidP="00957494">
      <w:pPr>
        <w:pStyle w:val="DHHSbody"/>
      </w:pPr>
      <w:r>
        <w:t>Delivered through community-managed mental health support services, these supports will be provided in ways that best suit the consumer and the nature of the supports being provided.</w:t>
      </w:r>
    </w:p>
    <w:p w14:paraId="028386A6" w14:textId="77777777" w:rsidR="00957494" w:rsidRDefault="00957494" w:rsidP="00957494">
      <w:pPr>
        <w:pStyle w:val="DHHSbody"/>
      </w:pPr>
      <w:r>
        <w:t>The Commonwealth will allocate its funding contribution to PHNs, which will commission services based on the needs of the local community, taking into account what services and supports are already available. Service delivery is due to begin from early 2019.</w:t>
      </w:r>
    </w:p>
    <w:p w14:paraId="165A23EA" w14:textId="77777777" w:rsidR="00957494" w:rsidRDefault="00957494" w:rsidP="00957494">
      <w:pPr>
        <w:pStyle w:val="DHHSbody"/>
      </w:pPr>
      <w:r>
        <w:t>The department will actively engage with PHNs to maximise potential synergies between Victoria’s psychosocial investment package and supports funded through the Commonwealth contribution.</w:t>
      </w:r>
    </w:p>
    <w:p w14:paraId="4A10A404" w14:textId="5B717E24" w:rsidR="00957494" w:rsidRDefault="00565F18" w:rsidP="00706D56">
      <w:pPr>
        <w:pStyle w:val="Heading2"/>
      </w:pPr>
      <w:bookmarkStart w:id="14" w:name="_Toc28340154"/>
      <w:r>
        <w:t>Forensic mental health reforms</w:t>
      </w:r>
      <w:bookmarkEnd w:id="14"/>
    </w:p>
    <w:p w14:paraId="44C93FDC" w14:textId="77777777" w:rsidR="009111CF" w:rsidRPr="009111CF" w:rsidRDefault="009111CF" w:rsidP="009111CF">
      <w:pPr>
        <w:pStyle w:val="DHHSbody"/>
        <w:rPr>
          <w:b/>
          <w:bCs/>
        </w:rPr>
      </w:pPr>
      <w:r w:rsidRPr="009111CF">
        <w:rPr>
          <w:b/>
          <w:bCs/>
        </w:rPr>
        <w:t>OUTCOME 11: Victorians with mental illness live free from abuse or violence, and have reduced contact with the criminal justice system</w:t>
      </w:r>
    </w:p>
    <w:p w14:paraId="6E295817" w14:textId="4003A793" w:rsidR="00957494" w:rsidRDefault="00565F18" w:rsidP="009111CF">
      <w:pPr>
        <w:pStyle w:val="Heading3"/>
      </w:pPr>
      <w:r>
        <w:t>Community safety statement</w:t>
      </w:r>
    </w:p>
    <w:p w14:paraId="43255CB2" w14:textId="77777777" w:rsidR="00957494" w:rsidRDefault="00957494" w:rsidP="00957494">
      <w:pPr>
        <w:pStyle w:val="DHHSbody"/>
      </w:pPr>
      <w:r>
        <w:t xml:space="preserve">In August 2017 the Victorian Government released the </w:t>
      </w:r>
      <w:r w:rsidRPr="00842E0E">
        <w:rPr>
          <w:i/>
          <w:iCs/>
        </w:rPr>
        <w:t>Community safety statement</w:t>
      </w:r>
      <w:r>
        <w:t>. The statement focuses on the role of Victoria Police in contributing to the government’s long-term community safety outcomes.</w:t>
      </w:r>
    </w:p>
    <w:p w14:paraId="0B61F9B3" w14:textId="77777777" w:rsidR="00957494" w:rsidRDefault="00957494" w:rsidP="00957494">
      <w:pPr>
        <w:pStyle w:val="DHHSbody"/>
      </w:pPr>
      <w:r>
        <w:t>The</w:t>
      </w:r>
      <w:r w:rsidRPr="00842E0E">
        <w:rPr>
          <w:i/>
          <w:iCs/>
        </w:rPr>
        <w:t xml:space="preserve"> Community safety statement</w:t>
      </w:r>
      <w:r>
        <w:t xml:space="preserve"> includes efforts to:</w:t>
      </w:r>
    </w:p>
    <w:p w14:paraId="48B5041F" w14:textId="6C7787DC" w:rsidR="00957494" w:rsidRDefault="00957494" w:rsidP="00842E0E">
      <w:pPr>
        <w:pStyle w:val="DHHSbullet1"/>
      </w:pPr>
      <w:r>
        <w:t>increase mental health literacy among Victoria Police staff</w:t>
      </w:r>
    </w:p>
    <w:p w14:paraId="636BE6A9" w14:textId="70B97510" w:rsidR="00957494" w:rsidRDefault="00957494" w:rsidP="00842E0E">
      <w:pPr>
        <w:pStyle w:val="DHHSbullet1"/>
      </w:pPr>
      <w:r>
        <w:t>increase diversity and tolerance within the police force</w:t>
      </w:r>
    </w:p>
    <w:p w14:paraId="3D7CD396" w14:textId="172B6065" w:rsidR="00957494" w:rsidRDefault="00957494" w:rsidP="00842E0E">
      <w:pPr>
        <w:pStyle w:val="DHHSbullet1"/>
      </w:pPr>
      <w:r>
        <w:t>address cultural barriers and drivers of mental health stigma</w:t>
      </w:r>
    </w:p>
    <w:p w14:paraId="78CDF46F" w14:textId="4551BE79" w:rsidR="00957494" w:rsidRDefault="00957494" w:rsidP="00842E0E">
      <w:pPr>
        <w:pStyle w:val="DHHSbullet1lastline"/>
      </w:pPr>
      <w:r>
        <w:lastRenderedPageBreak/>
        <w:t>enable appropriate and informed policing responses to vulnerable Victorians, including Victorians with mental illness, in contact with the criminal justice system.</w:t>
      </w:r>
    </w:p>
    <w:p w14:paraId="10274974" w14:textId="77777777" w:rsidR="00957494" w:rsidRDefault="00957494" w:rsidP="00957494">
      <w:pPr>
        <w:pStyle w:val="DHHSbody"/>
      </w:pPr>
      <w:r>
        <w:t>Victoria Police, other government agencies including the department, and the broader justice and correctional system play a fundamental role in achieving and upholding community safety.</w:t>
      </w:r>
    </w:p>
    <w:p w14:paraId="2EE0D4F4" w14:textId="77777777" w:rsidR="00957494" w:rsidRDefault="00957494" w:rsidP="00957494">
      <w:pPr>
        <w:pStyle w:val="DHHSbody"/>
      </w:pPr>
      <w:r>
        <w:t xml:space="preserve">Continued progress and investment under </w:t>
      </w:r>
      <w:r w:rsidRPr="00235E13">
        <w:rPr>
          <w:i/>
        </w:rPr>
        <w:t>Victoria’s 10-year mental health plan</w:t>
      </w:r>
      <w:r>
        <w:t xml:space="preserve"> is integral to achieving community safety outcomes outlined in the </w:t>
      </w:r>
      <w:r w:rsidRPr="00235E13">
        <w:rPr>
          <w:i/>
        </w:rPr>
        <w:t>Community safety statement</w:t>
      </w:r>
      <w:r>
        <w:t>.</w:t>
      </w:r>
    </w:p>
    <w:p w14:paraId="460A96B0" w14:textId="2F558407" w:rsidR="00957494" w:rsidRDefault="00957494" w:rsidP="00957494">
      <w:pPr>
        <w:pStyle w:val="DHHSbody"/>
      </w:pPr>
      <w:r>
        <w:t>During 2017–18 we have continued to expand mental health support for those who are in, or at risk of entering, the criminal justice system</w:t>
      </w:r>
      <w:r w:rsidR="00842E0E">
        <w:t xml:space="preserve"> </w:t>
      </w:r>
      <w:r>
        <w:t>and to meet increasing demand for mental health services in justice settings.</w:t>
      </w:r>
    </w:p>
    <w:p w14:paraId="1F43B1C9" w14:textId="4EF37908" w:rsidR="00957494" w:rsidRDefault="00565F18" w:rsidP="009111CF">
      <w:pPr>
        <w:pStyle w:val="Heading3"/>
      </w:pPr>
      <w:r>
        <w:t>Forensic mental health implementation plan</w:t>
      </w:r>
    </w:p>
    <w:p w14:paraId="03084051" w14:textId="77777777" w:rsidR="00957494" w:rsidRDefault="00957494" w:rsidP="00957494">
      <w:pPr>
        <w:pStyle w:val="DHHSbody"/>
      </w:pPr>
      <w:r>
        <w:t xml:space="preserve">A range of forensic mental health reforms funded in Victoria’s 2016–17 State Budget comprise the </w:t>
      </w:r>
      <w:r w:rsidRPr="00CA3CF5">
        <w:rPr>
          <w:i/>
          <w:iCs/>
        </w:rPr>
        <w:t>Forensic mental health implementation plan</w:t>
      </w:r>
      <w:r>
        <w:t>.</w:t>
      </w:r>
    </w:p>
    <w:p w14:paraId="5DB036B3" w14:textId="76DCAB43" w:rsidR="00957494" w:rsidRDefault="00957494" w:rsidP="00957494">
      <w:pPr>
        <w:pStyle w:val="DHHSbody"/>
      </w:pPr>
      <w:r>
        <w:t>The plan is a cross-portfolio framework aimed at increasing community safety by reducing the number of people living with a mental illness in</w:t>
      </w:r>
      <w:r w:rsidR="00842E0E">
        <w:t xml:space="preserve"> </w:t>
      </w:r>
      <w:r>
        <w:t>contact with the criminal justice system, as either offenders or victims of crime.</w:t>
      </w:r>
    </w:p>
    <w:p w14:paraId="4C2F60E5" w14:textId="77777777" w:rsidR="00957494" w:rsidRDefault="00957494" w:rsidP="00957494">
      <w:pPr>
        <w:pStyle w:val="DHHSbody"/>
      </w:pPr>
      <w:r>
        <w:t>Under the implementation plan, we are enhancing clinical mental health assessment, treatment and support services delivered to young people in Parkville and Malmsbury Youth Justice Precincts through our Custodial Forensic Mental Health Service.</w:t>
      </w:r>
    </w:p>
    <w:p w14:paraId="50A5124C" w14:textId="77777777" w:rsidR="00957494" w:rsidRDefault="00957494" w:rsidP="00957494">
      <w:pPr>
        <w:pStyle w:val="DHHSbody"/>
      </w:pPr>
      <w:r>
        <w:t>We are establishing Victoria’s ﬁrst dedicated secure forensic mental health unit for young people who are in custody and require compulsory acute inpatient treatment in hospital.</w:t>
      </w:r>
    </w:p>
    <w:p w14:paraId="2C353D8D" w14:textId="478F44AC" w:rsidR="00957494" w:rsidRDefault="00957494" w:rsidP="00957494">
      <w:pPr>
        <w:pStyle w:val="DHHSbody"/>
      </w:pPr>
      <w:r>
        <w:t>We are also establishing a Community Forensic Youth Mental Health Service, which will be operational later in 2018. This is an early</w:t>
      </w:r>
      <w:r w:rsidR="00CA3CF5">
        <w:t xml:space="preserve"> </w:t>
      </w:r>
      <w:r>
        <w:t>intervention model for young people with mental health needs exhibiting problem behaviours and focuses on preventing contact with the youth justice system.</w:t>
      </w:r>
    </w:p>
    <w:p w14:paraId="62EC6B02" w14:textId="5B154F62" w:rsidR="00957494" w:rsidRDefault="00957494" w:rsidP="00957494">
      <w:pPr>
        <w:pStyle w:val="DHHSbody"/>
      </w:pPr>
      <w:r>
        <w:t>We are also expanding and enhancing mental health court advice services in 13 Magistrates’ Courts across Victoria through the new Mental Health Advice and Response Service. This service will assist with information about mental illness for the purposes of bail and sentencing decisions. It will also provide a mental health court advice service to the Children’s Court, focusing on the mental health of accused young people, with</w:t>
      </w:r>
      <w:r w:rsidR="00BC3D21">
        <w:t xml:space="preserve"> </w:t>
      </w:r>
      <w:r>
        <w:t>a view to linking them to child and adolescent mental health services in the community.</w:t>
      </w:r>
    </w:p>
    <w:p w14:paraId="702086D8" w14:textId="72454334" w:rsidR="00957494" w:rsidRDefault="00957494" w:rsidP="00957494">
      <w:pPr>
        <w:pStyle w:val="DHHSbody"/>
      </w:pPr>
      <w:r>
        <w:t>Clinical mental health services are also being established in community health services across Victoria to deliver mental health support to people on community correction orders or with mental health treatment and rehabilitation conditions</w:t>
      </w:r>
      <w:r w:rsidR="00BC3D21">
        <w:t xml:space="preserve"> </w:t>
      </w:r>
      <w:r>
        <w:t>on their parole. These services will work with 22 community correctional services sites to provide support to these consumers.</w:t>
      </w:r>
    </w:p>
    <w:p w14:paraId="2AE1F1B3" w14:textId="0B343AEC" w:rsidR="00957494" w:rsidRDefault="00565F18" w:rsidP="009111CF">
      <w:pPr>
        <w:pStyle w:val="Heading3"/>
      </w:pPr>
      <w:r>
        <w:t>Addressing demand for forensic mental health beds</w:t>
      </w:r>
    </w:p>
    <w:p w14:paraId="21FD7328" w14:textId="40357E4E" w:rsidR="00957494" w:rsidRDefault="00957494" w:rsidP="00957494">
      <w:pPr>
        <w:pStyle w:val="DHHSbody"/>
      </w:pPr>
      <w:r>
        <w:t>Services at Thomas Embling Hospital remain in high demand. Eighteen additional beds will</w:t>
      </w:r>
      <w:r w:rsidR="00842E0E">
        <w:t xml:space="preserve"> </w:t>
      </w:r>
      <w:r>
        <w:t xml:space="preserve">open during 2018–19 to help meet urgent demand for prisoners requiring compulsory mental health treatment and people subject to orders under the </w:t>
      </w:r>
      <w:r w:rsidRPr="00235E13">
        <w:rPr>
          <w:i/>
        </w:rPr>
        <w:t>Crimes (Mental Impairment and Unﬁtness to be Tried) Act 1997</w:t>
      </w:r>
      <w:r>
        <w:t>.</w:t>
      </w:r>
    </w:p>
    <w:p w14:paraId="13377BDB" w14:textId="77777777" w:rsidR="00957494" w:rsidRDefault="00957494" w:rsidP="00957494">
      <w:pPr>
        <w:pStyle w:val="DHHSbody"/>
      </w:pPr>
      <w:r>
        <w:t>In October 2017 Ravenhall Correctional Centre, the new medium security men's prison, opened in Melbourne's west. The prison includes a specialised unit to provide dedicated forensic mental health treatment for up to 75 prisoners, and a large and varied specialist outpatient program managed by Forensicare.</w:t>
      </w:r>
    </w:p>
    <w:p w14:paraId="5EC61058" w14:textId="013261EA" w:rsidR="00957494" w:rsidRDefault="00565F18" w:rsidP="009111CF">
      <w:pPr>
        <w:pStyle w:val="Heading3"/>
      </w:pPr>
      <w:r>
        <w:lastRenderedPageBreak/>
        <w:t>Public safety and people with complex needs</w:t>
      </w:r>
    </w:p>
    <w:p w14:paraId="651E624D" w14:textId="67520623" w:rsidR="00957494" w:rsidRDefault="00957494" w:rsidP="00957494">
      <w:pPr>
        <w:pStyle w:val="DHHSbody"/>
      </w:pPr>
      <w:r>
        <w:t>We are committed to keeping communities safe from acts of violence and to providing the best possible treatment for people with</w:t>
      </w:r>
      <w:r w:rsidR="00CA3CF5">
        <w:t xml:space="preserve"> </w:t>
      </w:r>
      <w:r>
        <w:t>complex needs who pose a risk to public safety.</w:t>
      </w:r>
    </w:p>
    <w:p w14:paraId="59ADFF4F" w14:textId="6F4A965C" w:rsidR="00957494" w:rsidRDefault="00957494" w:rsidP="00957494">
      <w:pPr>
        <w:pStyle w:val="DHHSbody"/>
      </w:pPr>
      <w:r>
        <w:t>In response to the tragic incidents in Melbourne’s central business district in early 2017, the Victorian Government established the Victorian Fixated Threat Assessment Centre to help identify high-risk individuals and prevent violence through early intervention.</w:t>
      </w:r>
    </w:p>
    <w:p w14:paraId="032863A7" w14:textId="77777777" w:rsidR="00957494" w:rsidRDefault="00957494" w:rsidP="00957494">
      <w:pPr>
        <w:pStyle w:val="DHHSbody"/>
      </w:pPr>
      <w:r>
        <w:t>The assessment centre began operations in March 2018. It brings together police and mental health clinicians to provide a coordinated response to serious threats of grievance-fuelled violence by people with complex needs.</w:t>
      </w:r>
    </w:p>
    <w:p w14:paraId="3943F4B9" w14:textId="4BF37AE6" w:rsidR="00957494" w:rsidRDefault="00957494" w:rsidP="00957494">
      <w:pPr>
        <w:pStyle w:val="DHHSbody"/>
      </w:pPr>
      <w:r>
        <w:t>We are also expanding the Multiple and Complex Needs Initiative to provide additional supports</w:t>
      </w:r>
      <w:r w:rsidR="00CA3CF5">
        <w:t xml:space="preserve"> </w:t>
      </w:r>
      <w:r>
        <w:t>to people with complex needs including:</w:t>
      </w:r>
    </w:p>
    <w:p w14:paraId="7F101FE4" w14:textId="2A2BC541" w:rsidR="00957494" w:rsidRDefault="00957494" w:rsidP="00BC3D21">
      <w:pPr>
        <w:pStyle w:val="DHHSbullet1"/>
      </w:pPr>
      <w:r>
        <w:t>additional planning and service delivery coordination</w:t>
      </w:r>
    </w:p>
    <w:p w14:paraId="28A460FF" w14:textId="343B3F6F" w:rsidR="00957494" w:rsidRDefault="00957494" w:rsidP="00BC3D21">
      <w:pPr>
        <w:pStyle w:val="DHHSbullet1lastline"/>
      </w:pPr>
      <w:r>
        <w:t>brokerage support and ﬂexible funding packages.</w:t>
      </w:r>
    </w:p>
    <w:p w14:paraId="4529D128" w14:textId="77777777" w:rsidR="00957494" w:rsidRDefault="00957494" w:rsidP="00957494">
      <w:pPr>
        <w:pStyle w:val="DHHSbody"/>
      </w:pPr>
      <w:r>
        <w:t>As part of this work, consideration is also being given to how best to strengthen our service capacity to treat and support people with complex needs who pose signiﬁcant risk of harm to others.</w:t>
      </w:r>
    </w:p>
    <w:p w14:paraId="10C2DD8A" w14:textId="77777777" w:rsidR="00BC3D21" w:rsidRDefault="00BC3D21">
      <w:pPr>
        <w:rPr>
          <w:rFonts w:ascii="Arial" w:eastAsia="Times" w:hAnsi="Arial"/>
        </w:rPr>
      </w:pPr>
      <w:r>
        <w:br w:type="page"/>
      </w:r>
    </w:p>
    <w:p w14:paraId="5FCFF84F" w14:textId="47AE9CD1" w:rsidR="00957494" w:rsidRDefault="00957494" w:rsidP="00BC3D21">
      <w:pPr>
        <w:pStyle w:val="Heading1"/>
      </w:pPr>
      <w:bookmarkStart w:id="15" w:name="_Toc28340155"/>
      <w:r>
        <w:lastRenderedPageBreak/>
        <w:t>2.</w:t>
      </w:r>
      <w:r>
        <w:tab/>
      </w:r>
      <w:r w:rsidR="00BC3D21">
        <w:t>Reform of</w:t>
      </w:r>
      <w:r>
        <w:t xml:space="preserve"> </w:t>
      </w:r>
      <w:r w:rsidR="00BC3D21">
        <w:t>Victoria’s clinical mental health services 2018–2023</w:t>
      </w:r>
      <w:bookmarkEnd w:id="15"/>
    </w:p>
    <w:p w14:paraId="4875D281" w14:textId="3B29F979" w:rsidR="00957494" w:rsidRDefault="00BC3D21" w:rsidP="00BC3D21">
      <w:pPr>
        <w:pStyle w:val="Heading2"/>
      </w:pPr>
      <w:bookmarkStart w:id="16" w:name="_Toc28340156"/>
      <w:r>
        <w:t>Victoria’s 2018–19 State Budget</w:t>
      </w:r>
      <w:bookmarkEnd w:id="16"/>
    </w:p>
    <w:p w14:paraId="6B19769A" w14:textId="67158424" w:rsidR="00957494" w:rsidRPr="00565F18" w:rsidRDefault="00565F18" w:rsidP="00565F18">
      <w:pPr>
        <w:pStyle w:val="DHHSbody"/>
        <w:rPr>
          <w:b/>
          <w:bCs/>
        </w:rPr>
      </w:pPr>
      <w:r w:rsidRPr="00565F18">
        <w:rPr>
          <w:b/>
          <w:bCs/>
        </w:rPr>
        <w:t>OUTCOME 13: The treatment and support that Victorians with mental illness, their families and carers receive is available in the right place, at the right time</w:t>
      </w:r>
    </w:p>
    <w:p w14:paraId="557BEB99" w14:textId="77777777" w:rsidR="00957494" w:rsidRDefault="00957494" w:rsidP="00957494">
      <w:pPr>
        <w:pStyle w:val="DHHSbody"/>
      </w:pPr>
      <w:r>
        <w:t>Extensive review work undertaken throughout 2017–18 built a strong case for injecting new resources into the clinical mental health system. This work showed that services are under increasing and sustained demand pressure.</w:t>
      </w:r>
    </w:p>
    <w:p w14:paraId="0E0A211B" w14:textId="77777777" w:rsidR="00957494" w:rsidRDefault="00957494" w:rsidP="00957494">
      <w:pPr>
        <w:pStyle w:val="DHHSbody"/>
      </w:pPr>
      <w:r>
        <w:t>As our ﬁrst two mental health services annual reports highlighted, increasing demand has been driven by multiple factors including population growth, changing patterns of drug use and increasing community awareness of mental illness.</w:t>
      </w:r>
    </w:p>
    <w:p w14:paraId="0B371570" w14:textId="0D9232C2" w:rsidR="00957494" w:rsidRDefault="00957494" w:rsidP="00957494">
      <w:pPr>
        <w:pStyle w:val="DHHSbody"/>
      </w:pPr>
      <w:r>
        <w:t>Long-term funding growth has not kept pace with the increased demand for services. As a consequence, mental services are struggling to meet the community’s need for high-quality</w:t>
      </w:r>
      <w:r w:rsidR="00BC3D21">
        <w:t xml:space="preserve"> </w:t>
      </w:r>
      <w:r>
        <w:t>mental health care for people with severe mental illness, their families and carers.</w:t>
      </w:r>
    </w:p>
    <w:p w14:paraId="1074BF25" w14:textId="77777777" w:rsidR="00565F18" w:rsidRDefault="00565F18" w:rsidP="00565F18">
      <w:pPr>
        <w:pStyle w:val="DHHSbody"/>
      </w:pPr>
      <w:r>
        <w:t>Investment in the 2018–19 Budget will help health services keep pace with growing demand for clinical mental health services, allowing them to open and operate new services, boost the number of treatment hours in community-based mental health services, and improve outcomes for consumers.</w:t>
      </w:r>
    </w:p>
    <w:p w14:paraId="69D5A7C2" w14:textId="77777777" w:rsidR="00565F18" w:rsidRDefault="00565F18" w:rsidP="00565F18">
      <w:pPr>
        <w:pStyle w:val="DHHSbody"/>
      </w:pPr>
      <w:r>
        <w:t>Figure 2 demonstrates the spread of investment provided in the budget over the next four years.</w:t>
      </w:r>
    </w:p>
    <w:p w14:paraId="3CB1EA42" w14:textId="0C7A1335" w:rsidR="00565F18" w:rsidRDefault="00565F18" w:rsidP="00565F18">
      <w:pPr>
        <w:pStyle w:val="DHHSfigurecaption"/>
      </w:pPr>
      <w:r>
        <w:t>Figure 2: Spread of investment</w:t>
      </w:r>
    </w:p>
    <w:p w14:paraId="43C3ADA8" w14:textId="15249A2E" w:rsidR="00565F18" w:rsidRDefault="00957494" w:rsidP="00957494">
      <w:pPr>
        <w:pStyle w:val="DHHSbody"/>
      </w:pPr>
      <w:r>
        <w:t xml:space="preserve">Redesign community-based mental health services </w:t>
      </w:r>
      <w:r w:rsidR="00565F18">
        <w:t>= $153.8m</w:t>
      </w:r>
    </w:p>
    <w:p w14:paraId="2158F0F1" w14:textId="51812130" w:rsidR="00957494" w:rsidRDefault="00957494" w:rsidP="00957494">
      <w:pPr>
        <w:pStyle w:val="DHHSbody"/>
      </w:pPr>
      <w:r>
        <w:t>Strengthen the mental health workforce</w:t>
      </w:r>
      <w:r w:rsidR="00565F18">
        <w:t xml:space="preserve"> = $32.5m</w:t>
      </w:r>
    </w:p>
    <w:p w14:paraId="248C076E" w14:textId="329B4276" w:rsidR="00957494" w:rsidRDefault="00957494" w:rsidP="00957494">
      <w:pPr>
        <w:pStyle w:val="DHHSbody"/>
      </w:pPr>
      <w:r>
        <w:t>Improve subacute treatment</w:t>
      </w:r>
      <w:r w:rsidR="00565F18">
        <w:t xml:space="preserve"> = $28.6m</w:t>
      </w:r>
    </w:p>
    <w:p w14:paraId="18FE87A2" w14:textId="2B853BB7" w:rsidR="00957494" w:rsidRDefault="00957494" w:rsidP="00957494">
      <w:pPr>
        <w:pStyle w:val="DHHSbody"/>
      </w:pPr>
      <w:r>
        <w:t>Improve responses to people with complex needs</w:t>
      </w:r>
      <w:r w:rsidR="00565F18">
        <w:t xml:space="preserve"> = $58.9m</w:t>
      </w:r>
    </w:p>
    <w:p w14:paraId="42D53300" w14:textId="1F426CE9" w:rsidR="00565F18" w:rsidRDefault="00957494" w:rsidP="00957494">
      <w:pPr>
        <w:pStyle w:val="DHHSbody"/>
      </w:pPr>
      <w:r>
        <w:t xml:space="preserve">Respond to demand for </w:t>
      </w:r>
      <w:r w:rsidR="00565F18">
        <w:t>clinical</w:t>
      </w:r>
      <w:r>
        <w:t xml:space="preserve"> mental health services</w:t>
      </w:r>
      <w:r w:rsidR="00565F18">
        <w:t xml:space="preserve"> = $264.8m</w:t>
      </w:r>
    </w:p>
    <w:p w14:paraId="77A617C2" w14:textId="44ECB2A1" w:rsidR="00957494" w:rsidRDefault="00957494" w:rsidP="00957494">
      <w:pPr>
        <w:pStyle w:val="DHHSbody"/>
      </w:pPr>
      <w:r>
        <w:t>Respond to people in crisis</w:t>
      </w:r>
      <w:r w:rsidR="00565F18">
        <w:t xml:space="preserve"> = $119.m</w:t>
      </w:r>
    </w:p>
    <w:p w14:paraId="6E7380ED" w14:textId="30E5B844" w:rsidR="00957494" w:rsidRDefault="00565F18" w:rsidP="00957494">
      <w:pPr>
        <w:pStyle w:val="DHHSbody"/>
      </w:pPr>
      <w:r>
        <w:t>&lt;end of figure&gt;</w:t>
      </w:r>
      <w:r w:rsidR="00957494">
        <w:t xml:space="preserve"> </w:t>
      </w:r>
    </w:p>
    <w:tbl>
      <w:tblPr>
        <w:tblStyle w:val="TableGrid"/>
        <w:tblW w:w="0" w:type="auto"/>
        <w:tblLook w:val="04A0" w:firstRow="1" w:lastRow="0" w:firstColumn="1" w:lastColumn="0" w:noHBand="0" w:noVBand="1"/>
      </w:tblPr>
      <w:tblGrid>
        <w:gridCol w:w="9184"/>
      </w:tblGrid>
      <w:tr w:rsidR="00FE6E50" w14:paraId="1E3BD92A" w14:textId="77777777" w:rsidTr="00FE6E50">
        <w:tc>
          <w:tcPr>
            <w:tcW w:w="9184" w:type="dxa"/>
          </w:tcPr>
          <w:p w14:paraId="3DB3350C" w14:textId="77777777" w:rsidR="00FE6E50" w:rsidRDefault="00FE6E50" w:rsidP="00FE6E50">
            <w:pPr>
              <w:pStyle w:val="DHHSboxheading"/>
            </w:pPr>
            <w:r>
              <w:rPr>
                <w:w w:val="105"/>
              </w:rPr>
              <w:t>Investment to help reform clinical mental health services</w:t>
            </w:r>
          </w:p>
          <w:p w14:paraId="1F06D212" w14:textId="77777777" w:rsidR="00FE6E50" w:rsidRPr="00FE6E50" w:rsidRDefault="00FE6E50" w:rsidP="00FE6E50">
            <w:pPr>
              <w:pStyle w:val="DHHSbody"/>
            </w:pPr>
            <w:r w:rsidRPr="00FE6E50">
              <w:t>Investment announced in the 2018–19 State Budget includes funding, over four years, to:</w:t>
            </w:r>
          </w:p>
          <w:p w14:paraId="63B5C5AB" w14:textId="77777777" w:rsidR="00FE6E50" w:rsidRPr="00FE6E50" w:rsidRDefault="00FE6E50" w:rsidP="00FE6E50">
            <w:pPr>
              <w:pStyle w:val="DHHSbullet1"/>
            </w:pPr>
            <w:r w:rsidRPr="00FE6E50">
              <w:t>operate 89 new and existing acute inpatient beds</w:t>
            </w:r>
          </w:p>
          <w:p w14:paraId="4F6D15C0" w14:textId="77777777" w:rsidR="00FE6E50" w:rsidRPr="00FE6E50" w:rsidRDefault="00FE6E50" w:rsidP="00FE6E50">
            <w:pPr>
              <w:pStyle w:val="DHHSbullet1"/>
            </w:pPr>
            <w:r w:rsidRPr="00FE6E50">
              <w:t>boost the number of treatment hours in community-based clinical mental health services, which will give around 12,800 more Victorians access to these services</w:t>
            </w:r>
          </w:p>
          <w:p w14:paraId="26E83E6B" w14:textId="77777777" w:rsidR="00FE6E50" w:rsidRPr="00FE6E50" w:rsidRDefault="00FE6E50" w:rsidP="00FE6E50">
            <w:pPr>
              <w:pStyle w:val="DHHSbullet1"/>
            </w:pPr>
            <w:r w:rsidRPr="00FE6E50">
              <w:t>establish six emergency department hubs across the state for people with urgent mental health, alcohol and other drug (AOD) issues</w:t>
            </w:r>
          </w:p>
          <w:p w14:paraId="36AF5647" w14:textId="77777777" w:rsidR="00FE6E50" w:rsidRPr="00FE6E50" w:rsidRDefault="00FE6E50" w:rsidP="00FE6E50">
            <w:pPr>
              <w:pStyle w:val="DHHSbullet1"/>
            </w:pPr>
            <w:r w:rsidRPr="00FE6E50">
              <w:t>develop six new HOPE sites</w:t>
            </w:r>
          </w:p>
          <w:p w14:paraId="7F8DBF9A" w14:textId="77777777" w:rsidR="00FE6E50" w:rsidRPr="00FE6E50" w:rsidRDefault="00FE6E50" w:rsidP="00FE6E50">
            <w:pPr>
              <w:pStyle w:val="DHHSbullet1"/>
            </w:pPr>
            <w:r w:rsidRPr="00FE6E50">
              <w:t>expand the existing Multiple and Complex Needs Initiative and services for adults with complex needs who pose signiﬁcant risks to the safety of others</w:t>
            </w:r>
          </w:p>
          <w:p w14:paraId="7BFC60AA" w14:textId="77777777" w:rsidR="00FE6E50" w:rsidRPr="00FE6E50" w:rsidRDefault="00FE6E50" w:rsidP="00FE6E50">
            <w:pPr>
              <w:pStyle w:val="DHHSbullet1"/>
            </w:pPr>
            <w:r w:rsidRPr="00FE6E50">
              <w:t>provide intensive community mental health services and support for current high-needs mental health consumers</w:t>
            </w:r>
          </w:p>
          <w:p w14:paraId="1C15655A" w14:textId="77777777" w:rsidR="00FE6E50" w:rsidRPr="00FE6E50" w:rsidRDefault="00FE6E50" w:rsidP="00FE6E50">
            <w:pPr>
              <w:pStyle w:val="DHHSbullet1"/>
            </w:pPr>
            <w:r w:rsidRPr="00FE6E50">
              <w:t>boost clinical support in existing prevention and recovery care units (PARCs)</w:t>
            </w:r>
          </w:p>
          <w:p w14:paraId="6CA20237" w14:textId="391893CA" w:rsidR="00FE6E50" w:rsidRDefault="00FE6E50" w:rsidP="00957494">
            <w:pPr>
              <w:pStyle w:val="DHHSbullet1"/>
            </w:pPr>
            <w:r w:rsidRPr="00FE6E50">
              <w:lastRenderedPageBreak/>
              <w:t>establish a new 20-bed residential facility for young people with a mental illness.</w:t>
            </w:r>
          </w:p>
        </w:tc>
      </w:tr>
    </w:tbl>
    <w:p w14:paraId="26D3026A" w14:textId="77777777" w:rsidR="00FE6E50" w:rsidRDefault="00FE6E50" w:rsidP="00FE6E50">
      <w:pPr>
        <w:pStyle w:val="DHHSbodyaftertablefigure"/>
      </w:pPr>
      <w:r>
        <w:lastRenderedPageBreak/>
        <w:t>Importantly, though, we are investing in system reform. In consultations over the past two years, consumers, their families and carers, mental health clinicians and other professionals have shared their expertise and ideas about how things could be done differently in the clinical mental health sector.</w:t>
      </w:r>
    </w:p>
    <w:p w14:paraId="081054C8" w14:textId="77777777" w:rsidR="00FE6E50" w:rsidRDefault="00FE6E50" w:rsidP="00FE6E50">
      <w:pPr>
        <w:pStyle w:val="DHHSbody"/>
      </w:pPr>
      <w:r>
        <w:t>Based on their feedback, we have identiﬁed six key priority areas for action and six enablers will shape our reform work over the next ﬁve years.</w:t>
      </w:r>
    </w:p>
    <w:p w14:paraId="6026081F" w14:textId="604EDEBC" w:rsidR="00957494" w:rsidRDefault="00FE6E50" w:rsidP="00FE6E50">
      <w:pPr>
        <w:pStyle w:val="Heading2"/>
      </w:pPr>
      <w:bookmarkStart w:id="17" w:name="_Toc28340157"/>
      <w:r>
        <w:t>What we will do</w:t>
      </w:r>
      <w:bookmarkEnd w:id="17"/>
    </w:p>
    <w:p w14:paraId="2E126933" w14:textId="77777777" w:rsidR="00957494" w:rsidRDefault="00957494" w:rsidP="00957494">
      <w:pPr>
        <w:pStyle w:val="DHHSbody"/>
      </w:pPr>
      <w:r>
        <w:t>We will:</w:t>
      </w:r>
    </w:p>
    <w:p w14:paraId="135A9E80" w14:textId="03759671" w:rsidR="00957494" w:rsidRDefault="00957494" w:rsidP="00BC3D21">
      <w:pPr>
        <w:pStyle w:val="DHHSbullet1"/>
      </w:pPr>
      <w:r>
        <w:t>reform adult community-based services by</w:t>
      </w:r>
    </w:p>
    <w:p w14:paraId="167F473B" w14:textId="4AB43BB7" w:rsidR="00957494" w:rsidRDefault="00957494" w:rsidP="00BC3D21">
      <w:pPr>
        <w:pStyle w:val="DHHSbullet2"/>
      </w:pPr>
      <w:r>
        <w:t>increasing service capacity to treat more people and respond at earlier stages of illness</w:t>
      </w:r>
    </w:p>
    <w:p w14:paraId="2BDC54C9" w14:textId="1B773186" w:rsidR="00957494" w:rsidRDefault="00957494" w:rsidP="00BC3D21">
      <w:pPr>
        <w:pStyle w:val="DHHSbullet2"/>
      </w:pPr>
      <w:r>
        <w:t>supporting clinicians to deliver evidence-based best practice interventions</w:t>
      </w:r>
    </w:p>
    <w:p w14:paraId="3EAD7F42" w14:textId="25B8D214" w:rsidR="00957494" w:rsidRDefault="00957494" w:rsidP="00BC3D21">
      <w:pPr>
        <w:pStyle w:val="DHHSbullet2"/>
      </w:pPr>
      <w:r>
        <w:t>streamlining and improving service entry process so people can get timely assessment of their needs and referral to mental health or other services</w:t>
      </w:r>
    </w:p>
    <w:p w14:paraId="20F7D175" w14:textId="3B2C5333" w:rsidR="00957494" w:rsidRDefault="00957494" w:rsidP="00BC3D21">
      <w:pPr>
        <w:pStyle w:val="DHHSbullet1"/>
      </w:pPr>
      <w:r>
        <w:t>introduce new responses to help people experiencing a mental health crisis</w:t>
      </w:r>
    </w:p>
    <w:p w14:paraId="5E2B3E1C" w14:textId="18F8B174" w:rsidR="00957494" w:rsidRDefault="00957494" w:rsidP="00BC3D21">
      <w:pPr>
        <w:pStyle w:val="DHHSbullet1"/>
      </w:pPr>
      <w:r>
        <w:t>provide a balanced range of high-quality bed-based services including enhanced subacute and secure extended care services</w:t>
      </w:r>
    </w:p>
    <w:p w14:paraId="3BFA9263" w14:textId="3059C1FF" w:rsidR="00957494" w:rsidRDefault="00957494" w:rsidP="00BC3D21">
      <w:pPr>
        <w:pStyle w:val="DHHSbullet1"/>
      </w:pPr>
      <w:r>
        <w:t>build linkages with and support for other services, with AOD services prioritised for immediate action</w:t>
      </w:r>
    </w:p>
    <w:p w14:paraId="16CEAE1E" w14:textId="468EFAB2" w:rsidR="00957494" w:rsidRDefault="00957494" w:rsidP="00BC3D21">
      <w:pPr>
        <w:pStyle w:val="DHHSbullet1"/>
      </w:pPr>
      <w:r>
        <w:t>respond effectively to people with complex needs who present signiﬁcant risks to the safety of others</w:t>
      </w:r>
    </w:p>
    <w:p w14:paraId="11FA79B0" w14:textId="5106209B" w:rsidR="00957494" w:rsidRDefault="00957494" w:rsidP="00BC3D21">
      <w:pPr>
        <w:pStyle w:val="DHHSbullet1lastline"/>
      </w:pPr>
      <w:r>
        <w:t>strengthen services for children and young people.</w:t>
      </w:r>
    </w:p>
    <w:p w14:paraId="69CAC418" w14:textId="0B8CB6EC" w:rsidR="00957494" w:rsidRDefault="00FE6E50" w:rsidP="00FE6E50">
      <w:pPr>
        <w:pStyle w:val="Heading2"/>
      </w:pPr>
      <w:bookmarkStart w:id="18" w:name="_Toc28340158"/>
      <w:r>
        <w:t>How we will do it</w:t>
      </w:r>
      <w:bookmarkEnd w:id="18"/>
    </w:p>
    <w:p w14:paraId="22D1CD5F" w14:textId="77777777" w:rsidR="00957494" w:rsidRDefault="00957494" w:rsidP="00957494">
      <w:pPr>
        <w:pStyle w:val="DHHSbody"/>
      </w:pPr>
      <w:r>
        <w:t>We will:</w:t>
      </w:r>
    </w:p>
    <w:p w14:paraId="65C08AA1" w14:textId="32F77805" w:rsidR="00957494" w:rsidRDefault="00957494" w:rsidP="00BC3D21">
      <w:pPr>
        <w:pStyle w:val="DHHSbullet1"/>
      </w:pPr>
      <w:r>
        <w:t>introduce a new funding model that provides incentives to health services to accept more patients and direct resources to the highest need patient groups</w:t>
      </w:r>
    </w:p>
    <w:p w14:paraId="26932984" w14:textId="2FD4F831" w:rsidR="00957494" w:rsidRDefault="00957494" w:rsidP="00BC3D21">
      <w:pPr>
        <w:pStyle w:val="DHHSbullet1"/>
      </w:pPr>
      <w:r>
        <w:t>introduce new performance and accountability frameworks that create greater transparency about service performance and consumer outcomes</w:t>
      </w:r>
    </w:p>
    <w:p w14:paraId="76AC7D6C" w14:textId="41B9AE21" w:rsidR="00957494" w:rsidRDefault="00957494" w:rsidP="00BC3D21">
      <w:pPr>
        <w:pStyle w:val="DHHSbullet1"/>
      </w:pPr>
      <w:r>
        <w:t>support our mental health workforce to deliver evidence-based and best-practice treatment</w:t>
      </w:r>
    </w:p>
    <w:p w14:paraId="52549B95" w14:textId="46B3B407" w:rsidR="00957494" w:rsidRDefault="00957494" w:rsidP="00BC3D21">
      <w:pPr>
        <w:pStyle w:val="DHHSbullet1"/>
      </w:pPr>
      <w:r>
        <w:t>undertake service and infrastructure planning to identify the optimum mix of community-based, subacute and acute inpatient services, taking account of the need for services and infrastructure to reﬂect demographic changes</w:t>
      </w:r>
    </w:p>
    <w:p w14:paraId="12E18D01" w14:textId="364ABAA4" w:rsidR="00957494" w:rsidRDefault="00957494" w:rsidP="00BC3D21">
      <w:pPr>
        <w:pStyle w:val="DHHSbullet1"/>
      </w:pPr>
      <w:r>
        <w:t>provide effective clinical and policy guidance to the sector</w:t>
      </w:r>
    </w:p>
    <w:p w14:paraId="71EB2C16" w14:textId="7895FCF0" w:rsidR="00957494" w:rsidRDefault="00957494" w:rsidP="00CA3CF5">
      <w:pPr>
        <w:pStyle w:val="DHHSbullet1"/>
        <w:spacing w:after="240"/>
        <w:ind w:left="288" w:hanging="288"/>
      </w:pPr>
      <w:r>
        <w:t>invest in research and evaluation to support continuous learning about interventions and approaches that improve consumer outcomes.</w:t>
      </w:r>
    </w:p>
    <w:tbl>
      <w:tblPr>
        <w:tblStyle w:val="TableGrid"/>
        <w:tblW w:w="0" w:type="auto"/>
        <w:tblLook w:val="04A0" w:firstRow="1" w:lastRow="0" w:firstColumn="1" w:lastColumn="0" w:noHBand="0" w:noVBand="1"/>
      </w:tblPr>
      <w:tblGrid>
        <w:gridCol w:w="3217"/>
        <w:gridCol w:w="5967"/>
      </w:tblGrid>
      <w:tr w:rsidR="00FE6E50" w14:paraId="34F7346B" w14:textId="77777777" w:rsidTr="00F93D34">
        <w:trPr>
          <w:tblHeader/>
        </w:trPr>
        <w:tc>
          <w:tcPr>
            <w:tcW w:w="3217" w:type="dxa"/>
          </w:tcPr>
          <w:p w14:paraId="77900382" w14:textId="475D59F0" w:rsidR="00FE6E50" w:rsidRDefault="00FE6E50" w:rsidP="00FE6E50">
            <w:pPr>
              <w:pStyle w:val="DHHStablecolhead"/>
            </w:pPr>
            <w:r>
              <w:t>Proposed reform action area</w:t>
            </w:r>
          </w:p>
        </w:tc>
        <w:tc>
          <w:tcPr>
            <w:tcW w:w="5967" w:type="dxa"/>
          </w:tcPr>
          <w:p w14:paraId="6AE381CB" w14:textId="09D3DC78" w:rsidR="00FE6E50" w:rsidRDefault="00FE6E50" w:rsidP="00FE6E50">
            <w:pPr>
              <w:pStyle w:val="DHHStablecolhead"/>
            </w:pPr>
            <w:r>
              <w:t>Key reforms</w:t>
            </w:r>
          </w:p>
        </w:tc>
      </w:tr>
      <w:tr w:rsidR="00FE6E50" w14:paraId="7AE112AD" w14:textId="77777777" w:rsidTr="00F93D34">
        <w:tc>
          <w:tcPr>
            <w:tcW w:w="3217" w:type="dxa"/>
          </w:tcPr>
          <w:p w14:paraId="3B3B43B1" w14:textId="77777777" w:rsidR="00FE6E50" w:rsidRPr="00F93D34" w:rsidRDefault="00FE6E50" w:rsidP="00F93D34">
            <w:pPr>
              <w:pStyle w:val="DHHStabletext"/>
              <w:rPr>
                <w:b/>
                <w:bCs/>
              </w:rPr>
            </w:pPr>
            <w:r w:rsidRPr="00F93D34">
              <w:rPr>
                <w:b/>
                <w:bCs/>
              </w:rPr>
              <w:t>Action area 1</w:t>
            </w:r>
          </w:p>
          <w:p w14:paraId="0AA2C777" w14:textId="2C61C042" w:rsidR="00FE6E50" w:rsidRPr="00F93D34" w:rsidRDefault="00FE6E50" w:rsidP="00F93D34">
            <w:pPr>
              <w:pStyle w:val="DHHStabletext"/>
            </w:pPr>
            <w:r w:rsidRPr="00F93D34">
              <w:t>Reforming adult community mental health services</w:t>
            </w:r>
          </w:p>
        </w:tc>
        <w:tc>
          <w:tcPr>
            <w:tcW w:w="5967" w:type="dxa"/>
          </w:tcPr>
          <w:p w14:paraId="069E3553" w14:textId="350B7CF1" w:rsidR="00FE6E50" w:rsidRDefault="00FE6E50" w:rsidP="00F93D34">
            <w:pPr>
              <w:pStyle w:val="DHHStablebullet"/>
            </w:pPr>
            <w:r>
              <w:t>Therapeutic models of care</w:t>
            </w:r>
          </w:p>
          <w:p w14:paraId="7E7075A2" w14:textId="61CA2B68" w:rsidR="00FE6E50" w:rsidRDefault="00FE6E50" w:rsidP="00F93D34">
            <w:pPr>
              <w:pStyle w:val="DHHStablebullet"/>
            </w:pPr>
            <w:r>
              <w:t>Targeted funding for high-need adult community mental health consumers</w:t>
            </w:r>
          </w:p>
          <w:p w14:paraId="21CAC47F" w14:textId="26A30341" w:rsidR="00FE6E50" w:rsidRDefault="00FE6E50" w:rsidP="00F93D34">
            <w:pPr>
              <w:pStyle w:val="DHHStablebullet"/>
            </w:pPr>
            <w:r>
              <w:t>Introduction of mental health engagement workers to free up clinicians for specialised clinical work</w:t>
            </w:r>
          </w:p>
        </w:tc>
      </w:tr>
      <w:tr w:rsidR="00FE6E50" w14:paraId="2CBA1C47" w14:textId="77777777" w:rsidTr="00F93D34">
        <w:tc>
          <w:tcPr>
            <w:tcW w:w="3217" w:type="dxa"/>
          </w:tcPr>
          <w:p w14:paraId="22EDFF27" w14:textId="77777777" w:rsidR="00FE6E50" w:rsidRPr="00F93D34" w:rsidRDefault="00FE6E50" w:rsidP="00F93D34">
            <w:pPr>
              <w:pStyle w:val="DHHStabletext"/>
              <w:rPr>
                <w:b/>
                <w:bCs/>
              </w:rPr>
            </w:pPr>
            <w:r w:rsidRPr="00F93D34">
              <w:rPr>
                <w:b/>
                <w:bCs/>
              </w:rPr>
              <w:t>Action area 2</w:t>
            </w:r>
          </w:p>
          <w:p w14:paraId="7800980B" w14:textId="147C036D" w:rsidR="00FE6E50" w:rsidRPr="00F93D34" w:rsidRDefault="00FE6E50" w:rsidP="00F93D34">
            <w:pPr>
              <w:pStyle w:val="DHHStabletext"/>
            </w:pPr>
            <w:r w:rsidRPr="00F93D34">
              <w:t>Meeting the needs of people in crisis</w:t>
            </w:r>
          </w:p>
        </w:tc>
        <w:tc>
          <w:tcPr>
            <w:tcW w:w="5967" w:type="dxa"/>
          </w:tcPr>
          <w:p w14:paraId="3C6DFFAA" w14:textId="370B9FAB" w:rsidR="00FE6E50" w:rsidRDefault="00FE6E50" w:rsidP="00F93D34">
            <w:pPr>
              <w:pStyle w:val="DHHStablebullet"/>
            </w:pPr>
            <w:r>
              <w:t>Mental health/AOD hubs in six emergency departments</w:t>
            </w:r>
          </w:p>
          <w:p w14:paraId="62F5DE65" w14:textId="1C76519A" w:rsidR="00FE6E50" w:rsidRDefault="00FE6E50" w:rsidP="00F93D34">
            <w:pPr>
              <w:pStyle w:val="DHHStablebullet"/>
            </w:pPr>
            <w:r>
              <w:t>Expansion of the Hospital Outreach Post-suicidal Engagement (HOPE) initiative</w:t>
            </w:r>
          </w:p>
          <w:p w14:paraId="49D5DE33" w14:textId="74A4BDC7" w:rsidR="00FE6E50" w:rsidRDefault="00FE6E50" w:rsidP="00F93D34">
            <w:pPr>
              <w:pStyle w:val="DHHStablebullet"/>
            </w:pPr>
            <w:r>
              <w:lastRenderedPageBreak/>
              <w:t>Review of triage across different age-based mental health providers</w:t>
            </w:r>
          </w:p>
        </w:tc>
      </w:tr>
      <w:tr w:rsidR="00FE6E50" w14:paraId="59B3F04D" w14:textId="77777777" w:rsidTr="00F93D34">
        <w:tc>
          <w:tcPr>
            <w:tcW w:w="3217" w:type="dxa"/>
          </w:tcPr>
          <w:p w14:paraId="6E5F56EE" w14:textId="77777777" w:rsidR="00FE6E50" w:rsidRPr="00F93D34" w:rsidRDefault="00FE6E50" w:rsidP="00F93D34">
            <w:pPr>
              <w:pStyle w:val="DHHStabletext"/>
              <w:rPr>
                <w:b/>
                <w:bCs/>
              </w:rPr>
            </w:pPr>
            <w:r w:rsidRPr="00F93D34">
              <w:rPr>
                <w:b/>
                <w:bCs/>
              </w:rPr>
              <w:lastRenderedPageBreak/>
              <w:t>Action area 3</w:t>
            </w:r>
          </w:p>
          <w:p w14:paraId="27966F2F" w14:textId="46079812" w:rsidR="00FE6E50" w:rsidRPr="00F93D34" w:rsidRDefault="00FE6E50" w:rsidP="00F93D34">
            <w:pPr>
              <w:pStyle w:val="DHHStabletext"/>
            </w:pPr>
            <w:r w:rsidRPr="00F93D34">
              <w:t>Providing a balanced system of high-quality bed-based services</w:t>
            </w:r>
          </w:p>
        </w:tc>
        <w:tc>
          <w:tcPr>
            <w:tcW w:w="5967" w:type="dxa"/>
          </w:tcPr>
          <w:p w14:paraId="28B2594B" w14:textId="0A5A244E" w:rsidR="00FE6E50" w:rsidRDefault="00FE6E50" w:rsidP="00F93D34">
            <w:pPr>
              <w:pStyle w:val="DHHStablebullet"/>
            </w:pPr>
            <w:r>
              <w:t>Enhancement of inpatient care and staff wellbeing by introducing 31 senior nurse consultants to major inpatient units</w:t>
            </w:r>
          </w:p>
          <w:p w14:paraId="51342D1F" w14:textId="311D075D" w:rsidR="00FE6E50" w:rsidRDefault="00FE6E50" w:rsidP="00F93D34">
            <w:pPr>
              <w:pStyle w:val="DHHStablebullet"/>
            </w:pPr>
            <w:r>
              <w:t>Development of new subacute models and pathways</w:t>
            </w:r>
          </w:p>
        </w:tc>
      </w:tr>
      <w:tr w:rsidR="00FE6E50" w14:paraId="163BF59B" w14:textId="77777777" w:rsidTr="00F93D34">
        <w:tc>
          <w:tcPr>
            <w:tcW w:w="3217" w:type="dxa"/>
          </w:tcPr>
          <w:p w14:paraId="7EC9756C" w14:textId="77777777" w:rsidR="00FE6E50" w:rsidRPr="00F93D34" w:rsidRDefault="00FE6E50" w:rsidP="00F93D34">
            <w:pPr>
              <w:pStyle w:val="DHHStabletext"/>
              <w:rPr>
                <w:b/>
                <w:bCs/>
              </w:rPr>
            </w:pPr>
            <w:r w:rsidRPr="00F93D34">
              <w:rPr>
                <w:b/>
                <w:bCs/>
              </w:rPr>
              <w:t>Action area 4</w:t>
            </w:r>
          </w:p>
          <w:p w14:paraId="6716A558" w14:textId="55E4CFE0" w:rsidR="00FE6E50" w:rsidRPr="00F93D34" w:rsidRDefault="00FE6E50" w:rsidP="00F93D34">
            <w:pPr>
              <w:pStyle w:val="DHHStabletext"/>
            </w:pPr>
            <w:r w:rsidRPr="00F93D34">
              <w:t>Improving effectiveness of responses to clients with co-existing AOD and mental health issues</w:t>
            </w:r>
          </w:p>
        </w:tc>
        <w:tc>
          <w:tcPr>
            <w:tcW w:w="5967" w:type="dxa"/>
          </w:tcPr>
          <w:p w14:paraId="6F55B2FE" w14:textId="23F35813" w:rsidR="00FE6E50" w:rsidRDefault="00FE6E50" w:rsidP="00F93D34">
            <w:pPr>
              <w:pStyle w:val="DHHStablebullet"/>
            </w:pPr>
            <w:r>
              <w:t>Support for mental health services to more effectively manage consumers’ co-existing AOD problems</w:t>
            </w:r>
          </w:p>
          <w:p w14:paraId="45C0BBAD" w14:textId="36EF131E" w:rsidR="00FE6E50" w:rsidRDefault="00FE6E50" w:rsidP="00F93D34">
            <w:pPr>
              <w:pStyle w:val="DHHStablebullet"/>
            </w:pPr>
            <w:r>
              <w:t xml:space="preserve">Support for AOD services to respond to their clients’ mental </w:t>
            </w:r>
            <w:r w:rsidR="00F93D34">
              <w:t>h</w:t>
            </w:r>
            <w:r>
              <w:t>ealth needs</w:t>
            </w:r>
          </w:p>
          <w:p w14:paraId="6AD205F8" w14:textId="539F0331" w:rsidR="00FE6E50" w:rsidRDefault="00FE6E50" w:rsidP="00F93D34">
            <w:pPr>
              <w:pStyle w:val="DHHStablebullet"/>
            </w:pPr>
            <w:r>
              <w:t>Enhanced dual diagnosis services</w:t>
            </w:r>
          </w:p>
        </w:tc>
      </w:tr>
      <w:tr w:rsidR="00FE6E50" w14:paraId="44EF1E91" w14:textId="77777777" w:rsidTr="00F93D34">
        <w:tc>
          <w:tcPr>
            <w:tcW w:w="3217" w:type="dxa"/>
          </w:tcPr>
          <w:p w14:paraId="45E6F1CC" w14:textId="77777777" w:rsidR="00FE6E50" w:rsidRPr="00F93D34" w:rsidRDefault="00FE6E50" w:rsidP="00F93D34">
            <w:pPr>
              <w:pStyle w:val="DHHStabletext"/>
              <w:rPr>
                <w:b/>
                <w:bCs/>
              </w:rPr>
            </w:pPr>
            <w:r w:rsidRPr="00F93D34">
              <w:rPr>
                <w:b/>
                <w:bCs/>
              </w:rPr>
              <w:t>Action area 5</w:t>
            </w:r>
          </w:p>
          <w:p w14:paraId="1549EE30" w14:textId="1E69A4D2" w:rsidR="00FE6E50" w:rsidRPr="00F93D34" w:rsidRDefault="00FE6E50" w:rsidP="00F93D34">
            <w:pPr>
              <w:pStyle w:val="DHHStabletext"/>
            </w:pPr>
            <w:r w:rsidRPr="00F93D34">
              <w:t>Responding to people with complex needs who pose signiﬁcant risks to others</w:t>
            </w:r>
          </w:p>
        </w:tc>
        <w:tc>
          <w:tcPr>
            <w:tcW w:w="5967" w:type="dxa"/>
          </w:tcPr>
          <w:p w14:paraId="68D91901" w14:textId="3DFC28C8" w:rsidR="00FE6E50" w:rsidRDefault="00FE6E50" w:rsidP="00F93D34">
            <w:pPr>
              <w:pStyle w:val="DHHStablebullet"/>
            </w:pPr>
            <w:r>
              <w:t>Specialised treatment for adults with complex needs who are at risk of causing harm to others</w:t>
            </w:r>
          </w:p>
          <w:p w14:paraId="6BA12238" w14:textId="7F9D1FFB" w:rsidR="00FE6E50" w:rsidRDefault="00FE6E50" w:rsidP="00F93D34">
            <w:pPr>
              <w:pStyle w:val="DHHStablebullet"/>
            </w:pPr>
            <w:r>
              <w:t>Improved access to the Multiple and Complex Needs Initiative</w:t>
            </w:r>
          </w:p>
          <w:p w14:paraId="504367BA" w14:textId="51975886" w:rsidR="00FE6E50" w:rsidRDefault="00FE6E50" w:rsidP="00F93D34">
            <w:pPr>
              <w:pStyle w:val="DHHStablebullet"/>
            </w:pPr>
            <w:r>
              <w:t>Embed the Victorian Fixated Threat Assessment Centre</w:t>
            </w:r>
          </w:p>
        </w:tc>
      </w:tr>
      <w:tr w:rsidR="00FE6E50" w14:paraId="709589D5" w14:textId="77777777" w:rsidTr="00F93D34">
        <w:tc>
          <w:tcPr>
            <w:tcW w:w="3217" w:type="dxa"/>
          </w:tcPr>
          <w:p w14:paraId="7CF2F7BC" w14:textId="77777777" w:rsidR="00FE6E50" w:rsidRPr="00F93D34" w:rsidRDefault="00FE6E50" w:rsidP="00F93D34">
            <w:pPr>
              <w:pStyle w:val="DHHStabletext"/>
              <w:rPr>
                <w:b/>
                <w:bCs/>
              </w:rPr>
            </w:pPr>
            <w:r w:rsidRPr="00F93D34">
              <w:rPr>
                <w:b/>
                <w:bCs/>
              </w:rPr>
              <w:t>Action area 6</w:t>
            </w:r>
          </w:p>
          <w:p w14:paraId="24746BE8" w14:textId="58FE33C8" w:rsidR="00FE6E50" w:rsidRPr="00F93D34" w:rsidRDefault="00FE6E50" w:rsidP="00F93D34">
            <w:pPr>
              <w:pStyle w:val="DHHStabletext"/>
            </w:pPr>
            <w:r w:rsidRPr="00F93D34">
              <w:t>Strengthening services for children and young people</w:t>
            </w:r>
          </w:p>
        </w:tc>
        <w:tc>
          <w:tcPr>
            <w:tcW w:w="5967" w:type="dxa"/>
          </w:tcPr>
          <w:p w14:paraId="215C64D9" w14:textId="37C8AC73" w:rsidR="00FE6E50" w:rsidRPr="00F93D34" w:rsidRDefault="00F93D34" w:rsidP="00F93D34">
            <w:pPr>
              <w:pStyle w:val="DHHStabletext"/>
            </w:pPr>
            <w:r w:rsidRPr="00F93D34">
              <w:t>Development of a new strategic framework for the child and youth mental</w:t>
            </w:r>
            <w:r>
              <w:t xml:space="preserve"> </w:t>
            </w:r>
            <w:r w:rsidRPr="00F93D34">
              <w:t>health sector to improve service consistency, access and integration with other services</w:t>
            </w:r>
          </w:p>
        </w:tc>
      </w:tr>
    </w:tbl>
    <w:p w14:paraId="197C56A4" w14:textId="13653194" w:rsidR="00957494" w:rsidRDefault="00957494" w:rsidP="00EC6AED">
      <w:pPr>
        <w:pStyle w:val="DHHSbodyaftertablefigure"/>
      </w:pPr>
      <w:r>
        <w:t>Figure 3 depicts how these reforms integrate together and link with other health and community services. They aim to strengthen and rebalance our community-based clinical service system while ensuring high-quality, accessible services for people in crisis or those requiring treatment in acute inpatient, subacute or other residential settings.</w:t>
      </w:r>
    </w:p>
    <w:p w14:paraId="52148FFE" w14:textId="77777777" w:rsidR="00957494" w:rsidRDefault="00957494" w:rsidP="00BC3D21">
      <w:pPr>
        <w:pStyle w:val="DHHSfigurecaption"/>
      </w:pPr>
      <w:r>
        <w:t>Figure 3: Post-reform adult clinical mental health services</w:t>
      </w:r>
    </w:p>
    <w:p w14:paraId="222DFD33" w14:textId="7950362D" w:rsidR="00957494" w:rsidRDefault="00CE3B5A" w:rsidP="00957494">
      <w:pPr>
        <w:pStyle w:val="DHHSbody"/>
      </w:pPr>
      <w:r>
        <w:t>Broader system of health and social services:</w:t>
      </w:r>
    </w:p>
    <w:p w14:paraId="5056B355" w14:textId="77777777" w:rsidR="00CE3B5A" w:rsidRDefault="00CE3B5A" w:rsidP="00CE3B5A">
      <w:pPr>
        <w:pStyle w:val="DHHSbullet1"/>
      </w:pPr>
      <w:r>
        <w:t>Mental health community support services</w:t>
      </w:r>
    </w:p>
    <w:p w14:paraId="292A9D32" w14:textId="77777777" w:rsidR="00CE3B5A" w:rsidRDefault="00CE3B5A" w:rsidP="00CE3B5A">
      <w:pPr>
        <w:pStyle w:val="DHHSbullet1"/>
      </w:pPr>
      <w:r>
        <w:t>General practice and other primary mental health care</w:t>
      </w:r>
    </w:p>
    <w:p w14:paraId="62DD4E6B" w14:textId="77777777" w:rsidR="00CE3B5A" w:rsidRDefault="00CE3B5A" w:rsidP="00CE3B5A">
      <w:pPr>
        <w:pStyle w:val="DHHSbullet1"/>
      </w:pPr>
      <w:r>
        <w:t>National Disability Insurance Scheme</w:t>
      </w:r>
    </w:p>
    <w:p w14:paraId="0C050091" w14:textId="062A06F5" w:rsidR="00CE3B5A" w:rsidRDefault="00CE3B5A" w:rsidP="00CE3B5A">
      <w:pPr>
        <w:pStyle w:val="DHHSbullet1"/>
      </w:pPr>
      <w:r>
        <w:t>Hospital and</w:t>
      </w:r>
      <w:r w:rsidRPr="00CE3B5A">
        <w:t xml:space="preserve"> </w:t>
      </w:r>
      <w:r>
        <w:t>community health</w:t>
      </w:r>
    </w:p>
    <w:p w14:paraId="36F378B8" w14:textId="77777777" w:rsidR="00CE3B5A" w:rsidRDefault="00CE3B5A" w:rsidP="00CE3B5A">
      <w:pPr>
        <w:pStyle w:val="DHHSbullet1"/>
      </w:pPr>
      <w:r>
        <w:t>Support and safety hubs</w:t>
      </w:r>
    </w:p>
    <w:p w14:paraId="356AED9B" w14:textId="77777777" w:rsidR="00CE3B5A" w:rsidRDefault="00CE3B5A" w:rsidP="00CE3B5A">
      <w:pPr>
        <w:pStyle w:val="DHHSbullet1"/>
      </w:pPr>
      <w:r>
        <w:t>Child protection and family services</w:t>
      </w:r>
    </w:p>
    <w:p w14:paraId="5BBDB903" w14:textId="77777777" w:rsidR="00CE3B5A" w:rsidRDefault="00CE3B5A" w:rsidP="00CE3B5A">
      <w:pPr>
        <w:pStyle w:val="DHHSbullet1"/>
      </w:pPr>
      <w:r>
        <w:t>Police and ambulance</w:t>
      </w:r>
    </w:p>
    <w:p w14:paraId="186F81DB" w14:textId="77777777" w:rsidR="00CE3B5A" w:rsidRDefault="00CE3B5A" w:rsidP="00CE3B5A">
      <w:pPr>
        <w:pStyle w:val="DHHSbullet1"/>
      </w:pPr>
      <w:r>
        <w:t>Justice and corrections</w:t>
      </w:r>
    </w:p>
    <w:p w14:paraId="08D57944" w14:textId="77777777" w:rsidR="00CE3B5A" w:rsidRDefault="00CE3B5A" w:rsidP="00CE3B5A">
      <w:pPr>
        <w:pStyle w:val="DHHSbullet1lastline"/>
      </w:pPr>
      <w:r>
        <w:t>Alcohol and other drug services</w:t>
      </w:r>
    </w:p>
    <w:p w14:paraId="09466FF4" w14:textId="528E4224" w:rsidR="00CE3B5A" w:rsidRDefault="00CE3B5A" w:rsidP="00CE3B5A">
      <w:pPr>
        <w:pStyle w:val="DHHSbody"/>
      </w:pPr>
      <w:r>
        <w:t>Community–based assessment, treatment and care:</w:t>
      </w:r>
    </w:p>
    <w:p w14:paraId="2A02977A" w14:textId="368C3D1D" w:rsidR="00957494" w:rsidRDefault="00CE3B5A" w:rsidP="00CE3B5A">
      <w:pPr>
        <w:pStyle w:val="DHHSbullet1"/>
      </w:pPr>
      <w:r>
        <w:t>Consultation</w:t>
      </w:r>
      <w:r w:rsidR="00957494">
        <w:t>-</w:t>
      </w:r>
      <w:r>
        <w:t>liaison for other services</w:t>
      </w:r>
    </w:p>
    <w:p w14:paraId="1661D2A9" w14:textId="77777777" w:rsidR="00CE3B5A" w:rsidRDefault="00CE3B5A" w:rsidP="00CE3B5A">
      <w:pPr>
        <w:pStyle w:val="DHHSbullet1"/>
      </w:pPr>
      <w:r>
        <w:t>Engagement and support</w:t>
      </w:r>
    </w:p>
    <w:p w14:paraId="41DB5EBB" w14:textId="77777777" w:rsidR="00CE3B5A" w:rsidRDefault="00CE3B5A" w:rsidP="00CE3B5A">
      <w:pPr>
        <w:pStyle w:val="DHHSbullet1"/>
      </w:pPr>
      <w:r>
        <w:t>Care</w:t>
      </w:r>
      <w:r w:rsidRPr="00CE3B5A">
        <w:t xml:space="preserve"> </w:t>
      </w:r>
      <w:r>
        <w:t>coordination</w:t>
      </w:r>
    </w:p>
    <w:p w14:paraId="4A98747A" w14:textId="77777777" w:rsidR="00CE3B5A" w:rsidRDefault="00CE3B5A" w:rsidP="00CE3B5A">
      <w:pPr>
        <w:pStyle w:val="DHHSbullet1"/>
      </w:pPr>
      <w:r>
        <w:t>Crisis assessment and response</w:t>
      </w:r>
    </w:p>
    <w:p w14:paraId="7294E4C6" w14:textId="77777777" w:rsidR="00CE3B5A" w:rsidRDefault="00CE3B5A" w:rsidP="00CE3B5A">
      <w:pPr>
        <w:pStyle w:val="DHHSbullet1"/>
      </w:pPr>
      <w:r>
        <w:t>Medication</w:t>
      </w:r>
    </w:p>
    <w:p w14:paraId="4C2E3486" w14:textId="77777777" w:rsidR="00CE3B5A" w:rsidRDefault="00CE3B5A" w:rsidP="00CE3B5A">
      <w:pPr>
        <w:pStyle w:val="DHHSbullet1lastline"/>
      </w:pPr>
      <w:r>
        <w:t>Biopsychosocial therapies</w:t>
      </w:r>
    </w:p>
    <w:p w14:paraId="3D1159CD" w14:textId="0B89195B" w:rsidR="00CE3B5A" w:rsidRDefault="00CE3B5A" w:rsidP="00957494">
      <w:pPr>
        <w:pStyle w:val="DHHSbody"/>
      </w:pPr>
      <w:r>
        <w:t>Beds in the community/hospital:</w:t>
      </w:r>
    </w:p>
    <w:p w14:paraId="1754FFE5" w14:textId="48EFF995" w:rsidR="00957494" w:rsidRDefault="00CE3B5A" w:rsidP="00CE3B5A">
      <w:pPr>
        <w:pStyle w:val="DHHSbullet1"/>
      </w:pPr>
      <w:r>
        <w:t>Prevention and recovery care services</w:t>
      </w:r>
    </w:p>
    <w:p w14:paraId="232C30ED" w14:textId="3B49A880" w:rsidR="00957494" w:rsidRDefault="00CE3B5A" w:rsidP="00CE3B5A">
      <w:pPr>
        <w:pStyle w:val="DHHSbullet1"/>
      </w:pPr>
      <w:r>
        <w:lastRenderedPageBreak/>
        <w:t>Community care units</w:t>
      </w:r>
    </w:p>
    <w:p w14:paraId="544CA26E" w14:textId="790F5636" w:rsidR="00957494" w:rsidRDefault="00CE3B5A" w:rsidP="00CE3B5A">
      <w:pPr>
        <w:pStyle w:val="DHHSbullet1"/>
      </w:pPr>
      <w:r>
        <w:t>Secure extended care</w:t>
      </w:r>
    </w:p>
    <w:p w14:paraId="5B621855" w14:textId="4A16A280" w:rsidR="00957494" w:rsidRDefault="00CE3B5A" w:rsidP="00CE3B5A">
      <w:pPr>
        <w:pStyle w:val="DHHSbullet1"/>
      </w:pPr>
      <w:r>
        <w:t>Acute mental health</w:t>
      </w:r>
      <w:r w:rsidR="00BC3D21">
        <w:t xml:space="preserve"> </w:t>
      </w:r>
      <w:r>
        <w:t>inpatient unit</w:t>
      </w:r>
    </w:p>
    <w:p w14:paraId="42580E77" w14:textId="05D6F599" w:rsidR="00CE3B5A" w:rsidRDefault="00CE3B5A" w:rsidP="00CE3B5A">
      <w:pPr>
        <w:pStyle w:val="DHHSbullet1"/>
      </w:pPr>
      <w:r>
        <w:t>Emergency departments</w:t>
      </w:r>
    </w:p>
    <w:p w14:paraId="77294B51" w14:textId="1FBA54A5" w:rsidR="00CE3B5A" w:rsidRDefault="00CE3B5A" w:rsidP="00CE3B5A">
      <w:pPr>
        <w:pStyle w:val="DHHSbullet1lastline"/>
      </w:pPr>
      <w:r>
        <w:t>Mental health triage</w:t>
      </w:r>
    </w:p>
    <w:p w14:paraId="7390C8D4" w14:textId="20B880D6" w:rsidR="00957494" w:rsidRDefault="00957494" w:rsidP="00957494">
      <w:pPr>
        <w:pStyle w:val="DHHSbody"/>
      </w:pPr>
      <w:r>
        <w:t>Beneﬁts</w:t>
      </w:r>
      <w:r w:rsidR="00CE3B5A">
        <w:t>:</w:t>
      </w:r>
    </w:p>
    <w:p w14:paraId="14756E32" w14:textId="61334D75" w:rsidR="00957494" w:rsidRDefault="00957494" w:rsidP="00CE3B5A">
      <w:pPr>
        <w:pStyle w:val="DHHSbullet1"/>
      </w:pPr>
      <w:r>
        <w:t>Improved consumer outcomes</w:t>
      </w:r>
    </w:p>
    <w:p w14:paraId="36C01CEE" w14:textId="082F78CB" w:rsidR="00CE3B5A" w:rsidRDefault="00957494" w:rsidP="00CE3B5A">
      <w:pPr>
        <w:pStyle w:val="DHHSbullet1"/>
      </w:pPr>
      <w:r>
        <w:t>Avoidance of crisis  and relapse</w:t>
      </w:r>
    </w:p>
    <w:p w14:paraId="4605066C" w14:textId="2039BDD1" w:rsidR="00957494" w:rsidRDefault="00957494" w:rsidP="00CE3B5A">
      <w:pPr>
        <w:pStyle w:val="DHHSbullet1"/>
      </w:pPr>
      <w:r>
        <w:t>Better and safer experiences</w:t>
      </w:r>
      <w:r w:rsidR="00CE3B5A">
        <w:t xml:space="preserve"> </w:t>
      </w:r>
      <w:r>
        <w:t>for consumers and carers</w:t>
      </w:r>
    </w:p>
    <w:p w14:paraId="6DE53D10" w14:textId="6233CBFF" w:rsidR="00CE3B5A" w:rsidRDefault="00957494" w:rsidP="00CE3B5A">
      <w:pPr>
        <w:pStyle w:val="DHHSbullet1"/>
      </w:pPr>
      <w:r>
        <w:t>Safer communities</w:t>
      </w:r>
    </w:p>
    <w:p w14:paraId="410C2982" w14:textId="7825E401" w:rsidR="00CE3B5A" w:rsidRDefault="00957494" w:rsidP="00CE3B5A">
      <w:pPr>
        <w:pStyle w:val="DHHSbullet1"/>
      </w:pPr>
      <w:r>
        <w:t>Appropriate referral and more support for other services</w:t>
      </w:r>
    </w:p>
    <w:p w14:paraId="6C54B0F4" w14:textId="65155D2B" w:rsidR="00957494" w:rsidRDefault="00957494" w:rsidP="00CE3B5A">
      <w:pPr>
        <w:pStyle w:val="DHHSbullet1"/>
      </w:pPr>
      <w:r>
        <w:t>Transparency and accountability for funding and</w:t>
      </w:r>
      <w:r w:rsidR="00CE3B5A">
        <w:t xml:space="preserve"> </w:t>
      </w:r>
      <w:r>
        <w:t>performance</w:t>
      </w:r>
      <w:r>
        <w:tab/>
      </w:r>
    </w:p>
    <w:p w14:paraId="54FF610C" w14:textId="60A8E98E" w:rsidR="00CE3B5A" w:rsidRDefault="00CE3B5A" w:rsidP="00CE3B5A">
      <w:pPr>
        <w:pStyle w:val="DHHSbullet1"/>
      </w:pPr>
      <w:r>
        <w:t>Efficient</w:t>
      </w:r>
      <w:r w:rsidR="00957494">
        <w:t xml:space="preserve"> use of system resources</w:t>
      </w:r>
    </w:p>
    <w:p w14:paraId="08156B6B" w14:textId="7FA4167B" w:rsidR="00957494" w:rsidRDefault="00957494" w:rsidP="00CE3B5A">
      <w:pPr>
        <w:pStyle w:val="DHHSbullet1lastline"/>
      </w:pPr>
      <w:r>
        <w:t>Recruitment and retention of skilled workforce</w:t>
      </w:r>
    </w:p>
    <w:p w14:paraId="3134F3FA" w14:textId="4F1165E5" w:rsidR="00957494" w:rsidRDefault="00CE3B5A" w:rsidP="00957494">
      <w:pPr>
        <w:pStyle w:val="DHHSbody"/>
      </w:pPr>
      <w:r>
        <w:t>Principles:</w:t>
      </w:r>
    </w:p>
    <w:p w14:paraId="01046C93" w14:textId="4F0CDA68" w:rsidR="00CE3B5A" w:rsidRDefault="00CE3B5A" w:rsidP="00D72C74">
      <w:pPr>
        <w:pStyle w:val="DHHSbullet1"/>
      </w:pPr>
      <w:r>
        <w:t>High qualit</w:t>
      </w:r>
      <w:r w:rsidR="00D72C74">
        <w:t>y and safe</w:t>
      </w:r>
    </w:p>
    <w:p w14:paraId="21C5E6B2" w14:textId="4B14DBB4" w:rsidR="00CE3B5A" w:rsidRDefault="00CE3B5A" w:rsidP="00D72C74">
      <w:pPr>
        <w:pStyle w:val="DHHSbullet1"/>
      </w:pPr>
      <w:r>
        <w:t>Recovery-</w:t>
      </w:r>
      <w:r w:rsidR="00D72C74">
        <w:t>oriented</w:t>
      </w:r>
    </w:p>
    <w:p w14:paraId="40300359" w14:textId="7A3D708A" w:rsidR="00CE3B5A" w:rsidRDefault="00CE3B5A" w:rsidP="00D72C74">
      <w:pPr>
        <w:pStyle w:val="DHHSbullet1"/>
      </w:pPr>
      <w:r>
        <w:t>Trauma-</w:t>
      </w:r>
      <w:r w:rsidR="00D72C74" w:rsidRPr="00D72C74">
        <w:t xml:space="preserve"> </w:t>
      </w:r>
      <w:r w:rsidR="00D72C74">
        <w:t>informed</w:t>
      </w:r>
    </w:p>
    <w:p w14:paraId="0CFD33A8" w14:textId="22134A68" w:rsidR="00CE3B5A" w:rsidRDefault="00CE3B5A" w:rsidP="00D72C74">
      <w:pPr>
        <w:pStyle w:val="DHHSbullet1"/>
      </w:pPr>
      <w:r>
        <w:t>Personalised and</w:t>
      </w:r>
      <w:r w:rsidR="00D72C74" w:rsidRPr="00D72C74">
        <w:t xml:space="preserve"> </w:t>
      </w:r>
      <w:r w:rsidR="00D72C74">
        <w:t>responsive to choice</w:t>
      </w:r>
    </w:p>
    <w:p w14:paraId="68B36662" w14:textId="591A3D63" w:rsidR="00CE3B5A" w:rsidRDefault="00CE3B5A" w:rsidP="00D72C74">
      <w:pPr>
        <w:pStyle w:val="DHHSbullet1"/>
      </w:pPr>
      <w:r>
        <w:t>Responsive</w:t>
      </w:r>
      <w:r w:rsidR="00D72C74" w:rsidRPr="00D72C74">
        <w:t xml:space="preserve"> </w:t>
      </w:r>
      <w:r w:rsidR="00D72C74">
        <w:t>to diversity</w:t>
      </w:r>
    </w:p>
    <w:p w14:paraId="456B99D7" w14:textId="1CA97EB3" w:rsidR="00CE3B5A" w:rsidRDefault="00CE3B5A" w:rsidP="00D72C74">
      <w:pPr>
        <w:pStyle w:val="DHHSbullet1"/>
      </w:pPr>
      <w:r>
        <w:t>Earlier</w:t>
      </w:r>
      <w:r w:rsidR="00D72C74">
        <w:t xml:space="preserve"> intervention</w:t>
      </w:r>
    </w:p>
    <w:p w14:paraId="4BF99795" w14:textId="1ABBCA57" w:rsidR="00CE3B5A" w:rsidRDefault="00CE3B5A" w:rsidP="00D72C74">
      <w:pPr>
        <w:pStyle w:val="DHHSbullet1"/>
      </w:pPr>
      <w:r>
        <w:t>Least</w:t>
      </w:r>
      <w:r w:rsidR="00D72C74">
        <w:t xml:space="preserve"> restrictive</w:t>
      </w:r>
    </w:p>
    <w:p w14:paraId="41391E19" w14:textId="3CFEB1A9" w:rsidR="00CE3B5A" w:rsidRDefault="00CE3B5A" w:rsidP="00D72C74">
      <w:pPr>
        <w:pStyle w:val="DHHSbullet1lastline"/>
      </w:pPr>
      <w:r>
        <w:t>Family and</w:t>
      </w:r>
      <w:r w:rsidR="00D72C74" w:rsidRPr="00D72C74">
        <w:t xml:space="preserve"> </w:t>
      </w:r>
      <w:r w:rsidR="00D72C74">
        <w:t>carer inclusive</w:t>
      </w:r>
    </w:p>
    <w:p w14:paraId="697EE971" w14:textId="6AD92F9D" w:rsidR="00CE3B5A" w:rsidRDefault="00D72C74" w:rsidP="00CE3B5A">
      <w:pPr>
        <w:pStyle w:val="DHHSbody"/>
      </w:pPr>
      <w:r>
        <w:t>&lt;end of figure&gt;</w:t>
      </w:r>
    </w:p>
    <w:tbl>
      <w:tblPr>
        <w:tblStyle w:val="TableGrid"/>
        <w:tblW w:w="0" w:type="auto"/>
        <w:tblLook w:val="04A0" w:firstRow="1" w:lastRow="0" w:firstColumn="1" w:lastColumn="0" w:noHBand="0" w:noVBand="1"/>
      </w:tblPr>
      <w:tblGrid>
        <w:gridCol w:w="9184"/>
      </w:tblGrid>
      <w:tr w:rsidR="00D72C74" w14:paraId="1B437848" w14:textId="77777777" w:rsidTr="00D72C74">
        <w:tc>
          <w:tcPr>
            <w:tcW w:w="9292" w:type="dxa"/>
          </w:tcPr>
          <w:p w14:paraId="420A4802" w14:textId="577C9DBE" w:rsidR="00D72C74" w:rsidRDefault="00D72C74" w:rsidP="00D72C74">
            <w:pPr>
              <w:pStyle w:val="DHHSboxheading"/>
            </w:pPr>
            <w:r>
              <w:t>Mental health and AOD hubs in major emergency departments</w:t>
            </w:r>
          </w:p>
          <w:p w14:paraId="1F794EDE" w14:textId="77777777" w:rsidR="00D72C74" w:rsidRDefault="00D72C74" w:rsidP="00D72C74">
            <w:pPr>
              <w:pStyle w:val="DHHSbody"/>
            </w:pPr>
            <w:r>
              <w:t>Mental health and AOD hubs will provide a specialised stream of emergency department care for people presenting with high-acuity mental health and AOD issues.</w:t>
            </w:r>
          </w:p>
          <w:p w14:paraId="475CF149" w14:textId="6F7BDAB0" w:rsidR="00D72C74" w:rsidRDefault="00D72C74" w:rsidP="00D72C74">
            <w:pPr>
              <w:pStyle w:val="DHHSbody"/>
            </w:pPr>
            <w:r>
              <w:t>The hubs will be staffed by psychiatrists, psychiatric registrars, social workers, mental health nurses, peer support workers, AOD specialists, nurse practitioners and security personnel. They will work together in a dedicated area of the emergency department to provide assessments and therapeutic interventions. Where people do not require admission to an acute inpatient unit, they will be referred to other more appropriate community-based services once assessed and stabilised. If necessary, mental health clinicians will provide assertive outreach to patients, their families and carers after they leave a mental health and AOD hub.</w:t>
            </w:r>
          </w:p>
          <w:p w14:paraId="53A14D3E" w14:textId="77777777" w:rsidR="00D72C74" w:rsidRDefault="00D72C74" w:rsidP="00D72C74">
            <w:pPr>
              <w:pStyle w:val="DHHSbody"/>
            </w:pPr>
            <w:r>
              <w:t>Six hubs – at the Royal Melbourne Hospital, Barwon Health, Monash Medical Centre, St Vincent's Hospital, Sunshine and Frankston Hospitals – will commence in 2018–19. Short stay beds will be added to the model as they are built. These will provide an option to assess and treat people in the emergency department for up to 24 hours, or longer where clinically appropriate.</w:t>
            </w:r>
          </w:p>
          <w:p w14:paraId="6E1D278D" w14:textId="770E3BEB" w:rsidR="00D72C74" w:rsidRDefault="00D72C74" w:rsidP="00D72C74">
            <w:pPr>
              <w:pStyle w:val="DHHSbody"/>
            </w:pPr>
            <w:r>
              <w:t>This model will provide a timely, recovery-oriented response in an environment that is more suitable for people experiencing mental health or AOD-related crises. Waiting for long periods in high-stimulus environments can exacerbate mental health crises, which can be distressing not only for the person but also for other patients, visitors and staff.</w:t>
            </w:r>
          </w:p>
          <w:p w14:paraId="5FBAC5CF" w14:textId="5827A03E" w:rsidR="00D72C74" w:rsidRDefault="00D72C74" w:rsidP="00957494">
            <w:pPr>
              <w:pStyle w:val="DHHSbody"/>
            </w:pPr>
            <w:r>
              <w:lastRenderedPageBreak/>
              <w:t>More effective treatment provided through the hubs will reduce re-presentations to the emergency department, with ﬂow-on beneﬁts in terms of reduced need for admission to an inpatient bed and an improved chance of recovery in the community.</w:t>
            </w:r>
          </w:p>
        </w:tc>
      </w:tr>
    </w:tbl>
    <w:p w14:paraId="3C5382F4" w14:textId="77777777" w:rsidR="00BC3D21" w:rsidRDefault="00BC3D21" w:rsidP="00957494">
      <w:pPr>
        <w:pStyle w:val="DHHSbody"/>
      </w:pPr>
    </w:p>
    <w:p w14:paraId="1B2A9DD0" w14:textId="255B5834" w:rsidR="00957494" w:rsidRDefault="00957494" w:rsidP="00D72C74">
      <w:pPr>
        <w:pStyle w:val="DHHSquote"/>
      </w:pPr>
      <w:r>
        <w:t>'I am now almost two years into my most recent recovery and working in the ﬁeld of mental health.’</w:t>
      </w:r>
    </w:p>
    <w:p w14:paraId="4CF4EE2F" w14:textId="77777777" w:rsidR="00957494" w:rsidRDefault="00957494" w:rsidP="00D72C74">
      <w:pPr>
        <w:pStyle w:val="DHHSquote"/>
      </w:pPr>
      <w:r>
        <w:t>Belinda (June 2018)</w:t>
      </w:r>
    </w:p>
    <w:p w14:paraId="6B624EB3" w14:textId="033B4019" w:rsidR="00957494" w:rsidRDefault="00957494" w:rsidP="00957494">
      <w:pPr>
        <w:pStyle w:val="DHHSbody"/>
      </w:pPr>
    </w:p>
    <w:tbl>
      <w:tblPr>
        <w:tblStyle w:val="TableGrid"/>
        <w:tblW w:w="0" w:type="auto"/>
        <w:tblLook w:val="04A0" w:firstRow="1" w:lastRow="0" w:firstColumn="1" w:lastColumn="0" w:noHBand="0" w:noVBand="1"/>
      </w:tblPr>
      <w:tblGrid>
        <w:gridCol w:w="9184"/>
      </w:tblGrid>
      <w:tr w:rsidR="00D72C74" w14:paraId="6913AC1B" w14:textId="77777777" w:rsidTr="00D72C74">
        <w:tc>
          <w:tcPr>
            <w:tcW w:w="9292" w:type="dxa"/>
          </w:tcPr>
          <w:p w14:paraId="303CAE36" w14:textId="3A296447" w:rsidR="00D72C74" w:rsidRDefault="00D72C74" w:rsidP="00D72C74">
            <w:pPr>
              <w:pStyle w:val="DHHSboxheading"/>
            </w:pPr>
            <w:r>
              <w:t>Belinda’s experience: the ebb and flow of recovery</w:t>
            </w:r>
          </w:p>
          <w:p w14:paraId="22F4103B" w14:textId="77777777" w:rsidR="00D72C74" w:rsidRDefault="00D72C74" w:rsidP="00D72C74">
            <w:pPr>
              <w:pStyle w:val="DHHSbody"/>
            </w:pPr>
            <w:r>
              <w:t>I was 15 and living in South Australia when I was told by a doctor that I was depressed and had an eating disorder.</w:t>
            </w:r>
          </w:p>
          <w:p w14:paraId="081F6D45" w14:textId="77777777" w:rsidR="00D72C74" w:rsidRDefault="00D72C74" w:rsidP="00D72C74">
            <w:pPr>
              <w:pStyle w:val="DHHSbody"/>
            </w:pPr>
            <w:r>
              <w:t>After that, I spent a lot of time with my psychiatrist and had multiple admissions to an inpatient unit over a three-year period. Sometimes being admitted kept me safe, but other times it brought me into contact with very unwell people. Talk therapy was less of a focus than medication management. My life improved signiﬁcantly when I left the hospital. I left home and I moved to Melbourne.</w:t>
            </w:r>
          </w:p>
          <w:p w14:paraId="38AFAEA2" w14:textId="77777777" w:rsidR="00D72C74" w:rsidRDefault="00D72C74" w:rsidP="00D72C74">
            <w:pPr>
              <w:pStyle w:val="DHHSbody"/>
            </w:pPr>
            <w:r>
              <w:t>I am 38 years old now, and looking back, it has taken me a long time to learn a couple of important things. Firstly, I know now that I deteriorate rapidly every ﬁve years and that this is usually prompted by signiﬁcant life events.</w:t>
            </w:r>
          </w:p>
          <w:p w14:paraId="46CB4A07" w14:textId="77777777" w:rsidR="00D72C74" w:rsidRDefault="00D72C74" w:rsidP="00D72C74">
            <w:pPr>
              <w:pStyle w:val="DHHSbody"/>
            </w:pPr>
            <w:r>
              <w:t>Thankfully, it is possible for me to get back on the road to recovery within a six-month period, but only, I have discovered, if I establish a lifestyle based on daily exercise.</w:t>
            </w:r>
          </w:p>
          <w:p w14:paraId="7FE3CBD3" w14:textId="77777777" w:rsidR="00D72C74" w:rsidRDefault="00D72C74" w:rsidP="00D72C74">
            <w:pPr>
              <w:pStyle w:val="DHHSbody"/>
            </w:pPr>
            <w:r>
              <w:t>Secondly, I also know now that having someone I can trust to talk to helps my self-awareness of my mental health and means I feel more resilient when things become hard. Finding a trusted professional can be a long and frustrating process, especially for consumers who have been denied the opportunity to make decisions during previous mental health treatment. However, having someone to provide insights from an external perspective is really helpful, especially when they recognise that you ultimately choose your own path.</w:t>
            </w:r>
          </w:p>
          <w:p w14:paraId="610F6353" w14:textId="77777777" w:rsidR="00D72C74" w:rsidRDefault="00D72C74" w:rsidP="00D72C74">
            <w:pPr>
              <w:pStyle w:val="DHHSbody"/>
            </w:pPr>
            <w:r>
              <w:t>It is very tempting to look back on my time on an inpatient ward as a misstep. However, my experience has helped me to understand what treatment options work best for me and how this can change over time.</w:t>
            </w:r>
          </w:p>
          <w:p w14:paraId="266242CB" w14:textId="77777777" w:rsidR="00D72C74" w:rsidRDefault="00D72C74" w:rsidP="00D72C74">
            <w:pPr>
              <w:pStyle w:val="DHHSbody"/>
            </w:pPr>
            <w:r>
              <w:t>The best kind of mental health system is one that keeps people safe, empowers them to make decisions about their own treatment, and provides a range of different treatment settings that can respond to the ‘ebb and ﬂow’ of recovery.</w:t>
            </w:r>
          </w:p>
          <w:p w14:paraId="51ACB11E" w14:textId="60F8CB7C" w:rsidR="00D72C74" w:rsidRDefault="00D72C74" w:rsidP="00957494">
            <w:pPr>
              <w:pStyle w:val="DHHSbody"/>
            </w:pPr>
            <w:r>
              <w:t>I am now almost two years into my most recent recovery and working in the ﬁeld of mental health. This means my experience can contribute towards building a better mental health system today and in the future.</w:t>
            </w:r>
          </w:p>
        </w:tc>
      </w:tr>
    </w:tbl>
    <w:p w14:paraId="6B097180" w14:textId="69AD1648" w:rsidR="00957494" w:rsidRDefault="00957494" w:rsidP="00957494">
      <w:pPr>
        <w:pStyle w:val="DHHSbody"/>
      </w:pPr>
    </w:p>
    <w:p w14:paraId="6F4CF415" w14:textId="77777777" w:rsidR="00C029E2" w:rsidRDefault="00C029E2">
      <w:pPr>
        <w:rPr>
          <w:rFonts w:ascii="Arial" w:eastAsia="Times" w:hAnsi="Arial"/>
        </w:rPr>
      </w:pPr>
      <w:r>
        <w:br w:type="page"/>
      </w:r>
    </w:p>
    <w:p w14:paraId="134A992C" w14:textId="337EC153" w:rsidR="00957494" w:rsidRDefault="00957494" w:rsidP="00C029E2">
      <w:pPr>
        <w:pStyle w:val="Heading1"/>
      </w:pPr>
      <w:bookmarkStart w:id="19" w:name="_Toc28340159"/>
      <w:r>
        <w:lastRenderedPageBreak/>
        <w:t>3.</w:t>
      </w:r>
      <w:r>
        <w:tab/>
        <w:t>Y</w:t>
      </w:r>
      <w:r w:rsidR="00C029E2">
        <w:t>ear in review – public mental health services in 2017–18</w:t>
      </w:r>
      <w:bookmarkEnd w:id="19"/>
    </w:p>
    <w:p w14:paraId="2FE2FBA9" w14:textId="342FC77C" w:rsidR="00957494" w:rsidRDefault="00C029E2" w:rsidP="00C029E2">
      <w:pPr>
        <w:pStyle w:val="Heading2"/>
      </w:pPr>
      <w:bookmarkStart w:id="20" w:name="_Toc28340160"/>
      <w:r>
        <w:t>Overview</w:t>
      </w:r>
      <w:bookmarkEnd w:id="20"/>
    </w:p>
    <w:p w14:paraId="12900DD6" w14:textId="5FDC64CE" w:rsidR="00957494" w:rsidRDefault="00957494" w:rsidP="00957494">
      <w:pPr>
        <w:pStyle w:val="DHHSbody"/>
      </w:pPr>
      <w:r>
        <w:t>The data in this section of the report helps us to understand who accesses our services and how, the service settings and circumstances in which treatment is provided, and whether that treatment results in better outcomes. It also</w:t>
      </w:r>
      <w:r w:rsidR="00C029E2">
        <w:t xml:space="preserve"> </w:t>
      </w:r>
      <w:r>
        <w:t>tells us about demand for, and use of, our services.</w:t>
      </w:r>
    </w:p>
    <w:p w14:paraId="7E714948" w14:textId="48C426D3" w:rsidR="00957494" w:rsidRDefault="00957494" w:rsidP="00957494">
      <w:pPr>
        <w:pStyle w:val="DHHSbody"/>
      </w:pPr>
      <w:r>
        <w:t>Key aspects of this data are incorporated in</w:t>
      </w:r>
      <w:r w:rsidR="00C029E2">
        <w:t xml:space="preserve"> </w:t>
      </w:r>
      <w:r>
        <w:t>our outcomes framework  (included  at  Appendix 1), including data about the use of compulsory treatment and restrictive interventions. Our</w:t>
      </w:r>
      <w:r w:rsidR="00C029E2">
        <w:t xml:space="preserve"> </w:t>
      </w:r>
      <w:r>
        <w:t>aim is to drive service improvement and increase community understanding about Victoria’s public mental health services.</w:t>
      </w:r>
    </w:p>
    <w:p w14:paraId="57DD573F" w14:textId="2CFB05D7" w:rsidR="00957494" w:rsidRDefault="00957494" w:rsidP="00957494">
      <w:pPr>
        <w:pStyle w:val="DHHSbody"/>
      </w:pPr>
      <w:r>
        <w:t>The data shows a substantial increase in the number of clients across all groups and a substantial increase in the provision of community clinical mental health services. It appears that</w:t>
      </w:r>
      <w:r w:rsidR="00C029E2">
        <w:t xml:space="preserve"> </w:t>
      </w:r>
      <w:r>
        <w:t>the increase in community service contacts and service hours is largely the result of improved reporting practices. Although there has been</w:t>
      </w:r>
      <w:r w:rsidR="00C029E2">
        <w:t xml:space="preserve"> </w:t>
      </w:r>
      <w:r>
        <w:t>an increase in contacts and hours, it is less than that indicated by the numbers because in the two years before 2017–18 there was incomplete reporting of service activity partly due to industrial action. This will be discussed further later in the chapter.</w:t>
      </w:r>
    </w:p>
    <w:p w14:paraId="11A09278" w14:textId="11B4E6CB" w:rsidR="00957494" w:rsidRDefault="00957494" w:rsidP="00957494">
      <w:pPr>
        <w:pStyle w:val="DHHSbody"/>
      </w:pPr>
      <w:r>
        <w:t>The majority of our clients are adults, and the data continues to show that adult inpatient services are under pressure to meet demand. Hospitalisations of adults for mental illness are increasing, adult services have very high occupancy levels, and the length of hospital</w:t>
      </w:r>
      <w:r w:rsidR="00C029E2">
        <w:t xml:space="preserve"> </w:t>
      </w:r>
      <w:r>
        <w:t>stays is trending down. Forensic services are also under pressure, with very high bed occupancy and a relatively small number of separations.</w:t>
      </w:r>
    </w:p>
    <w:p w14:paraId="535F40F8" w14:textId="7D8AA5D8" w:rsidR="00957494" w:rsidRDefault="00D72C74" w:rsidP="00D72C74">
      <w:pPr>
        <w:pStyle w:val="Heading3"/>
      </w:pPr>
      <w:r>
        <w:t>Who accessed our public mental health services in 2017–18?</w:t>
      </w:r>
    </w:p>
    <w:p w14:paraId="233E2A41" w14:textId="36A47F73" w:rsidR="00957494" w:rsidRPr="00D72C74" w:rsidRDefault="00957494" w:rsidP="00957494">
      <w:pPr>
        <w:pStyle w:val="DHHSbody"/>
        <w:rPr>
          <w:b/>
          <w:bCs/>
        </w:rPr>
      </w:pPr>
      <w:r w:rsidRPr="00D72C74">
        <w:rPr>
          <w:b/>
          <w:bCs/>
        </w:rPr>
        <w:t>72,859</w:t>
      </w:r>
      <w:r w:rsidR="00C029E2" w:rsidRPr="00D72C74">
        <w:rPr>
          <w:b/>
          <w:bCs/>
        </w:rPr>
        <w:t xml:space="preserve"> </w:t>
      </w:r>
      <w:r w:rsidRPr="00D72C74">
        <w:rPr>
          <w:b/>
          <w:bCs/>
        </w:rPr>
        <w:t>registered clients</w:t>
      </w:r>
    </w:p>
    <w:p w14:paraId="70EDCD13" w14:textId="3F874821" w:rsidR="00957494" w:rsidRPr="00D72C74" w:rsidRDefault="00957494" w:rsidP="00957494">
      <w:pPr>
        <w:pStyle w:val="DHHSbody"/>
        <w:rPr>
          <w:b/>
          <w:bCs/>
        </w:rPr>
      </w:pPr>
      <w:r w:rsidRPr="00D72C74">
        <w:rPr>
          <w:b/>
          <w:bCs/>
        </w:rPr>
        <w:t>9.6%</w:t>
      </w:r>
      <w:r w:rsidR="00C029E2" w:rsidRPr="00D72C74">
        <w:rPr>
          <w:b/>
          <w:bCs/>
        </w:rPr>
        <w:t xml:space="preserve"> </w:t>
      </w:r>
      <w:r w:rsidRPr="00D72C74">
        <w:rPr>
          <w:b/>
          <w:bCs/>
        </w:rPr>
        <w:t>increase since 2016</w:t>
      </w:r>
      <w:r w:rsidR="00C029E2" w:rsidRPr="00D72C74">
        <w:rPr>
          <w:b/>
          <w:bCs/>
        </w:rPr>
        <w:t>–</w:t>
      </w:r>
      <w:r w:rsidRPr="00D72C74">
        <w:rPr>
          <w:b/>
          <w:bCs/>
        </w:rPr>
        <w:t>17</w:t>
      </w:r>
    </w:p>
    <w:p w14:paraId="6DE14D4F" w14:textId="77777777" w:rsidR="00957494" w:rsidRDefault="00957494" w:rsidP="00957494">
      <w:pPr>
        <w:pStyle w:val="DHHSbody"/>
      </w:pPr>
      <w:r>
        <w:t>There was a substantial increase in the number of children, young people, adults and older people accessing public mental health services during 2017–18. The total number of people accessing services was 72,859, up 9.6 per cent from the previous year.</w:t>
      </w:r>
    </w:p>
    <w:p w14:paraId="775FAFD4" w14:textId="572BD6A8" w:rsidR="00957494" w:rsidRDefault="00957494" w:rsidP="00957494">
      <w:pPr>
        <w:pStyle w:val="DHHSbody"/>
      </w:pPr>
      <w:r>
        <w:t>Most clients are adults but increases of 10–12 per cent in client numbers occurred across all age groups. Although they are a relatively small part of the service system, substantial increases also occurred in the number of clients accessing forensic and specialist services.</w:t>
      </w:r>
    </w:p>
    <w:p w14:paraId="0F2F2AFD" w14:textId="5A6985DF" w:rsidR="00957494" w:rsidRDefault="00957494" w:rsidP="00957494">
      <w:pPr>
        <w:pStyle w:val="DHHSbody"/>
      </w:pPr>
      <w:r>
        <w:t>Mental illness frequently emerges in late adolescence or early adulthood. Across our bed-based services for adults, more than half</w:t>
      </w:r>
      <w:r w:rsidR="00C029E2">
        <w:t xml:space="preserve"> </w:t>
      </w:r>
      <w:r>
        <w:t>our clients are aged 25–44 years. Because many illnesses affect people’s functioning in social, family, educational and work roles, the early age of onset can have long-term implications.</w:t>
      </w:r>
    </w:p>
    <w:p w14:paraId="173DA374" w14:textId="2F7E74D7" w:rsidR="00957494" w:rsidRDefault="00957494" w:rsidP="00957494">
      <w:pPr>
        <w:pStyle w:val="DHHSbody"/>
      </w:pPr>
      <w:r>
        <w:t>Some people need short-term support, while others may need admission to hospital for treatment to manage symptoms, followed by support and treatment in the community</w:t>
      </w:r>
      <w:r w:rsidR="00CA3CF5">
        <w:t xml:space="preserve"> </w:t>
      </w:r>
      <w:r>
        <w:t>over a longer period. Some people with mental illness may require signiﬁcant ongoing support throughout their lives. Many people with serious mental illness need a range of services over a long period and experience negative social, health and economic outcomes.</w:t>
      </w:r>
    </w:p>
    <w:p w14:paraId="23DAA850" w14:textId="77777777" w:rsidR="00957494" w:rsidRDefault="00957494" w:rsidP="00957494">
      <w:pPr>
        <w:pStyle w:val="DHHSbody"/>
      </w:pPr>
      <w:r>
        <w:t>During 2017–18 about two-thirds of adult and aged clients, and about half of children and young people, had previously had contact with mental health services during the preceding ﬁve years.</w:t>
      </w:r>
    </w:p>
    <w:p w14:paraId="1677B7CB" w14:textId="77777777" w:rsidR="00957494" w:rsidRDefault="00957494" w:rsidP="00957494">
      <w:pPr>
        <w:pStyle w:val="DHHSbody"/>
      </w:pPr>
      <w:r>
        <w:lastRenderedPageBreak/>
        <w:t>Across the system, 13.5 per cent of clients (9,809 people) had contact with the system at least once each year for the previous ﬁve years.</w:t>
      </w:r>
    </w:p>
    <w:p w14:paraId="6F483051" w14:textId="0AE5E3B3" w:rsidR="00957494" w:rsidRDefault="00957494" w:rsidP="00957494">
      <w:pPr>
        <w:pStyle w:val="DHHSbody"/>
      </w:pPr>
      <w:r>
        <w:t>Just over half our clients are women or girls (50.3 per cent), and a third live in rural areas (32.9 per cent). Only a small proportion of our registered clients (3,716) used both clinical</w:t>
      </w:r>
      <w:r w:rsidR="00C029E2">
        <w:t xml:space="preserve"> </w:t>
      </w:r>
      <w:r>
        <w:t>and mental health community support services in 2017–18.</w:t>
      </w:r>
    </w:p>
    <w:p w14:paraId="55D93907" w14:textId="0CE16102" w:rsidR="00C029E2" w:rsidRDefault="00D72C74" w:rsidP="00D72C74">
      <w:pPr>
        <w:pStyle w:val="Heading3"/>
      </w:pPr>
      <w:r>
        <w:t>How were people referred to our</w:t>
      </w:r>
      <w:r w:rsidR="00C029E2" w:rsidRPr="00C029E2">
        <w:t xml:space="preserve"> </w:t>
      </w:r>
      <w:r>
        <w:t>clinical services in 2017–18?</w:t>
      </w:r>
      <w:r>
        <w:tab/>
      </w:r>
    </w:p>
    <w:p w14:paraId="42FCB0CC" w14:textId="167E1B92" w:rsidR="00957494" w:rsidRDefault="00957494" w:rsidP="00957494">
      <w:pPr>
        <w:pStyle w:val="DHHSbody"/>
      </w:pPr>
      <w:r>
        <w:t>Most people were referred to clinical mental</w:t>
      </w:r>
      <w:r w:rsidR="00D72C74">
        <w:t xml:space="preserve"> </w:t>
      </w:r>
      <w:r>
        <w:t>health services by hospitals (see Figure 4).</w:t>
      </w:r>
      <w:r w:rsidR="00A85C81">
        <w:t xml:space="preserve"> </w:t>
      </w:r>
      <w:r>
        <w:t>Almost a quarter of referrals came from</w:t>
      </w:r>
      <w:r w:rsidR="00D72C74">
        <w:t xml:space="preserve"> </w:t>
      </w:r>
      <w:r>
        <w:t>emergency departments (24.3 per cent) and</w:t>
      </w:r>
      <w:r w:rsidR="00C029E2">
        <w:t xml:space="preserve"> </w:t>
      </w:r>
      <w:r>
        <w:t>a further ﬁfth (21.3 per cent) from acute health services. The latter group may include people who are admitted with a physical illness or injury and are subsequently referred for mental health treatment. General practitioners continue to</w:t>
      </w:r>
      <w:r w:rsidR="00C029E2">
        <w:t xml:space="preserve"> </w:t>
      </w:r>
      <w:r>
        <w:t>be a key source of referrals (11.6 per cent) as do families (7.2 per cent).</w:t>
      </w:r>
    </w:p>
    <w:p w14:paraId="73174BE9" w14:textId="77777777" w:rsidR="00957494" w:rsidRDefault="00957494" w:rsidP="00957494">
      <w:pPr>
        <w:pStyle w:val="DHHSbody"/>
      </w:pPr>
      <w:r>
        <w:t>The data tells us that there has been very little proportional change in these main referral pathways and sources over recent years.</w:t>
      </w:r>
    </w:p>
    <w:p w14:paraId="1C7EA111" w14:textId="0689D53B" w:rsidR="00957494" w:rsidRDefault="00957494" w:rsidP="00957494">
      <w:pPr>
        <w:pStyle w:val="DHHSbody"/>
      </w:pPr>
      <w:r>
        <w:t>There were 92,610 mental health-related presentations in emergency departments during 2017–18, an increase of 6.2 per cent from 2016–17. Across all age groups, there were 26,098 hospitalisations in mental health acute inpatient</w:t>
      </w:r>
      <w:r w:rsidR="00D72C74">
        <w:t xml:space="preserve"> </w:t>
      </w:r>
      <w:r>
        <w:t>units in 2017–18, an increase of 7.2 per cent. Half of these admissions (50.3 per cent) were compulsory. There has been a slight downward trend in compulsory admissions over the past three years.</w:t>
      </w:r>
    </w:p>
    <w:p w14:paraId="0F325E5C" w14:textId="781D9C3B" w:rsidR="00D72C74" w:rsidRDefault="00D72C74" w:rsidP="00D72C74">
      <w:pPr>
        <w:pStyle w:val="DHHSfigurecaption"/>
      </w:pPr>
      <w:r>
        <w:t>Figure 4: How were people referred to our clinical services in 2017–18?</w:t>
      </w:r>
    </w:p>
    <w:p w14:paraId="31D11C1F" w14:textId="2C6328C9" w:rsidR="00957494" w:rsidRPr="00DA58B6" w:rsidRDefault="00957494" w:rsidP="00DA58B6">
      <w:pPr>
        <w:pStyle w:val="DHHSbody"/>
      </w:pPr>
      <w:r w:rsidRPr="00DA58B6">
        <w:t>Acute health</w:t>
      </w:r>
      <w:r w:rsidR="00934854">
        <w:t xml:space="preserve"> = 21.3%</w:t>
      </w:r>
    </w:p>
    <w:p w14:paraId="3E309AFE" w14:textId="12CBC53A" w:rsidR="00957494" w:rsidRPr="00DA58B6" w:rsidRDefault="00957494" w:rsidP="00DA58B6">
      <w:pPr>
        <w:pStyle w:val="DHHSbody"/>
      </w:pPr>
      <w:r w:rsidRPr="00DA58B6">
        <w:t>Emergency department</w:t>
      </w:r>
      <w:r w:rsidR="00934854">
        <w:t xml:space="preserve"> = 24.3%</w:t>
      </w:r>
    </w:p>
    <w:p w14:paraId="69B6D1EC" w14:textId="258FBC0C" w:rsidR="00957494" w:rsidRPr="00DA58B6" w:rsidRDefault="00957494" w:rsidP="00DA58B6">
      <w:pPr>
        <w:pStyle w:val="DHHSbody"/>
      </w:pPr>
      <w:r w:rsidRPr="00DA58B6">
        <w:t>General practitioner</w:t>
      </w:r>
      <w:r w:rsidR="00934854">
        <w:t xml:space="preserve"> = 11.6%</w:t>
      </w:r>
    </w:p>
    <w:p w14:paraId="25A027CC" w14:textId="6B3A24EF" w:rsidR="00957494" w:rsidRPr="00DA58B6" w:rsidRDefault="00957494" w:rsidP="00DA58B6">
      <w:pPr>
        <w:pStyle w:val="DHHSbody"/>
      </w:pPr>
      <w:r w:rsidRPr="00DA58B6">
        <w:t>Family</w:t>
      </w:r>
      <w:r w:rsidR="00934854">
        <w:t xml:space="preserve"> = 7.2%</w:t>
      </w:r>
    </w:p>
    <w:p w14:paraId="4A129497" w14:textId="5EEB1B0D" w:rsidR="00957494" w:rsidRPr="00DA58B6" w:rsidRDefault="00957494" w:rsidP="00DA58B6">
      <w:pPr>
        <w:pStyle w:val="DHHSbody"/>
      </w:pPr>
      <w:r w:rsidRPr="00DA58B6">
        <w:t>Client/self</w:t>
      </w:r>
      <w:r w:rsidR="00934854">
        <w:t xml:space="preserve"> = 4.6%</w:t>
      </w:r>
    </w:p>
    <w:p w14:paraId="45DB4331" w14:textId="3ED1E129" w:rsidR="00957494" w:rsidRPr="00DA58B6" w:rsidRDefault="00957494" w:rsidP="00DA58B6">
      <w:pPr>
        <w:pStyle w:val="DHHSbody"/>
      </w:pPr>
      <w:r w:rsidRPr="00DA58B6">
        <w:t>Community health services</w:t>
      </w:r>
      <w:r w:rsidR="00934854">
        <w:t xml:space="preserve"> = 4.8%</w:t>
      </w:r>
    </w:p>
    <w:p w14:paraId="07AD7C95" w14:textId="4CDF3196" w:rsidR="00957494" w:rsidRPr="00DA58B6" w:rsidRDefault="00957494" w:rsidP="00DA58B6">
      <w:pPr>
        <w:pStyle w:val="DHHSbody"/>
      </w:pPr>
      <w:r w:rsidRPr="00DA58B6">
        <w:t>Police</w:t>
      </w:r>
      <w:r w:rsidR="00934854">
        <w:t xml:space="preserve"> = 3.7%</w:t>
      </w:r>
    </w:p>
    <w:p w14:paraId="25910213" w14:textId="2145547E" w:rsidR="00957494" w:rsidRDefault="00957494" w:rsidP="00DA58B6">
      <w:pPr>
        <w:pStyle w:val="DHHSbody"/>
      </w:pPr>
      <w:r w:rsidRPr="00DA58B6">
        <w:t>Others</w:t>
      </w:r>
      <w:r>
        <w:t>/unknown</w:t>
      </w:r>
      <w:r w:rsidR="00934854">
        <w:t xml:space="preserve"> = 22.4%</w:t>
      </w:r>
    </w:p>
    <w:p w14:paraId="6483D0E5" w14:textId="7CF72B13" w:rsidR="00957494" w:rsidRDefault="00934854" w:rsidP="00934854">
      <w:pPr>
        <w:pStyle w:val="Heading3"/>
      </w:pPr>
      <w:r>
        <w:t>How did people experience our services?</w:t>
      </w:r>
    </w:p>
    <w:p w14:paraId="380F8E1E" w14:textId="74039C55" w:rsidR="00957494" w:rsidRPr="00E30ED4" w:rsidRDefault="00957494" w:rsidP="00957494">
      <w:pPr>
        <w:pStyle w:val="DHHSbody"/>
        <w:rPr>
          <w:b/>
          <w:bCs/>
        </w:rPr>
      </w:pPr>
      <w:r w:rsidRPr="00E30ED4">
        <w:rPr>
          <w:b/>
          <w:bCs/>
        </w:rPr>
        <w:t>2,532</w:t>
      </w:r>
      <w:r w:rsidR="00C029E2" w:rsidRPr="00E30ED4">
        <w:rPr>
          <w:b/>
          <w:bCs/>
        </w:rPr>
        <w:t xml:space="preserve"> </w:t>
      </w:r>
      <w:r w:rsidRPr="00E30ED4">
        <w:rPr>
          <w:b/>
          <w:bCs/>
        </w:rPr>
        <w:t>YES survey responses</w:t>
      </w:r>
    </w:p>
    <w:p w14:paraId="16D91AFA" w14:textId="38785208" w:rsidR="00957494" w:rsidRPr="00E30ED4" w:rsidRDefault="00957494" w:rsidP="00957494">
      <w:pPr>
        <w:pStyle w:val="DHHSbody"/>
        <w:rPr>
          <w:b/>
          <w:bCs/>
        </w:rPr>
      </w:pPr>
      <w:r w:rsidRPr="00E30ED4">
        <w:rPr>
          <w:b/>
          <w:bCs/>
        </w:rPr>
        <w:t>16.7%</w:t>
      </w:r>
      <w:r w:rsidR="00C029E2" w:rsidRPr="00E30ED4">
        <w:rPr>
          <w:b/>
          <w:bCs/>
        </w:rPr>
        <w:t xml:space="preserve"> </w:t>
      </w:r>
      <w:r w:rsidRPr="00E30ED4">
        <w:rPr>
          <w:b/>
          <w:bCs/>
        </w:rPr>
        <w:t>increase since 2016</w:t>
      </w:r>
      <w:r w:rsidR="00E30ED4" w:rsidRPr="00E30ED4">
        <w:rPr>
          <w:b/>
          <w:bCs/>
        </w:rPr>
        <w:t>–</w:t>
      </w:r>
      <w:r w:rsidRPr="00E30ED4">
        <w:rPr>
          <w:b/>
          <w:bCs/>
        </w:rPr>
        <w:t>17</w:t>
      </w:r>
    </w:p>
    <w:p w14:paraId="0E995140" w14:textId="7DED255B" w:rsidR="00957494" w:rsidRDefault="00957494" w:rsidP="00957494">
      <w:pPr>
        <w:pStyle w:val="DHHSbody"/>
      </w:pPr>
      <w:r>
        <w:t>Information about people’s experience of our services, and about their outcomes, is captured in different ways. The YES survey helps us understand how people experience mental health treatment and care, including whether they</w:t>
      </w:r>
      <w:r w:rsidR="00C029E2">
        <w:t xml:space="preserve"> </w:t>
      </w:r>
      <w:r>
        <w:t>feel they were respected and the impact of the service on their overall wellbeing. Data gathered on outcome measurement by clinicians includes the Health of the Nation Outcomes Scales, which looks at issues such as behaviour, symptoms, impairment and social functioning.</w:t>
      </w:r>
    </w:p>
    <w:p w14:paraId="2160DFC4" w14:textId="67E7050C" w:rsidR="00957494" w:rsidRDefault="00957494" w:rsidP="00957494">
      <w:pPr>
        <w:pStyle w:val="DHHSbody"/>
      </w:pPr>
      <w:r>
        <w:t>The YES survey was carried out for the third time in 2017–18, and this report discusses results for clinical mental health inpatient and community services. A total of 2,532 surveys were completed in 2018 by people aged 16 or older, an increase</w:t>
      </w:r>
      <w:r w:rsidR="00C029E2">
        <w:t xml:space="preserve"> </w:t>
      </w:r>
      <w:r>
        <w:t xml:space="preserve">of 16.7 per cent on the number of responses the previous year. The results show that most clients feel their individuality and values were respected, with 70.7 per cent of people reporting this was always the case and 18 per cent reporting it was usually the case. Just under </w:t>
      </w:r>
      <w:r>
        <w:lastRenderedPageBreak/>
        <w:t>two-thirds of people reported that their experience of having a care plan developed that considered all their needs was very good (24.9 per cent) or excellent</w:t>
      </w:r>
      <w:r w:rsidR="00C029E2">
        <w:t xml:space="preserve"> </w:t>
      </w:r>
      <w:r>
        <w:t>(37.6 per cent).</w:t>
      </w:r>
    </w:p>
    <w:p w14:paraId="542C361B" w14:textId="5FA3ED54" w:rsidR="00957494" w:rsidRDefault="00957494" w:rsidP="00957494">
      <w:pPr>
        <w:pStyle w:val="DHHSbody"/>
      </w:pPr>
      <w:r>
        <w:t>Consideration and inclusion of families and carers is very important to most Victorians when they receive health care, including people with severe mental illness. Most (83.8 per cent) clients reported that they usually, or always, had</w:t>
      </w:r>
      <w:r w:rsidR="00C029E2">
        <w:t xml:space="preserve"> </w:t>
      </w:r>
      <w:r>
        <w:t>opportunities for family and carers to be involved in their treatment or care if they wanted.</w:t>
      </w:r>
    </w:p>
    <w:p w14:paraId="3F247F27" w14:textId="77777777" w:rsidR="00957494" w:rsidRDefault="00957494" w:rsidP="00957494">
      <w:pPr>
        <w:pStyle w:val="DHHSbody"/>
      </w:pPr>
      <w:r>
        <w:t>In terms of overall experience of care in the previous three months, 28.7 per cent rated this as very good, and 36.6 per cent as excellent.</w:t>
      </w:r>
    </w:p>
    <w:p w14:paraId="762ED0BC" w14:textId="77777777" w:rsidR="00957494" w:rsidRDefault="00957494" w:rsidP="00957494">
      <w:pPr>
        <w:pStyle w:val="DHHSbody"/>
      </w:pPr>
      <w:r>
        <w:t>The effect the service had on the person’s ability to manage their day-to-day life was rated as very good by 28.4 per cent of clients and excellent by 29.4 per cent. There is a slight upward trend for this question.</w:t>
      </w:r>
    </w:p>
    <w:p w14:paraId="1CACB1C1" w14:textId="1CA25731" w:rsidR="00957494" w:rsidRDefault="00957494" w:rsidP="00957494">
      <w:pPr>
        <w:pStyle w:val="DHHSbody"/>
      </w:pPr>
      <w:r>
        <w:t>While the results for services are positive in many areas, there is clear variation between service types. For example, responses from people</w:t>
      </w:r>
      <w:r w:rsidR="00C029E2">
        <w:t xml:space="preserve"> </w:t>
      </w:r>
      <w:r>
        <w:t>using acute adult inpatient services are much less positive than clinical services generally, while those for clients in mother and baby units are more positive. The YES survey provides important information to services about how they are tracking and helps identify areas for improvement.</w:t>
      </w:r>
    </w:p>
    <w:p w14:paraId="39FD590F" w14:textId="3DD1A854" w:rsidR="00957494" w:rsidRDefault="00957494" w:rsidP="00957494">
      <w:pPr>
        <w:pStyle w:val="DHHSbody"/>
      </w:pPr>
      <w:r>
        <w:t>The Health of the Nation Outcomes Scales measures are included in our outcomes framework (see Appendix 1), capturing changes that have occurred for clients at the end of</w:t>
      </w:r>
      <w:r w:rsidR="00C029E2">
        <w:t xml:space="preserve"> </w:t>
      </w:r>
      <w:r>
        <w:t>a period of treatment in the community. People require assistance for different lengths of time, but on average, people receiving clinical services in the community receive treatment for about six months.</w:t>
      </w:r>
    </w:p>
    <w:p w14:paraId="563F6CA1" w14:textId="77777777" w:rsidR="00957494" w:rsidRDefault="00957494" w:rsidP="00957494">
      <w:pPr>
        <w:pStyle w:val="DHHSbody"/>
      </w:pPr>
      <w:r>
        <w:t>Most child and adolescent mental health services (CAMHS), adult and aged clients in Victoria had stable or improved clinical outcomes in 2017–18 (see Figure 5).</w:t>
      </w:r>
    </w:p>
    <w:p w14:paraId="5A375007" w14:textId="77777777" w:rsidR="00957494" w:rsidRDefault="00957494" w:rsidP="00E30ED4">
      <w:pPr>
        <w:pStyle w:val="DHHSfigurecaption"/>
      </w:pPr>
      <w:r>
        <w:t>Figure 5: Improvements in mental health outcomes, percentage (2017–18)</w:t>
      </w:r>
    </w:p>
    <w:tbl>
      <w:tblPr>
        <w:tblStyle w:val="TableGrid"/>
        <w:tblW w:w="0" w:type="auto"/>
        <w:tblLook w:val="04A0" w:firstRow="1" w:lastRow="0" w:firstColumn="1" w:lastColumn="0" w:noHBand="0" w:noVBand="1"/>
      </w:tblPr>
      <w:tblGrid>
        <w:gridCol w:w="3059"/>
        <w:gridCol w:w="3068"/>
        <w:gridCol w:w="3057"/>
      </w:tblGrid>
      <w:tr w:rsidR="00E30ED4" w14:paraId="30733D2C" w14:textId="77777777" w:rsidTr="006F161C">
        <w:trPr>
          <w:tblHeader/>
        </w:trPr>
        <w:tc>
          <w:tcPr>
            <w:tcW w:w="3096" w:type="dxa"/>
          </w:tcPr>
          <w:p w14:paraId="652CED37" w14:textId="77777777" w:rsidR="00E30ED4" w:rsidRDefault="00E30ED4" w:rsidP="006F161C">
            <w:pPr>
              <w:pStyle w:val="DHHStablecolhead"/>
            </w:pPr>
            <w:r>
              <w:t>Service</w:t>
            </w:r>
          </w:p>
        </w:tc>
        <w:tc>
          <w:tcPr>
            <w:tcW w:w="3096" w:type="dxa"/>
          </w:tcPr>
          <w:p w14:paraId="07953D90" w14:textId="77777777" w:rsidR="00E30ED4" w:rsidRDefault="00E30ED4" w:rsidP="006F161C">
            <w:pPr>
              <w:pStyle w:val="DHHStablecolhead"/>
            </w:pPr>
            <w:r>
              <w:t>Significant improvement</w:t>
            </w:r>
          </w:p>
        </w:tc>
        <w:tc>
          <w:tcPr>
            <w:tcW w:w="3096" w:type="dxa"/>
          </w:tcPr>
          <w:p w14:paraId="036763FB" w14:textId="77777777" w:rsidR="00E30ED4" w:rsidRDefault="00E30ED4" w:rsidP="006F161C">
            <w:pPr>
              <w:pStyle w:val="DHHStablecolhead"/>
            </w:pPr>
            <w:r>
              <w:t>Stable</w:t>
            </w:r>
          </w:p>
        </w:tc>
      </w:tr>
      <w:tr w:rsidR="00E30ED4" w14:paraId="11F10704" w14:textId="77777777" w:rsidTr="006F161C">
        <w:trPr>
          <w:tblHeader/>
        </w:trPr>
        <w:tc>
          <w:tcPr>
            <w:tcW w:w="3096" w:type="dxa"/>
          </w:tcPr>
          <w:p w14:paraId="4FFE822C" w14:textId="77777777" w:rsidR="00E30ED4" w:rsidRDefault="00E30ED4" w:rsidP="006F161C">
            <w:pPr>
              <w:pStyle w:val="DHHStabletext"/>
            </w:pPr>
            <w:r>
              <w:t>CAMHS</w:t>
            </w:r>
          </w:p>
        </w:tc>
        <w:tc>
          <w:tcPr>
            <w:tcW w:w="3096" w:type="dxa"/>
          </w:tcPr>
          <w:p w14:paraId="71D4ACDF" w14:textId="07C553C2" w:rsidR="00E30ED4" w:rsidRDefault="00E30ED4" w:rsidP="006F161C">
            <w:pPr>
              <w:pStyle w:val="DHHStabletext"/>
            </w:pPr>
            <w:r>
              <w:t>44.9%</w:t>
            </w:r>
          </w:p>
        </w:tc>
        <w:tc>
          <w:tcPr>
            <w:tcW w:w="3096" w:type="dxa"/>
          </w:tcPr>
          <w:p w14:paraId="06F8CD84" w14:textId="1AECFCC0" w:rsidR="00E30ED4" w:rsidRDefault="00E30ED4" w:rsidP="006F161C">
            <w:pPr>
              <w:pStyle w:val="DHHStabletext"/>
            </w:pPr>
            <w:r>
              <w:t>45.7%</w:t>
            </w:r>
          </w:p>
        </w:tc>
      </w:tr>
      <w:tr w:rsidR="00E30ED4" w14:paraId="38F4C204" w14:textId="77777777" w:rsidTr="006F161C">
        <w:tc>
          <w:tcPr>
            <w:tcW w:w="3096" w:type="dxa"/>
          </w:tcPr>
          <w:p w14:paraId="66A6D18F" w14:textId="77777777" w:rsidR="00E30ED4" w:rsidRDefault="00E30ED4" w:rsidP="006F161C">
            <w:pPr>
              <w:pStyle w:val="DHHStabletext"/>
            </w:pPr>
            <w:r>
              <w:t>Adult</w:t>
            </w:r>
          </w:p>
        </w:tc>
        <w:tc>
          <w:tcPr>
            <w:tcW w:w="3096" w:type="dxa"/>
          </w:tcPr>
          <w:p w14:paraId="28C24221" w14:textId="18172E56" w:rsidR="00E30ED4" w:rsidRDefault="00E30ED4" w:rsidP="006F161C">
            <w:pPr>
              <w:pStyle w:val="DHHStabletext"/>
            </w:pPr>
            <w:r>
              <w:t>52.7%</w:t>
            </w:r>
          </w:p>
        </w:tc>
        <w:tc>
          <w:tcPr>
            <w:tcW w:w="3096" w:type="dxa"/>
          </w:tcPr>
          <w:p w14:paraId="3F6FA409" w14:textId="4074D4A9" w:rsidR="00E30ED4" w:rsidRDefault="00E30ED4" w:rsidP="006F161C">
            <w:pPr>
              <w:pStyle w:val="DHHStabletext"/>
            </w:pPr>
            <w:r>
              <w:t>38.4%</w:t>
            </w:r>
          </w:p>
        </w:tc>
      </w:tr>
      <w:tr w:rsidR="00E30ED4" w14:paraId="6B0DEB77" w14:textId="77777777" w:rsidTr="006F161C">
        <w:tc>
          <w:tcPr>
            <w:tcW w:w="3096" w:type="dxa"/>
          </w:tcPr>
          <w:p w14:paraId="20C3D7A4" w14:textId="77777777" w:rsidR="00E30ED4" w:rsidRDefault="00E30ED4" w:rsidP="006F161C">
            <w:pPr>
              <w:pStyle w:val="DHHStabletext"/>
            </w:pPr>
            <w:r>
              <w:t>Aged</w:t>
            </w:r>
          </w:p>
        </w:tc>
        <w:tc>
          <w:tcPr>
            <w:tcW w:w="3096" w:type="dxa"/>
          </w:tcPr>
          <w:p w14:paraId="14346D4C" w14:textId="382101C0" w:rsidR="00E30ED4" w:rsidRDefault="00E30ED4" w:rsidP="006F161C">
            <w:pPr>
              <w:pStyle w:val="DHHStabletext"/>
            </w:pPr>
            <w:r>
              <w:t>56.3%</w:t>
            </w:r>
          </w:p>
        </w:tc>
        <w:tc>
          <w:tcPr>
            <w:tcW w:w="3096" w:type="dxa"/>
          </w:tcPr>
          <w:p w14:paraId="3A51B15C" w14:textId="5A5FE53B" w:rsidR="00E30ED4" w:rsidRDefault="00E30ED4" w:rsidP="006F161C">
            <w:pPr>
              <w:pStyle w:val="DHHStabletext"/>
            </w:pPr>
            <w:r>
              <w:t>36.0%</w:t>
            </w:r>
          </w:p>
        </w:tc>
      </w:tr>
    </w:tbl>
    <w:p w14:paraId="7A3C3EEB" w14:textId="2F336241" w:rsidR="00957494" w:rsidRDefault="00957494" w:rsidP="00235E13">
      <w:pPr>
        <w:pStyle w:val="DHHSbodyaftertablefigure"/>
      </w:pPr>
      <w:r>
        <w:t>For CAMHS clients, there has been a slight downward trend in clients with signiﬁcant improvement at case closure to 44.9 per cent and a slight increase in clients stable at case closure to 45.7 per cent. The proportion of adults with signiﬁcant improvement at case closure is stable at 52.7 per cent. For aged persons, there has</w:t>
      </w:r>
      <w:r w:rsidR="005F1011">
        <w:t xml:space="preserve"> </w:t>
      </w:r>
      <w:r>
        <w:t>been a slight increase in people with signiﬁcant improvement at case closure to 56.3 per cent, and the proportion of people with signiﬁcant deterioration is stable at 7.6 per cent.</w:t>
      </w:r>
    </w:p>
    <w:tbl>
      <w:tblPr>
        <w:tblStyle w:val="TableGrid"/>
        <w:tblW w:w="0" w:type="auto"/>
        <w:tblLook w:val="04A0" w:firstRow="1" w:lastRow="0" w:firstColumn="1" w:lastColumn="0" w:noHBand="0" w:noVBand="1"/>
      </w:tblPr>
      <w:tblGrid>
        <w:gridCol w:w="9184"/>
      </w:tblGrid>
      <w:tr w:rsidR="00E30ED4" w14:paraId="2C345AC6" w14:textId="77777777" w:rsidTr="00E30ED4">
        <w:tc>
          <w:tcPr>
            <w:tcW w:w="9292" w:type="dxa"/>
          </w:tcPr>
          <w:p w14:paraId="1E22D182" w14:textId="77777777" w:rsidR="00E30ED4" w:rsidRDefault="00E30ED4" w:rsidP="00E30ED4">
            <w:pPr>
              <w:pStyle w:val="DHHSboxheading"/>
            </w:pPr>
            <w:r>
              <w:t xml:space="preserve">Will’s experience with </w:t>
            </w:r>
            <w:proofErr w:type="spellStart"/>
            <w:r>
              <w:t>Orygen</w:t>
            </w:r>
            <w:proofErr w:type="spellEnd"/>
            <w:r>
              <w:t xml:space="preserve"> Youth Health</w:t>
            </w:r>
          </w:p>
          <w:p w14:paraId="38CC27C4" w14:textId="77777777" w:rsidR="00E30ED4" w:rsidRDefault="00E30ED4" w:rsidP="00E30ED4">
            <w:pPr>
              <w:pStyle w:val="DHHSbody"/>
            </w:pPr>
            <w:r>
              <w:t>Will is 26 years old and lives with his mother in a one-bedroom apartment in Melbourne’s west.</w:t>
            </w:r>
          </w:p>
          <w:p w14:paraId="0B1E653F" w14:textId="77777777" w:rsidR="00E30ED4" w:rsidRDefault="00E30ED4" w:rsidP="00E30ED4">
            <w:pPr>
              <w:pStyle w:val="DHHSbody"/>
            </w:pPr>
            <w:r>
              <w:t>Will has recently returned to his electrician apprenticeship and is making steps to re-engage with his family and friends after a prolonged period of debilitating mental health issues.</w:t>
            </w:r>
          </w:p>
          <w:p w14:paraId="281EC99A" w14:textId="77777777" w:rsidR="00E30ED4" w:rsidRDefault="00E30ED4" w:rsidP="00E30ED4">
            <w:pPr>
              <w:pStyle w:val="DHHSbody"/>
            </w:pPr>
            <w:r>
              <w:t xml:space="preserve">Will presented to </w:t>
            </w:r>
            <w:proofErr w:type="spellStart"/>
            <w:r>
              <w:t>Orygen</w:t>
            </w:r>
            <w:proofErr w:type="spellEnd"/>
            <w:r>
              <w:t xml:space="preserve"> two years ago after police found him sitting on the roof of a building site. Will had reportedly contemplated jumping off the building. Will was ﬁrst supported by </w:t>
            </w:r>
            <w:proofErr w:type="spellStart"/>
            <w:r>
              <w:t>Orygen’s</w:t>
            </w:r>
            <w:proofErr w:type="spellEnd"/>
            <w:r>
              <w:t xml:space="preserve"> Mood Clinic before being transferred to the Early Psychosis Prevention and Intervention Centre.</w:t>
            </w:r>
          </w:p>
          <w:p w14:paraId="4028D6C3" w14:textId="77777777" w:rsidR="00E30ED4" w:rsidRDefault="00E30ED4" w:rsidP="00E30ED4">
            <w:pPr>
              <w:pStyle w:val="DHHSbody"/>
            </w:pPr>
            <w:r>
              <w:t>Will described a full range of depressive symptoms dating back many years, which had increased in intensity following his sister’s suicide 18 months before. He later reported psychotic symptoms including daily auditory command hallucinations to kill himself and nihilistic delusions that he was ‘fated to be dead’ and that ‘something else is going on that no-one else can see’.</w:t>
            </w:r>
          </w:p>
          <w:p w14:paraId="79C3CB0E" w14:textId="77777777" w:rsidR="00E30ED4" w:rsidRDefault="00E30ED4" w:rsidP="00E30ED4">
            <w:pPr>
              <w:pStyle w:val="DHHSbody"/>
            </w:pPr>
            <w:r>
              <w:lastRenderedPageBreak/>
              <w:t>Diagnosed with treatment-resistant schizophrenia and severe major depressive disorder, Will had a prolonged recovery trajectory. This involved seven psychiatric admissions over the ﬁrst 15 months of his treatment. Will trialled eight different medications and two courses of electroconvulsive therapy before settling on a combination of clozapine, lithium and sertraline, which has ultimately led to good symptomatic and functional recovery.</w:t>
            </w:r>
          </w:p>
          <w:p w14:paraId="6751DE95" w14:textId="77777777" w:rsidR="00E30ED4" w:rsidRDefault="00E30ED4" w:rsidP="00E30ED4">
            <w:pPr>
              <w:pStyle w:val="DHHSbody"/>
            </w:pPr>
            <w:r>
              <w:t xml:space="preserve">During his time at </w:t>
            </w:r>
            <w:proofErr w:type="spellStart"/>
            <w:r>
              <w:t>Orygen</w:t>
            </w:r>
            <w:proofErr w:type="spellEnd"/>
            <w:r>
              <w:t>, Will received a comprehensive package of care. He engaged with cognitive behaviour therapy to treat and manage his schizophrenia and depression. The treating team were able to engage with Will around his concerns and attempt to allay some of his fears by providing an alternative model to make sense of his experiences.</w:t>
            </w:r>
          </w:p>
          <w:p w14:paraId="4AD4D5C4" w14:textId="77777777" w:rsidR="00E30ED4" w:rsidRDefault="00E30ED4" w:rsidP="00E30ED4">
            <w:pPr>
              <w:pStyle w:val="DHHSbody"/>
            </w:pPr>
            <w:r>
              <w:t>Will and his mother had a number of sessions of family therapy with his case manager and the senior family therapist. Will also engaged with the group program, attending the gym group.</w:t>
            </w:r>
          </w:p>
          <w:p w14:paraId="62199FA9" w14:textId="77777777" w:rsidR="00E30ED4" w:rsidRDefault="00E30ED4" w:rsidP="00E30ED4">
            <w:pPr>
              <w:pStyle w:val="DHHSbody"/>
            </w:pPr>
            <w:proofErr w:type="spellStart"/>
            <w:r>
              <w:t>Orygen</w:t>
            </w:r>
            <w:proofErr w:type="spellEnd"/>
            <w:r>
              <w:t xml:space="preserve"> liaised closely with Will’s employer and school, which assisted his return to his electrician apprenticeship. Will was linked with West Justice for assistance with substantial ﬁnes he had accrued and was supported by his case manager to attend court to resolve these matters.</w:t>
            </w:r>
          </w:p>
          <w:p w14:paraId="4434975A" w14:textId="77777777" w:rsidR="00E30ED4" w:rsidRDefault="00E30ED4" w:rsidP="00957494">
            <w:pPr>
              <w:pStyle w:val="DHHSbody"/>
            </w:pPr>
            <w:r>
              <w:t>With an improved medication regimen, Will has reported having a far better ability to manage difﬁculties with his experiences of depression, anxiety and attenuated psychotic symptoms.</w:t>
            </w:r>
          </w:p>
          <w:p w14:paraId="59327928" w14:textId="77777777" w:rsidR="00E30ED4" w:rsidRPr="00E30ED4" w:rsidRDefault="00E30ED4" w:rsidP="00E30ED4">
            <w:pPr>
              <w:pStyle w:val="DHHSbody"/>
              <w:rPr>
                <w:b/>
                <w:bCs/>
              </w:rPr>
            </w:pPr>
            <w:r w:rsidRPr="00E30ED4">
              <w:rPr>
                <w:b/>
                <w:bCs/>
              </w:rPr>
              <w:t xml:space="preserve">How have you found your time with </w:t>
            </w:r>
            <w:proofErr w:type="spellStart"/>
            <w:r w:rsidRPr="00E30ED4">
              <w:rPr>
                <w:b/>
                <w:bCs/>
              </w:rPr>
              <w:t>Orygen</w:t>
            </w:r>
            <w:proofErr w:type="spellEnd"/>
            <w:r w:rsidRPr="00E30ED4">
              <w:rPr>
                <w:b/>
                <w:bCs/>
              </w:rPr>
              <w:t xml:space="preserve"> Youth Health?</w:t>
            </w:r>
          </w:p>
          <w:p w14:paraId="005EC6A2" w14:textId="77777777" w:rsidR="00E30ED4" w:rsidRDefault="00E30ED4" w:rsidP="00E30ED4">
            <w:pPr>
              <w:pStyle w:val="DHHSbody"/>
            </w:pPr>
            <w:r>
              <w:t xml:space="preserve">I was scared and angry at ﬁrst. I felt lost and alone. But after a while it became apparent that the people here were on my side and had my best interests at heart – we were working towards the same goals. </w:t>
            </w:r>
            <w:proofErr w:type="spellStart"/>
            <w:r>
              <w:t>Orygen</w:t>
            </w:r>
            <w:proofErr w:type="spellEnd"/>
            <w:r>
              <w:t xml:space="preserve"> helped me feel less isolated, more supported and safe.</w:t>
            </w:r>
          </w:p>
          <w:p w14:paraId="4EF6D2D3" w14:textId="77777777" w:rsidR="00E30ED4" w:rsidRPr="00E30ED4" w:rsidRDefault="00E30ED4" w:rsidP="00E30ED4">
            <w:pPr>
              <w:pStyle w:val="DHHSbody"/>
              <w:rPr>
                <w:b/>
                <w:bCs/>
              </w:rPr>
            </w:pPr>
            <w:r w:rsidRPr="00E30ED4">
              <w:rPr>
                <w:b/>
                <w:bCs/>
              </w:rPr>
              <w:t xml:space="preserve">What do you like most about </w:t>
            </w:r>
            <w:proofErr w:type="spellStart"/>
            <w:r w:rsidRPr="00E30ED4">
              <w:rPr>
                <w:b/>
                <w:bCs/>
              </w:rPr>
              <w:t>Orygen</w:t>
            </w:r>
            <w:proofErr w:type="spellEnd"/>
            <w:r w:rsidRPr="00E30ED4">
              <w:rPr>
                <w:b/>
                <w:bCs/>
              </w:rPr>
              <w:t xml:space="preserve"> Youth Health?</w:t>
            </w:r>
          </w:p>
          <w:p w14:paraId="6E02B54E" w14:textId="77777777" w:rsidR="00E30ED4" w:rsidRDefault="00E30ED4" w:rsidP="00E30ED4">
            <w:pPr>
              <w:pStyle w:val="DHHSbody"/>
            </w:pPr>
            <w:r>
              <w:t>The staff are genuine and interested. It’s not just a job to them – our interactions feel real.</w:t>
            </w:r>
          </w:p>
          <w:p w14:paraId="78F25297" w14:textId="77777777" w:rsidR="00E30ED4" w:rsidRPr="00235E13" w:rsidRDefault="00E30ED4" w:rsidP="00E30ED4">
            <w:pPr>
              <w:pStyle w:val="DHHSbody"/>
              <w:rPr>
                <w:b/>
              </w:rPr>
            </w:pPr>
            <w:r w:rsidRPr="00235E13">
              <w:rPr>
                <w:b/>
              </w:rPr>
              <w:t>Of all the ways in which the treatment team have tried to help you (medications, inpatient stay, individual support, family support) what have you found most helpful to your recovery?</w:t>
            </w:r>
          </w:p>
          <w:p w14:paraId="0357625F" w14:textId="77777777" w:rsidR="00E30ED4" w:rsidRDefault="00E30ED4" w:rsidP="00E30ED4">
            <w:pPr>
              <w:pStyle w:val="DHHSbody"/>
            </w:pPr>
            <w:r>
              <w:t>One-on-one support was really important. It helped me examine and question myself and my experiences and ﬁnd a new way to understand what was happening to me. It was comfortable, safe and non-judgemental, and allowed true healing.</w:t>
            </w:r>
          </w:p>
          <w:p w14:paraId="4A657F33" w14:textId="77777777" w:rsidR="00E30ED4" w:rsidRPr="00E30ED4" w:rsidRDefault="00E30ED4" w:rsidP="00E30ED4">
            <w:pPr>
              <w:pStyle w:val="DHHSbody"/>
              <w:rPr>
                <w:b/>
                <w:bCs/>
              </w:rPr>
            </w:pPr>
            <w:r w:rsidRPr="00E30ED4">
              <w:rPr>
                <w:b/>
                <w:bCs/>
              </w:rPr>
              <w:t>What difference (if any) did the family sessions make to you, your relationship with your mum, and your recovery?</w:t>
            </w:r>
          </w:p>
          <w:p w14:paraId="32CD9335" w14:textId="77777777" w:rsidR="00E30ED4" w:rsidRDefault="00E30ED4" w:rsidP="00E30ED4">
            <w:pPr>
              <w:pStyle w:val="DHHSbody"/>
            </w:pPr>
            <w:r>
              <w:t xml:space="preserve">Initially, this was very daunting. I was scared of what Mum might think and thought it’d be a burden for her to know what was going on for me. But we got it out, and it wasn’t as bad as I thought. It helped us talk about our difﬁculties in a more understanding way. </w:t>
            </w:r>
            <w:proofErr w:type="spellStart"/>
            <w:r>
              <w:t>Orygen</w:t>
            </w:r>
            <w:proofErr w:type="spellEnd"/>
            <w:r>
              <w:t xml:space="preserve"> was a safe space.</w:t>
            </w:r>
          </w:p>
          <w:p w14:paraId="13951D44" w14:textId="77777777" w:rsidR="00E30ED4" w:rsidRPr="00E30ED4" w:rsidRDefault="00E30ED4" w:rsidP="00E30ED4">
            <w:pPr>
              <w:pStyle w:val="DHHSbody"/>
              <w:rPr>
                <w:b/>
                <w:bCs/>
              </w:rPr>
            </w:pPr>
            <w:r w:rsidRPr="00E30ED4">
              <w:rPr>
                <w:b/>
                <w:bCs/>
              </w:rPr>
              <w:t>What have you found least helpful over the course of your treatment?</w:t>
            </w:r>
          </w:p>
          <w:p w14:paraId="5A907858" w14:textId="77777777" w:rsidR="00E30ED4" w:rsidRDefault="00E30ED4" w:rsidP="00E30ED4">
            <w:pPr>
              <w:pStyle w:val="DHHSbody"/>
            </w:pPr>
            <w:r>
              <w:t>Medication side effects are annoying, but not deal breakers. The memory difﬁculties from the ECT  are tough, but I think it really helped at the time, so it was probably worth it. The group stuff didn’t have a huge impact for me personally.</w:t>
            </w:r>
          </w:p>
          <w:p w14:paraId="73659C1C" w14:textId="77777777" w:rsidR="00E30ED4" w:rsidRPr="00E30ED4" w:rsidRDefault="00E30ED4" w:rsidP="00E30ED4">
            <w:pPr>
              <w:pStyle w:val="DHHSbody"/>
              <w:rPr>
                <w:b/>
                <w:bCs/>
              </w:rPr>
            </w:pPr>
            <w:r w:rsidRPr="00E30ED4">
              <w:rPr>
                <w:b/>
                <w:bCs/>
              </w:rPr>
              <w:t xml:space="preserve">What do you like least about </w:t>
            </w:r>
            <w:proofErr w:type="spellStart"/>
            <w:r w:rsidRPr="00E30ED4">
              <w:rPr>
                <w:b/>
                <w:bCs/>
              </w:rPr>
              <w:t>Orygen</w:t>
            </w:r>
            <w:proofErr w:type="spellEnd"/>
            <w:r w:rsidRPr="00E30ED4">
              <w:rPr>
                <w:b/>
                <w:bCs/>
              </w:rPr>
              <w:t xml:space="preserve"> Youth Health?</w:t>
            </w:r>
          </w:p>
          <w:p w14:paraId="1C22DDB4" w14:textId="77777777" w:rsidR="00E30ED4" w:rsidRDefault="00E30ED4" w:rsidP="00E30ED4">
            <w:pPr>
              <w:pStyle w:val="DHHSbody"/>
            </w:pPr>
            <w:r>
              <w:t>It was really tough at the start. I didn’t get along with my ﬁrst team – they felt too intrusive. But everyone has their own style and different people get along differently.</w:t>
            </w:r>
          </w:p>
          <w:p w14:paraId="009FFBDD" w14:textId="77777777" w:rsidR="00E30ED4" w:rsidRPr="00E30ED4" w:rsidRDefault="00E30ED4" w:rsidP="00E30ED4">
            <w:pPr>
              <w:pStyle w:val="DHHSbody"/>
              <w:rPr>
                <w:b/>
                <w:bCs/>
              </w:rPr>
            </w:pPr>
            <w:r w:rsidRPr="00E30ED4">
              <w:rPr>
                <w:b/>
                <w:bCs/>
              </w:rPr>
              <w:t xml:space="preserve">If you could change something about </w:t>
            </w:r>
            <w:proofErr w:type="spellStart"/>
            <w:r w:rsidRPr="00E30ED4">
              <w:rPr>
                <w:b/>
                <w:bCs/>
              </w:rPr>
              <w:t>Orygen</w:t>
            </w:r>
            <w:proofErr w:type="spellEnd"/>
            <w:r w:rsidRPr="00E30ED4">
              <w:rPr>
                <w:b/>
                <w:bCs/>
              </w:rPr>
              <w:t xml:space="preserve"> Youth Health, what would it be?</w:t>
            </w:r>
          </w:p>
          <w:p w14:paraId="6952E552" w14:textId="2894956F" w:rsidR="00E30ED4" w:rsidRDefault="00E30ED4" w:rsidP="00957494">
            <w:pPr>
              <w:pStyle w:val="DHHSbody"/>
            </w:pPr>
            <w:r>
              <w:t xml:space="preserve">Make the service last longer. It’d be great to have more interaction with staff in hospital. They were all lovely when they did talk to me, but they’re always so busy. It would be nice to have more spaces to reﬂect with staff on the ward – maybe they need some psychologists. </w:t>
            </w:r>
          </w:p>
        </w:tc>
      </w:tr>
    </w:tbl>
    <w:p w14:paraId="55EEDEE5" w14:textId="084BFE58" w:rsidR="00957494" w:rsidRDefault="00E30ED4" w:rsidP="00E30ED4">
      <w:pPr>
        <w:pStyle w:val="Heading3"/>
      </w:pPr>
      <w:r>
        <w:lastRenderedPageBreak/>
        <w:t>Changes in community clinical mental health services reporting</w:t>
      </w:r>
    </w:p>
    <w:p w14:paraId="72E4D078" w14:textId="5404CBEE" w:rsidR="00957494" w:rsidRDefault="00957494" w:rsidP="00957494">
      <w:pPr>
        <w:pStyle w:val="DHHSbody"/>
      </w:pPr>
      <w:r>
        <w:t>Most clients receive public mental health services in the community and use hospital care only when they are acutely unwell. The core functions of community mental health services are to stabilise acute illness, help people prevent or manage relapses, and support their recovery</w:t>
      </w:r>
      <w:r w:rsidR="00C029E2">
        <w:t xml:space="preserve"> </w:t>
      </w:r>
      <w:r>
        <w:t>by connecting them to health, community, educational and vocational services.</w:t>
      </w:r>
    </w:p>
    <w:p w14:paraId="4F1E782A" w14:textId="77777777" w:rsidR="00957494" w:rsidRDefault="00957494" w:rsidP="00957494">
      <w:pPr>
        <w:pStyle w:val="DHHSbody"/>
      </w:pPr>
      <w:r>
        <w:t>Service contacts are a key component of community-based mental health activity. A client service contact must:</w:t>
      </w:r>
    </w:p>
    <w:p w14:paraId="5EF4C4BD" w14:textId="292723F3" w:rsidR="00957494" w:rsidRDefault="00957494" w:rsidP="00C029E2">
      <w:pPr>
        <w:pStyle w:val="DHHSbullet1"/>
      </w:pPr>
      <w:r>
        <w:t>be clinically signiﬁcant in nature (for example, directly contribute to assessment or treatment)</w:t>
      </w:r>
    </w:p>
    <w:p w14:paraId="6F2C6C8F" w14:textId="18A718DD" w:rsidR="00957494" w:rsidRDefault="00957494" w:rsidP="00C029E2">
      <w:pPr>
        <w:pStyle w:val="DHHSbullet1"/>
      </w:pPr>
      <w:r>
        <w:t>be provided by a health professional employed within a specialist public mental health service</w:t>
      </w:r>
    </w:p>
    <w:p w14:paraId="164DAB5A" w14:textId="6B0EC95C" w:rsidR="00957494" w:rsidRDefault="00957494" w:rsidP="00C029E2">
      <w:pPr>
        <w:pStyle w:val="DHHSbullet1"/>
      </w:pPr>
      <w:r>
        <w:t>be for a patient/client</w:t>
      </w:r>
    </w:p>
    <w:p w14:paraId="3CB369D9" w14:textId="59AEB039" w:rsidR="00957494" w:rsidRDefault="00957494" w:rsidP="00C029E2">
      <w:pPr>
        <w:pStyle w:val="DHHSbullet1lastline"/>
      </w:pPr>
      <w:r>
        <w:t>require a dated entry in the health record or triage record of the patient/client.</w:t>
      </w:r>
    </w:p>
    <w:p w14:paraId="27D07380" w14:textId="1F9FD1FF" w:rsidR="00957494" w:rsidRDefault="00957494" w:rsidP="00957494">
      <w:pPr>
        <w:pStyle w:val="DHHSbody"/>
      </w:pPr>
      <w:r>
        <w:t>Service contacts and service hours are two of the few available indicators that monitor the level of community-based mental health service delivery. Victoria, like other states and territories, reports these metrics nationally, and they also form key components of state policy and funding</w:t>
      </w:r>
      <w:r w:rsidR="00C029E2">
        <w:t xml:space="preserve"> </w:t>
      </w:r>
      <w:r>
        <w:t>guidelines. Targets for mental health services give the parameters services are expected to work to and within, and inform funding linked to various services to achieve expected outcomes for the community.</w:t>
      </w:r>
    </w:p>
    <w:p w14:paraId="315330F0" w14:textId="47BA6C4E" w:rsidR="00957494" w:rsidRDefault="00957494" w:rsidP="00957494">
      <w:pPr>
        <w:pStyle w:val="DHHSbody"/>
      </w:pPr>
      <w:r>
        <w:t>Data and data systems for public mental health services are continuing to develop. During 2017–18 there has been sustained focus by the majority</w:t>
      </w:r>
      <w:r w:rsidR="00C029E2">
        <w:t xml:space="preserve"> </w:t>
      </w:r>
      <w:r>
        <w:t>of services on improving their data. This is in part related to strengthened accountability for funding as mental health services begin to</w:t>
      </w:r>
      <w:r w:rsidR="00C029E2">
        <w:t xml:space="preserve"> </w:t>
      </w:r>
      <w:r>
        <w:t>move (nationally and at the state level) towards activity-based funding. Other areas of the health system have been funded in this way for many years, and in 2018–19 a new funding model will</w:t>
      </w:r>
      <w:r w:rsidR="00C029E2">
        <w:t xml:space="preserve"> </w:t>
      </w:r>
      <w:r>
        <w:t>be implemented in Victoria, initially in adult community-based clinical mental health services.</w:t>
      </w:r>
    </w:p>
    <w:p w14:paraId="2EBEA4A8" w14:textId="4C116556" w:rsidR="00957494" w:rsidRDefault="00957494" w:rsidP="00957494">
      <w:pPr>
        <w:pStyle w:val="DHHSbody"/>
      </w:pPr>
      <w:r>
        <w:t>In preparation for these changes, and following an extended period of incomplete reporting</w:t>
      </w:r>
      <w:r w:rsidR="00C029E2">
        <w:t xml:space="preserve"> </w:t>
      </w:r>
      <w:r>
        <w:t>in recent years, particularly in adult and aged persons’ services, the improved recording of service contacts and hours is very apparent in 2017–18. In part, the increases in service contacts and hours also reﬂect increased service provision following growth in funding to community clinical services.</w:t>
      </w:r>
    </w:p>
    <w:p w14:paraId="6AAB19EF" w14:textId="323DC6F7" w:rsidR="00957494" w:rsidRDefault="00957494" w:rsidP="00957494">
      <w:pPr>
        <w:pStyle w:val="DHHSbody"/>
      </w:pPr>
      <w:r>
        <w:t>However, increases for adult and aged persons’ services can principally be attributed to better reporting of existing services (following the end of industrial activity that affected data reporting in 2015–16 and 2016–17). The deﬁnition of service</w:t>
      </w:r>
      <w:r w:rsidR="00C029E2">
        <w:t xml:space="preserve"> </w:t>
      </w:r>
      <w:r>
        <w:t>contact was also broadened slightly, complicating the picture further. The data for child and adolescent, forensic and specialist services is more reliable.</w:t>
      </w:r>
    </w:p>
    <w:p w14:paraId="410ECC7A" w14:textId="77777777" w:rsidR="00957494" w:rsidRDefault="00957494" w:rsidP="00957494">
      <w:pPr>
        <w:pStyle w:val="DHHSbody"/>
      </w:pPr>
      <w:r>
        <w:t>Issues with data recording and reporting across the system are demonstrated in Figure 6, showing data over three years.</w:t>
      </w:r>
    </w:p>
    <w:p w14:paraId="464B5C98" w14:textId="77777777" w:rsidR="00957494" w:rsidRDefault="00957494" w:rsidP="006E796A">
      <w:pPr>
        <w:pStyle w:val="DHHSfigurecaption"/>
      </w:pPr>
      <w:r>
        <w:t>Figure 6: Community service contacts and hours, 2015–16 to 2017–18</w:t>
      </w:r>
    </w:p>
    <w:p w14:paraId="542C0A96" w14:textId="47BE26A8" w:rsidR="00957494" w:rsidRDefault="006E796A" w:rsidP="00957494">
      <w:pPr>
        <w:pStyle w:val="DHHSbody"/>
      </w:pPr>
      <w:r>
        <w:t xml:space="preserve">&lt;Contact </w:t>
      </w:r>
      <w:hyperlink r:id="rId19" w:history="1">
        <w:r w:rsidRPr="006E796A">
          <w:rPr>
            <w:rStyle w:val="Hyperlink"/>
          </w:rPr>
          <w:t>the annual report team</w:t>
        </w:r>
      </w:hyperlink>
      <w:r w:rsidRPr="006E796A">
        <w:t xml:space="preserve"> &lt;</w:t>
      </w:r>
      <w:hyperlink r:id="rId20">
        <w:r w:rsidRPr="006E796A">
          <w:t>mhs.annualreport@dhhs.vic.gov.au</w:t>
        </w:r>
      </w:hyperlink>
      <w:r w:rsidRPr="006E796A">
        <w:t>&gt;</w:t>
      </w:r>
      <w:r>
        <w:t xml:space="preserve"> for an accessible version of this figure&gt;</w:t>
      </w:r>
    </w:p>
    <w:p w14:paraId="52339081" w14:textId="2D4AA00A" w:rsidR="00957494" w:rsidRDefault="006E796A" w:rsidP="006E796A">
      <w:pPr>
        <w:pStyle w:val="Heading2"/>
      </w:pPr>
      <w:bookmarkStart w:id="21" w:name="_Toc28340161"/>
      <w:r>
        <w:t>Child and adolescent mental health services</w:t>
      </w:r>
      <w:bookmarkEnd w:id="21"/>
    </w:p>
    <w:p w14:paraId="48C62D92" w14:textId="4C656932" w:rsidR="00957494" w:rsidRPr="006E796A" w:rsidRDefault="00957494" w:rsidP="00957494">
      <w:pPr>
        <w:pStyle w:val="DHHSbody"/>
        <w:rPr>
          <w:b/>
          <w:bCs/>
        </w:rPr>
      </w:pPr>
      <w:r w:rsidRPr="006E796A">
        <w:rPr>
          <w:b/>
          <w:bCs/>
        </w:rPr>
        <w:t>11,945</w:t>
      </w:r>
      <w:r w:rsidR="00C029E2" w:rsidRPr="006E796A">
        <w:rPr>
          <w:b/>
          <w:bCs/>
        </w:rPr>
        <w:t xml:space="preserve"> </w:t>
      </w:r>
      <w:r w:rsidRPr="006E796A">
        <w:rPr>
          <w:b/>
          <w:bCs/>
        </w:rPr>
        <w:t>CAMHS clients</w:t>
      </w:r>
    </w:p>
    <w:p w14:paraId="24BBCA98" w14:textId="77777777" w:rsidR="00957494" w:rsidRPr="006E796A" w:rsidRDefault="00957494" w:rsidP="00957494">
      <w:pPr>
        <w:pStyle w:val="DHHSbody"/>
        <w:rPr>
          <w:b/>
          <w:bCs/>
        </w:rPr>
      </w:pPr>
      <w:r w:rsidRPr="006E796A">
        <w:rPr>
          <w:b/>
          <w:bCs/>
        </w:rPr>
        <w:t>9.8% increase in hospitalisations since 2016–17</w:t>
      </w:r>
    </w:p>
    <w:p w14:paraId="6DA05FFD" w14:textId="77777777" w:rsidR="00957494" w:rsidRDefault="00957494" w:rsidP="00957494">
      <w:pPr>
        <w:pStyle w:val="DHHSbody"/>
      </w:pPr>
      <w:r>
        <w:t>Inpatient and community clinical mental health service activity increased in 2017–18, in part reﬂecting increased investment. This includes new beds becoming available at the Monash Children’s Hospital, expansion of services for children aged up to 12 years, and statewide rollout of the Child and Adolescent Schools Early Action program.</w:t>
      </w:r>
    </w:p>
    <w:p w14:paraId="4CFD5033" w14:textId="302DF3DB" w:rsidR="00957494" w:rsidRDefault="00957494" w:rsidP="00957494">
      <w:pPr>
        <w:pStyle w:val="DHHSbody"/>
      </w:pPr>
      <w:r>
        <w:lastRenderedPageBreak/>
        <w:t>Most children and young people receive clinical treatment in the community. A higher proportion of service hours (20.5 per cent) are delivered to unregistered CAMHS clients than to adult and aged people. This may include contacts where</w:t>
      </w:r>
      <w:r w:rsidR="00C029E2">
        <w:t xml:space="preserve"> </w:t>
      </w:r>
      <w:r>
        <w:t>a child or young person is referred to a community mental health service and is assessed, but it</w:t>
      </w:r>
      <w:r w:rsidR="00C029E2">
        <w:t xml:space="preserve"> </w:t>
      </w:r>
      <w:r>
        <w:t>is found their needs are best met elsewhere.</w:t>
      </w:r>
    </w:p>
    <w:p w14:paraId="2CFA9230" w14:textId="77777777" w:rsidR="00957494" w:rsidRDefault="00957494" w:rsidP="00957494">
      <w:pPr>
        <w:pStyle w:val="DHHSbody"/>
      </w:pPr>
      <w:r>
        <w:t>In this instance they may be referred to a more appropriate service and would not be registered as a public mental health services client.</w:t>
      </w:r>
    </w:p>
    <w:p w14:paraId="27D2D31B" w14:textId="0FC91C3A" w:rsidR="00957494" w:rsidRDefault="00957494" w:rsidP="00957494">
      <w:pPr>
        <w:pStyle w:val="DHHSbody"/>
      </w:pPr>
      <w:r>
        <w:t>In 2017–18 there were 11,945 registered CAMHS clients, an increase of 11.5 per cent. A relatively small number of children and young people</w:t>
      </w:r>
      <w:r w:rsidR="00C029E2">
        <w:t xml:space="preserve"> </w:t>
      </w:r>
      <w:r>
        <w:t>in Victoria require inpatient treatment for mental illness. During the year there were 2,014 hospitalisations of children and young people for mental illness, an increase of 9.8 per cent.</w:t>
      </w:r>
    </w:p>
    <w:p w14:paraId="10221E43" w14:textId="054781CB" w:rsidR="00957494" w:rsidRDefault="00957494" w:rsidP="00957494">
      <w:pPr>
        <w:pStyle w:val="DHHSbody"/>
      </w:pPr>
      <w:r>
        <w:t>Compulsory admissions have risen from 17 per cent to 20.2 per cent, though this remains</w:t>
      </w:r>
      <w:r w:rsidR="00C029E2">
        <w:t xml:space="preserve"> </w:t>
      </w:r>
      <w:r>
        <w:t>substantially lower than the level of compulsory treatment for other age groups. The average duration of a period of compulsory treatment remained stable at 23.5 days. The proportion</w:t>
      </w:r>
      <w:r w:rsidR="00C029E2">
        <w:t xml:space="preserve"> </w:t>
      </w:r>
      <w:r>
        <w:t>of children and young people on a community treatment order remains low at 1.1 per cent.</w:t>
      </w:r>
    </w:p>
    <w:p w14:paraId="60DC741E" w14:textId="55702045" w:rsidR="00957494" w:rsidRDefault="00957494" w:rsidP="00957494">
      <w:pPr>
        <w:pStyle w:val="DHHSbody"/>
      </w:pPr>
      <w:r>
        <w:t>The trimmed average length of stay (&lt; 35 days) for CAMHS inpatients is trending downwards and was 6.6 days in 2017–18. Inpatients who stayed longer than 35 days accounted for 8.3 per cent</w:t>
      </w:r>
      <w:r w:rsidR="00C029E2">
        <w:t xml:space="preserve"> </w:t>
      </w:r>
      <w:r>
        <w:t>of all CAMHS bed days. The bed occupancy rate increased from 60.9 to 62.6 per cent.</w:t>
      </w:r>
    </w:p>
    <w:p w14:paraId="5E6C4E64" w14:textId="5EAADE11" w:rsidR="00957494" w:rsidRDefault="00957494" w:rsidP="00957494">
      <w:pPr>
        <w:pStyle w:val="DHHSbody"/>
      </w:pPr>
      <w:r>
        <w:t>Community contacts are the largest part of CAMHS work. They may involve activities such as assessment and treatment, adolescent day</w:t>
      </w:r>
      <w:r w:rsidR="00C029E2">
        <w:t xml:space="preserve"> </w:t>
      </w:r>
      <w:r>
        <w:t>programs, or intensive outreach for young people. CAMHS teams often involve parents and siblings, as well as schools, in supporting a young person. In 2017–18 there were 331,058 reported contacts.</w:t>
      </w:r>
    </w:p>
    <w:p w14:paraId="62BE0655" w14:textId="151B2CF9" w:rsidR="00957494" w:rsidRDefault="00957494" w:rsidP="00957494">
      <w:pPr>
        <w:pStyle w:val="DHHSbody"/>
      </w:pPr>
      <w:r>
        <w:t>This increase of 18.7 per cent reﬂects an increase in service activity and may reﬂect improved recording</w:t>
      </w:r>
      <w:r w:rsidR="00C029E2">
        <w:t xml:space="preserve"> </w:t>
      </w:r>
      <w:r>
        <w:t>of activities by mental health staff.</w:t>
      </w:r>
    </w:p>
    <w:p w14:paraId="2F05CE9C" w14:textId="5F9F19FC" w:rsidR="00957494" w:rsidRDefault="006E796A" w:rsidP="006E796A">
      <w:pPr>
        <w:pStyle w:val="Heading2"/>
      </w:pPr>
      <w:bookmarkStart w:id="22" w:name="_Toc28340162"/>
      <w:r>
        <w:t>Adult mental health services</w:t>
      </w:r>
      <w:bookmarkEnd w:id="22"/>
    </w:p>
    <w:p w14:paraId="39FB2DF6" w14:textId="51A27094" w:rsidR="00957494" w:rsidRPr="006E796A" w:rsidRDefault="00957494" w:rsidP="00957494">
      <w:pPr>
        <w:pStyle w:val="DHHSbody"/>
        <w:rPr>
          <w:b/>
          <w:bCs/>
        </w:rPr>
      </w:pPr>
      <w:r w:rsidRPr="006E796A">
        <w:rPr>
          <w:b/>
          <w:bCs/>
        </w:rPr>
        <w:t>57,501</w:t>
      </w:r>
      <w:r w:rsidR="00C029E2" w:rsidRPr="006E796A">
        <w:rPr>
          <w:b/>
          <w:bCs/>
        </w:rPr>
        <w:t xml:space="preserve"> </w:t>
      </w:r>
      <w:r w:rsidRPr="006E796A">
        <w:rPr>
          <w:b/>
          <w:bCs/>
        </w:rPr>
        <w:t>adult clients</w:t>
      </w:r>
    </w:p>
    <w:p w14:paraId="63F4B2FF" w14:textId="3D80B9BC" w:rsidR="00957494" w:rsidRPr="006E796A" w:rsidRDefault="00957494" w:rsidP="00957494">
      <w:pPr>
        <w:pStyle w:val="DHHSbody"/>
        <w:rPr>
          <w:b/>
          <w:bCs/>
        </w:rPr>
      </w:pPr>
      <w:r w:rsidRPr="006E796A">
        <w:rPr>
          <w:b/>
          <w:bCs/>
        </w:rPr>
        <w:t>6.7% increase in hospitalisations since 2016–17</w:t>
      </w:r>
    </w:p>
    <w:p w14:paraId="05390218" w14:textId="32A1D551" w:rsidR="00957494" w:rsidRDefault="006E796A" w:rsidP="006E796A">
      <w:pPr>
        <w:pStyle w:val="Heading3"/>
      </w:pPr>
      <w:r>
        <w:t>Inpatient services</w:t>
      </w:r>
    </w:p>
    <w:p w14:paraId="77120D3C" w14:textId="77777777" w:rsidR="00957494" w:rsidRDefault="00957494" w:rsidP="00957494">
      <w:pPr>
        <w:pStyle w:val="DHHSbody"/>
      </w:pPr>
      <w:r>
        <w:t>During 2017–18 there were 20,536 hospitalisations of adults for mental illness in a public hospital, an increase of 6.7 per cent from last year. The most common diagnoses were schizophrenia and mood disorders such as depression and bipolar disorder. Stress and adjustment disorders were the third most common group of illnesses.</w:t>
      </w:r>
    </w:p>
    <w:p w14:paraId="38B735DB" w14:textId="4BF68BCF" w:rsidR="00957494" w:rsidRDefault="00957494" w:rsidP="00957494">
      <w:pPr>
        <w:pStyle w:val="DHHSbody"/>
      </w:pPr>
      <w:r>
        <w:t>There has been a slight downward trend in compulsory admissions to 55.4 per cent in 2017–18; however, the average duration of a period of compulsory treatment for adults has risen from</w:t>
      </w:r>
      <w:r w:rsidR="006E796A">
        <w:t xml:space="preserve"> </w:t>
      </w:r>
      <w:r>
        <w:t>64.6 in 2016–17 to 76.8 days. It is not clear why the duration of compulsory treatment is rising, and this will be further reviewed during 2018–19.</w:t>
      </w:r>
    </w:p>
    <w:p w14:paraId="14D89035" w14:textId="526616B2" w:rsidR="00957494" w:rsidRDefault="00957494" w:rsidP="00957494">
      <w:pPr>
        <w:pStyle w:val="DHHSbody"/>
      </w:pPr>
      <w:r>
        <w:t>Although the number of hospitalisations has increased, the trimmed length of stay for adults is continuing to trend downwards from</w:t>
      </w:r>
      <w:r w:rsidR="00C029E2">
        <w:t xml:space="preserve"> </w:t>
      </w:r>
      <w:r>
        <w:t>9.5 days last year to 9.1 days in 2017–18. People who stayed longer than 35 days accounted for 10 per cent of all adult inpatient bed days. This has been consistent over the past three years. Bed occupancy for adult inpatient services remains high at 95 per cent, a level that has been sustained for several years.</w:t>
      </w:r>
    </w:p>
    <w:p w14:paraId="59159C47" w14:textId="77777777" w:rsidR="00957494" w:rsidRDefault="00957494" w:rsidP="00957494">
      <w:pPr>
        <w:pStyle w:val="DHHSbody"/>
      </w:pPr>
      <w:r>
        <w:t>The majority of people (60.2 per cent) who became inpatients had contact with a community service before they were admitted to hospital.</w:t>
      </w:r>
    </w:p>
    <w:p w14:paraId="1F73F9ED" w14:textId="7506B86B" w:rsidR="00957494" w:rsidRDefault="00957494" w:rsidP="00957494">
      <w:pPr>
        <w:pStyle w:val="DHHSbody"/>
      </w:pPr>
      <w:r>
        <w:lastRenderedPageBreak/>
        <w:t>The post-discharge follow-up rate was 88.5 per cent, although 14.4 per cent of people were</w:t>
      </w:r>
      <w:r w:rsidR="00C029E2">
        <w:t xml:space="preserve"> </w:t>
      </w:r>
      <w:r>
        <w:t>readmitted to hospital within 28 days of discharge. Pressure on beds for adults is evident and may result in shorter-than-optimal hospital stays,</w:t>
      </w:r>
      <w:r w:rsidR="00C029E2">
        <w:t xml:space="preserve"> </w:t>
      </w:r>
      <w:r>
        <w:t>with a higher risk of relapse and readmission.</w:t>
      </w:r>
    </w:p>
    <w:p w14:paraId="3F47AA67" w14:textId="68DCD00D" w:rsidR="00957494" w:rsidRDefault="006E796A" w:rsidP="006E796A">
      <w:pPr>
        <w:pStyle w:val="Heading3"/>
      </w:pPr>
      <w:r>
        <w:t>Clinical mental health services delivered in the community</w:t>
      </w:r>
    </w:p>
    <w:p w14:paraId="52EA5C97" w14:textId="614D12E1" w:rsidR="00957494" w:rsidRDefault="00957494" w:rsidP="00957494">
      <w:pPr>
        <w:pStyle w:val="DHHSbody"/>
      </w:pPr>
      <w:r>
        <w:t>The number of community contacts for 2017–18</w:t>
      </w:r>
      <w:r w:rsidR="006E796A">
        <w:t xml:space="preserve"> </w:t>
      </w:r>
      <w:r>
        <w:t>is reported to be 1,790,464, an ostensible increase of 50.5 per cent from what was reported last year. Service hours show an apparent increase</w:t>
      </w:r>
      <w:r w:rsidR="00C029E2">
        <w:t xml:space="preserve"> </w:t>
      </w:r>
      <w:r>
        <w:t>of 55.5 per cent. As noted earlier in this chapter, these ﬁgures largely reﬂect improved capture of service data, although there has been some increase in service provision.</w:t>
      </w:r>
    </w:p>
    <w:p w14:paraId="03EEF203" w14:textId="674CCDFA" w:rsidR="00957494" w:rsidRDefault="00957494" w:rsidP="00957494">
      <w:pPr>
        <w:pStyle w:val="DHHSbody"/>
      </w:pPr>
      <w:r>
        <w:t>Consistent with the previous four years, 14.9 per cent of adult clients receiving treatment in the community are on community treatment orders.</w:t>
      </w:r>
    </w:p>
    <w:p w14:paraId="0886D14E" w14:textId="72F8C56C" w:rsidR="006E796A" w:rsidRPr="006E796A" w:rsidRDefault="006E796A" w:rsidP="006E796A">
      <w:pPr>
        <w:pStyle w:val="DHHSbody"/>
        <w:rPr>
          <w:b/>
          <w:bCs/>
        </w:rPr>
      </w:pPr>
      <w:r w:rsidRPr="006E796A">
        <w:rPr>
          <w:b/>
          <w:bCs/>
        </w:rPr>
        <w:t>OUTCOME 14: Services are recovery-oriented, trauma-informed and family-inclusive</w:t>
      </w:r>
    </w:p>
    <w:p w14:paraId="7CCC1BB1" w14:textId="6BE7CC13" w:rsidR="00957494" w:rsidRDefault="006E796A" w:rsidP="006E796A">
      <w:pPr>
        <w:pStyle w:val="Heading3"/>
      </w:pPr>
      <w:r>
        <w:t>Prevention and recovery care</w:t>
      </w:r>
    </w:p>
    <w:p w14:paraId="27FD42B3" w14:textId="47807C38" w:rsidR="00957494" w:rsidRDefault="00957494" w:rsidP="00957494">
      <w:pPr>
        <w:pStyle w:val="DHHSbody"/>
      </w:pPr>
      <w:r>
        <w:t>PARC services provide short-term support in residential settings, generally providing care for up to 28 days when a person is either becoming unwell or is in the early stages</w:t>
      </w:r>
      <w:r w:rsidR="00C029E2">
        <w:t xml:space="preserve"> </w:t>
      </w:r>
      <w:r>
        <w:t>of recovery from an acute admission.</w:t>
      </w:r>
    </w:p>
    <w:p w14:paraId="747400B6" w14:textId="38BE77FB" w:rsidR="00957494" w:rsidRDefault="00957494" w:rsidP="00957494">
      <w:pPr>
        <w:pStyle w:val="DHHSbody"/>
      </w:pPr>
      <w:r>
        <w:t>Service activity is steady by comparison with last year – separations have increased fractionally, as have occupied bed days,</w:t>
      </w:r>
      <w:r w:rsidR="00C029E2">
        <w:t xml:space="preserve"> </w:t>
      </w:r>
      <w:r>
        <w:t>and bed occupancy is steady at 77.9 per cent.</w:t>
      </w:r>
    </w:p>
    <w:tbl>
      <w:tblPr>
        <w:tblStyle w:val="TableGrid"/>
        <w:tblW w:w="0" w:type="auto"/>
        <w:tblLook w:val="04A0" w:firstRow="1" w:lastRow="0" w:firstColumn="1" w:lastColumn="0" w:noHBand="0" w:noVBand="1"/>
      </w:tblPr>
      <w:tblGrid>
        <w:gridCol w:w="9184"/>
      </w:tblGrid>
      <w:tr w:rsidR="006E796A" w14:paraId="2F3A5CC8" w14:textId="77777777" w:rsidTr="006E796A">
        <w:tc>
          <w:tcPr>
            <w:tcW w:w="9292" w:type="dxa"/>
          </w:tcPr>
          <w:p w14:paraId="6D063953" w14:textId="77777777" w:rsidR="006E796A" w:rsidRDefault="006E796A" w:rsidP="006E796A">
            <w:pPr>
              <w:pStyle w:val="DHHSboxheading"/>
            </w:pPr>
            <w:r>
              <w:rPr>
                <w:w w:val="105"/>
              </w:rPr>
              <w:t>Prevention and recovery care units</w:t>
            </w:r>
          </w:p>
          <w:p w14:paraId="22D208BC" w14:textId="77777777" w:rsidR="006E796A" w:rsidRPr="006E796A" w:rsidRDefault="006E796A" w:rsidP="006E796A">
            <w:pPr>
              <w:pStyle w:val="DHHSbody"/>
            </w:pPr>
            <w:r w:rsidRPr="006E796A">
              <w:t xml:space="preserve">The Victorian Government is establishing more PARCs across the state as part of </w:t>
            </w:r>
            <w:r w:rsidRPr="006E796A">
              <w:rPr>
                <w:i/>
                <w:iCs/>
              </w:rPr>
              <w:t xml:space="preserve">Victoria’s 10-year mental health plan </w:t>
            </w:r>
            <w:r w:rsidRPr="006E796A">
              <w:t>implementation.</w:t>
            </w:r>
          </w:p>
          <w:p w14:paraId="6B3DEDF5" w14:textId="008BC39D" w:rsidR="006E796A" w:rsidRPr="006E796A" w:rsidRDefault="006E796A" w:rsidP="006E796A">
            <w:pPr>
              <w:pStyle w:val="DHHSbody"/>
            </w:pPr>
            <w:r w:rsidRPr="006E796A">
              <w:t>A new PARC in Warrnambool opened in late 2017, and planning is underway for new PARCs in Ballarat and Mildura. A further $11.9 million is being invested to build a new 20-bed</w:t>
            </w:r>
            <w:r>
              <w:t xml:space="preserve"> </w:t>
            </w:r>
            <w:r w:rsidRPr="006E796A">
              <w:t>PARC for young people with a mental illness, focusing on early intervention and tailored support.</w:t>
            </w:r>
          </w:p>
          <w:p w14:paraId="50F702FC" w14:textId="1934793D" w:rsidR="006E796A" w:rsidRDefault="006E796A" w:rsidP="006E796A">
            <w:pPr>
              <w:pStyle w:val="DHHSbody"/>
            </w:pPr>
            <w:r w:rsidRPr="006E796A">
              <w:t>PARCs deliver a unique, home-like setting where people with mental illness can get the support they need to successfully resume their lives in the community. They provide short-term residential treatment programs focussed on early intervention for people who</w:t>
            </w:r>
            <w:r>
              <w:t xml:space="preserve"> </w:t>
            </w:r>
            <w:r w:rsidRPr="006E796A">
              <w:t>are becoming unwell and for people who are in the early stages of recovery from an episode of acute illness.</w:t>
            </w:r>
          </w:p>
        </w:tc>
      </w:tr>
    </w:tbl>
    <w:p w14:paraId="424A3F00" w14:textId="71DD9523" w:rsidR="00957494" w:rsidRDefault="00CE0FA2" w:rsidP="006E796A">
      <w:pPr>
        <w:pStyle w:val="Heading3"/>
      </w:pPr>
      <w:r>
        <w:t>Adult residential services</w:t>
      </w:r>
    </w:p>
    <w:p w14:paraId="37299B44" w14:textId="540C3386" w:rsidR="00957494" w:rsidRDefault="00957494" w:rsidP="00957494">
      <w:pPr>
        <w:pStyle w:val="DHHSbody"/>
      </w:pPr>
      <w:r>
        <w:t>Residential services provide homelike environments for people with mental illness. There were 649 separations from community care units in 2017–18, similar to</w:t>
      </w:r>
      <w:r w:rsidR="006E796A">
        <w:t xml:space="preserve"> </w:t>
      </w:r>
      <w:r>
        <w:t>last year. Occupied bed days rose slightly and bed occupancy was steady at 78.9 per cent.</w:t>
      </w:r>
    </w:p>
    <w:p w14:paraId="52365845" w14:textId="77777777" w:rsidR="00957494" w:rsidRDefault="00957494" w:rsidP="00957494">
      <w:pPr>
        <w:pStyle w:val="DHHSbody"/>
      </w:pPr>
      <w:r>
        <w:t>Other residential services, including those providing accommodation for people with brain disorders and borderline personality disorder, also showed little change in service activity from the previous year.</w:t>
      </w:r>
    </w:p>
    <w:p w14:paraId="09E51D5F" w14:textId="1CBD24B5" w:rsidR="00957494" w:rsidRDefault="00CE0FA2" w:rsidP="006E796A">
      <w:pPr>
        <w:pStyle w:val="Heading3"/>
      </w:pPr>
      <w:r>
        <w:t>Secure extended care units</w:t>
      </w:r>
    </w:p>
    <w:p w14:paraId="35A471DF" w14:textId="77777777" w:rsidR="00957494" w:rsidRDefault="00957494" w:rsidP="00957494">
      <w:pPr>
        <w:pStyle w:val="DHHSbody"/>
      </w:pPr>
      <w:r>
        <w:t>Secure extended care units provide inpatient services for people who need a high level of secure and intensive clinical treatment for severe mental illness. There were 222 separations from these units in 2017–18, similar to the prior year.</w:t>
      </w:r>
    </w:p>
    <w:p w14:paraId="00B13FDF" w14:textId="77777777" w:rsidR="00957494" w:rsidRDefault="00957494" w:rsidP="00957494">
      <w:pPr>
        <w:pStyle w:val="DHHSbody"/>
      </w:pPr>
      <w:r>
        <w:t>Occupied bed days increased by 4.1 per cent, and bed occupancy fell a little, remaining high at 89.5 per cent.</w:t>
      </w:r>
    </w:p>
    <w:p w14:paraId="3C1E7D48" w14:textId="28996E19" w:rsidR="00957494" w:rsidRDefault="00CE0FA2" w:rsidP="006E796A">
      <w:pPr>
        <w:pStyle w:val="Heading2"/>
      </w:pPr>
      <w:bookmarkStart w:id="23" w:name="_Toc28340163"/>
      <w:r>
        <w:lastRenderedPageBreak/>
        <w:t>Aged persons mental health services</w:t>
      </w:r>
      <w:bookmarkEnd w:id="23"/>
    </w:p>
    <w:p w14:paraId="6C362B39" w14:textId="31D26398" w:rsidR="00957494" w:rsidRPr="00CE0FA2" w:rsidRDefault="00957494" w:rsidP="00957494">
      <w:pPr>
        <w:pStyle w:val="DHHSbody"/>
        <w:rPr>
          <w:b/>
          <w:bCs/>
        </w:rPr>
      </w:pPr>
      <w:r w:rsidRPr="00CE0FA2">
        <w:rPr>
          <w:b/>
          <w:bCs/>
        </w:rPr>
        <w:t>8,279</w:t>
      </w:r>
      <w:r w:rsidR="00C029E2" w:rsidRPr="00CE0FA2">
        <w:rPr>
          <w:b/>
          <w:bCs/>
        </w:rPr>
        <w:t xml:space="preserve"> </w:t>
      </w:r>
      <w:r w:rsidRPr="00CE0FA2">
        <w:rPr>
          <w:b/>
          <w:bCs/>
        </w:rPr>
        <w:t>aged clients</w:t>
      </w:r>
    </w:p>
    <w:p w14:paraId="2D66BB83" w14:textId="0EC5CDC8" w:rsidR="00957494" w:rsidRPr="00CE0FA2" w:rsidRDefault="00957494" w:rsidP="00957494">
      <w:pPr>
        <w:pStyle w:val="DHHSbody"/>
        <w:rPr>
          <w:b/>
          <w:bCs/>
        </w:rPr>
      </w:pPr>
      <w:r w:rsidRPr="00CE0FA2">
        <w:rPr>
          <w:b/>
          <w:bCs/>
        </w:rPr>
        <w:t>2,494 hospitalisations</w:t>
      </w:r>
    </w:p>
    <w:p w14:paraId="4471D6C8" w14:textId="4539B086" w:rsidR="00957494" w:rsidRPr="00CE0FA2" w:rsidRDefault="00957494" w:rsidP="00957494">
      <w:pPr>
        <w:pStyle w:val="DHHSbody"/>
        <w:rPr>
          <w:b/>
          <w:bCs/>
        </w:rPr>
      </w:pPr>
      <w:r w:rsidRPr="00CE0FA2">
        <w:rPr>
          <w:b/>
          <w:bCs/>
        </w:rPr>
        <w:t>243,721 community contacts</w:t>
      </w:r>
    </w:p>
    <w:p w14:paraId="45EBB8CF" w14:textId="77777777" w:rsidR="00957494" w:rsidRDefault="00957494" w:rsidP="00957494">
      <w:pPr>
        <w:pStyle w:val="DHHSbody"/>
      </w:pPr>
      <w:r>
        <w:t>The number of aged clients using public mental health services grew by 12.3 per cent in 2017–18 to 8,279. Most of this group had previous contact with mental health services, with a minority (37.9 per cent) being new clients.</w:t>
      </w:r>
    </w:p>
    <w:p w14:paraId="3498EE90" w14:textId="233AF7C9" w:rsidR="00957494" w:rsidRDefault="00957494" w:rsidP="00957494">
      <w:pPr>
        <w:pStyle w:val="DHHSbody"/>
      </w:pPr>
      <w:r>
        <w:t>During the year there were 2,494 hospitalisations of Victorians aged 65 years or older in acute inpatient services. Bed occupancy has slightly increased over the past three years to 86.9 per cent. The trimmed average length of stay is trending downwards slightly to 15.5 days, but this remains much longer than the adult length of stay. People who were inpatients for more than 35 days accounted for more than one in four (26 per cent) of all aged persons’ bed days. Some</w:t>
      </w:r>
      <w:r w:rsidR="00CE0FA2">
        <w:t xml:space="preserve"> </w:t>
      </w:r>
      <w:r>
        <w:t>of these ﬁgures reﬂect the need to ﬁnd safe and appropriate accommodation, or to put in place appropriate discharge supports for elderly unwell people.</w:t>
      </w:r>
    </w:p>
    <w:p w14:paraId="6A04C893" w14:textId="64DA3593" w:rsidR="00957494" w:rsidRDefault="00957494" w:rsidP="00957494">
      <w:pPr>
        <w:pStyle w:val="DHHSbody"/>
      </w:pPr>
      <w:r>
        <w:t>The preadmission contact rate for aged persons is the highest of all client groups at 65 per cent. Almost half (46.9 per cent) of admissions were compulsory, and this has been fairly stable over the past four years. The post-discharge follow-up rate was 93.2 per cent, again the highest of all groups.</w:t>
      </w:r>
    </w:p>
    <w:p w14:paraId="5CF5DDBE" w14:textId="180D0D0E" w:rsidR="00957494" w:rsidRDefault="00957494" w:rsidP="00957494">
      <w:pPr>
        <w:pStyle w:val="DHHSbody"/>
      </w:pPr>
      <w:r>
        <w:t>Aged care residential services (hostels and nursing homes) are provided for people with high levels of persistent cognitive, emotional or</w:t>
      </w:r>
      <w:r w:rsidR="00CE0FA2">
        <w:t xml:space="preserve"> </w:t>
      </w:r>
      <w:r>
        <w:t>behavioural disturbance. For these services there were 237 separations in 2017–18, similar to last year, and the bed occupancy rate was steady at</w:t>
      </w:r>
      <w:r w:rsidR="00CE0FA2">
        <w:t xml:space="preserve"> </w:t>
      </w:r>
      <w:r>
        <w:t>84.2 per cent. They provided 150,635 occupied bed days, fractionally down from 2016–17.</w:t>
      </w:r>
    </w:p>
    <w:p w14:paraId="7AB659E7" w14:textId="1E714B24" w:rsidR="00957494" w:rsidRDefault="00957494" w:rsidP="00957494">
      <w:pPr>
        <w:pStyle w:val="DHHSbody"/>
      </w:pPr>
      <w:r>
        <w:t>There were 243,721 community contacts in 2017–18, an apparent increase of 44.4 per cent. Service hours are reported to have increased by 46.1 per cent. The increase in client numbers suggests there would be some associated increase in contacts and service hours; however, the size of the change indicates that most of this reported increase is due to improved data capture.</w:t>
      </w:r>
    </w:p>
    <w:p w14:paraId="40A3EA5B" w14:textId="03A3ECC3" w:rsidR="00957494" w:rsidRDefault="00CE0FA2" w:rsidP="006E796A">
      <w:pPr>
        <w:pStyle w:val="Heading2"/>
      </w:pPr>
      <w:bookmarkStart w:id="24" w:name="_Toc28340164"/>
      <w:r>
        <w:t>Specialist mental health services</w:t>
      </w:r>
      <w:bookmarkEnd w:id="24"/>
    </w:p>
    <w:p w14:paraId="608A5F69" w14:textId="7EFBA555" w:rsidR="00957494" w:rsidRPr="00CE0FA2" w:rsidRDefault="00957494" w:rsidP="00957494">
      <w:pPr>
        <w:pStyle w:val="DHHSbody"/>
        <w:rPr>
          <w:b/>
          <w:bCs/>
        </w:rPr>
      </w:pPr>
      <w:r w:rsidRPr="00CE0FA2">
        <w:rPr>
          <w:b/>
          <w:bCs/>
        </w:rPr>
        <w:t>2,184 clients</w:t>
      </w:r>
    </w:p>
    <w:p w14:paraId="0B634A6C" w14:textId="220A8394" w:rsidR="00957494" w:rsidRPr="00CE0FA2" w:rsidRDefault="00957494" w:rsidP="00957494">
      <w:pPr>
        <w:pStyle w:val="DHHSbody"/>
        <w:rPr>
          <w:b/>
          <w:bCs/>
        </w:rPr>
      </w:pPr>
      <w:r w:rsidRPr="00CE0FA2">
        <w:rPr>
          <w:b/>
          <w:bCs/>
        </w:rPr>
        <w:t>20% increase since 2016</w:t>
      </w:r>
      <w:r w:rsidR="00CE0FA2" w:rsidRPr="00CE0FA2">
        <w:rPr>
          <w:b/>
          <w:bCs/>
        </w:rPr>
        <w:t>–</w:t>
      </w:r>
      <w:r w:rsidRPr="00CE0FA2">
        <w:rPr>
          <w:b/>
          <w:bCs/>
        </w:rPr>
        <w:t>17</w:t>
      </w:r>
    </w:p>
    <w:p w14:paraId="0A8A4B3F" w14:textId="5EE32B66" w:rsidR="00957494" w:rsidRDefault="00957494" w:rsidP="00957494">
      <w:pPr>
        <w:pStyle w:val="DHHSbody"/>
      </w:pPr>
      <w:r>
        <w:t>A range of specialist mental health services provide highly speciﬁc treatment and care to Victorians with severe and complex mental illnesses. These services include mother and baby mental health services, a personality disorder service (Spectrum), eating disorder services and a dual disability service (for people with both mental illness and an intellectual disability or autism spectrum</w:t>
      </w:r>
      <w:r w:rsidR="00CE0FA2">
        <w:t xml:space="preserve"> </w:t>
      </w:r>
      <w:r>
        <w:t>disorder). For a full summary of Victoria’s mental health service system, including a list of specialist mental health services, please see Appendix 3.</w:t>
      </w:r>
    </w:p>
    <w:p w14:paraId="3E2E1F26" w14:textId="16912DD1" w:rsidR="00957494" w:rsidRDefault="00957494" w:rsidP="00957494">
      <w:pPr>
        <w:pStyle w:val="DHHSbody"/>
      </w:pPr>
      <w:r>
        <w:t>The number of specialist clients rose by almost 20 per cent in 2017–18, to 2,184. Service contacts increased by 7.8 per cent and service hours by 5.7 per cent. There were 958 hospitalisations, an increase of 3.9 per cent. The trimmed average length of stay (&lt; 35 days) is trending slightly downwards to 15.3 days but is substantially longer than the comparable ﬁgure for adults.</w:t>
      </w:r>
    </w:p>
    <w:p w14:paraId="0A6DD252" w14:textId="77777777" w:rsidR="00957494" w:rsidRDefault="00957494" w:rsidP="00957494">
      <w:pPr>
        <w:pStyle w:val="DHHSbody"/>
      </w:pPr>
      <w:r>
        <w:t>People who were inpatients for more than 35 days accounted for 13 per cent of all specialist bed days, with a downward trend in recent years.</w:t>
      </w:r>
    </w:p>
    <w:p w14:paraId="1930E212" w14:textId="4561F520" w:rsidR="00957494" w:rsidRDefault="00957494" w:rsidP="00957494">
      <w:pPr>
        <w:pStyle w:val="DHHSbody"/>
      </w:pPr>
      <w:r>
        <w:t>Preadmission contacts and post-discharge follow-ups have improved this year, but rates remain low at 38.5 per cent and 53.8 per cent respectively. Readmissions within 28 days are rare, with a rate of 1.2 per cent for 2017–18.</w:t>
      </w:r>
    </w:p>
    <w:p w14:paraId="035D86C3" w14:textId="77777777" w:rsidR="00957494" w:rsidRDefault="00957494" w:rsidP="00957494">
      <w:pPr>
        <w:pStyle w:val="DHHSbody"/>
      </w:pPr>
      <w:r>
        <w:lastRenderedPageBreak/>
        <w:t>Admitted acute occupied bed days fell by four per cent, and the bed occupancy rate, which is trending slightly downwards, was 64.9 per cent. There are a small number of specialist residential beds, and bed occupancy for these services is substantially higher at 88.6 per cent, consistent with previous years.</w:t>
      </w:r>
    </w:p>
    <w:p w14:paraId="5D7E3E2C" w14:textId="25BD54DD" w:rsidR="00957494" w:rsidRDefault="00CE0FA2" w:rsidP="00CE0FA2">
      <w:pPr>
        <w:pStyle w:val="Heading2"/>
      </w:pPr>
      <w:bookmarkStart w:id="25" w:name="_Toc28340165"/>
      <w:r>
        <w:t>Forensic mental health services</w:t>
      </w:r>
      <w:bookmarkEnd w:id="25"/>
    </w:p>
    <w:p w14:paraId="3537252D" w14:textId="1FB049D7" w:rsidR="00957494" w:rsidRPr="00CE0FA2" w:rsidRDefault="00957494" w:rsidP="00957494">
      <w:pPr>
        <w:pStyle w:val="DHHSbody"/>
        <w:rPr>
          <w:b/>
          <w:bCs/>
        </w:rPr>
      </w:pPr>
      <w:r w:rsidRPr="00CE0FA2">
        <w:rPr>
          <w:b/>
          <w:bCs/>
        </w:rPr>
        <w:t>873 clients</w:t>
      </w:r>
    </w:p>
    <w:p w14:paraId="049FB4D1" w14:textId="2677C547" w:rsidR="00957494" w:rsidRPr="00CE0FA2" w:rsidRDefault="00957494" w:rsidP="00957494">
      <w:pPr>
        <w:pStyle w:val="DHHSbody"/>
        <w:rPr>
          <w:b/>
          <w:bCs/>
        </w:rPr>
      </w:pPr>
      <w:r w:rsidRPr="00CE0FA2">
        <w:rPr>
          <w:b/>
          <w:bCs/>
        </w:rPr>
        <w:t>19,647 community contacts</w:t>
      </w:r>
    </w:p>
    <w:p w14:paraId="593FD928" w14:textId="77777777" w:rsidR="00957494" w:rsidRDefault="00957494" w:rsidP="00957494">
      <w:pPr>
        <w:pStyle w:val="DHHSbody"/>
      </w:pPr>
      <w:r>
        <w:t>Forensic mental health services provide assessment and treatment for people with mental illness or disorders and a history of involvement with the criminal justice system. The increasing number of forensic clients reﬂects greater investment in these services, which often provide long-term engagement. Depending on clinical need, treatment may occur within prison, in the community or in a secure inpatient setting at the Thomas Embling Hospital in Fairﬁeld.</w:t>
      </w:r>
    </w:p>
    <w:p w14:paraId="693BC178" w14:textId="14E66507" w:rsidR="00957494" w:rsidRDefault="00957494" w:rsidP="00957494">
      <w:pPr>
        <w:pStyle w:val="DHHSbody"/>
      </w:pPr>
      <w:r>
        <w:t>The number of clients increased by 16.2 per cent to 873 in 2017–18. There were 96 separations</w:t>
      </w:r>
      <w:r w:rsidR="00CE0FA2">
        <w:t xml:space="preserve"> </w:t>
      </w:r>
      <w:r>
        <w:t>of people from acute forensic mental health inpatient units during the year, which is consistent with the previous year. Pressure on forensic inpatient beds remains high, with a bed occupancy rate of 96.6 per cent. People who were inpatients for more than 35 days accounted for</w:t>
      </w:r>
      <w:r w:rsidR="00CE0FA2">
        <w:t xml:space="preserve"> </w:t>
      </w:r>
      <w:r>
        <w:t>84.9</w:t>
      </w:r>
      <w:r w:rsidR="00CE0FA2">
        <w:t xml:space="preserve"> </w:t>
      </w:r>
      <w:r>
        <w:t>per cent of all forensic bed days. Community contacts have risen by 13.8 per cent and service hours by 14.7 per cent.</w:t>
      </w:r>
    </w:p>
    <w:p w14:paraId="1911D7FB" w14:textId="6EF3220B" w:rsidR="00957494" w:rsidRDefault="00957494" w:rsidP="00957494">
      <w:pPr>
        <w:pStyle w:val="DHHSbody"/>
      </w:pPr>
      <w:r>
        <w:t>Forensic clients have the longest average duration of compulsory treatment, at 87.3 days. This part of the service system has the lowest proportion of new clients at 23.3 per cent – most have had some prior interaction with services in the preceding ﬁve years.</w:t>
      </w:r>
    </w:p>
    <w:p w14:paraId="5C97788C" w14:textId="77777777" w:rsidR="00957494" w:rsidRDefault="00957494" w:rsidP="00957494">
      <w:pPr>
        <w:pStyle w:val="DHHSbody"/>
      </w:pPr>
      <w:r>
        <w:t>Unregistered client hours are the highest for any group at 58.6 per cent. Services such as Mental Health Court Liaison, a court-based assessment and advice service, do not register their clients because the interventions provided are brief and do not constitute ongoing treatment. The aims of Mental Health Court Liaison include:</w:t>
      </w:r>
    </w:p>
    <w:p w14:paraId="39F86DD3" w14:textId="640B839F" w:rsidR="00957494" w:rsidRDefault="00957494" w:rsidP="00E61DAD">
      <w:pPr>
        <w:pStyle w:val="DHHSbullet1"/>
      </w:pPr>
      <w:r>
        <w:t>diverting offenders with a mental illness from the criminal justice system into appropriate mental health treatment</w:t>
      </w:r>
    </w:p>
    <w:p w14:paraId="0A99FEC3" w14:textId="3407EC8E" w:rsidR="00957494" w:rsidRDefault="00957494" w:rsidP="00E61DAD">
      <w:pPr>
        <w:pStyle w:val="DHHSbullet1"/>
      </w:pPr>
      <w:r>
        <w:t>ensuring timely advice is provided to magistrates regarding the mental health of people appearing before the court</w:t>
      </w:r>
    </w:p>
    <w:p w14:paraId="50CF40C7" w14:textId="4FA98716" w:rsidR="00957494" w:rsidRDefault="00957494" w:rsidP="00E61DAD">
      <w:pPr>
        <w:pStyle w:val="DHHSbullet1lastline"/>
      </w:pPr>
      <w:r>
        <w:t>reducing rates of recidivism in offenders with a mental illness through facilitating access to appropriate mental health treatment services.</w:t>
      </w:r>
    </w:p>
    <w:p w14:paraId="032DB060" w14:textId="570552D9" w:rsidR="00957494" w:rsidRDefault="00957494" w:rsidP="00957494">
      <w:pPr>
        <w:pStyle w:val="DHHSbody"/>
      </w:pPr>
      <w:r>
        <w:t>The service is available at seven Magistrates’ Courts in metropolitan Melbourne and ﬁve rural Magistrates’ Courts.</w:t>
      </w:r>
    </w:p>
    <w:p w14:paraId="0AD3F652" w14:textId="4ACF0E4E" w:rsidR="00957494" w:rsidRDefault="00CE0FA2" w:rsidP="00CE0FA2">
      <w:pPr>
        <w:pStyle w:val="Heading2"/>
      </w:pPr>
      <w:bookmarkStart w:id="26" w:name="_Toc28340166"/>
      <w:r>
        <w:t>Seclusion and restraint</w:t>
      </w:r>
      <w:bookmarkEnd w:id="26"/>
    </w:p>
    <w:p w14:paraId="009D580D" w14:textId="77777777" w:rsidR="00957494" w:rsidRDefault="00957494" w:rsidP="00957494">
      <w:pPr>
        <w:pStyle w:val="DHHSbody"/>
      </w:pPr>
      <w:r>
        <w:t>Mental health services in Victoria continue to work towards eliminating restrictive interventions. Data on restraint is continuing to develop, and public reporting enables services to review their individual results against state and national rates and those for like services, supporting service reform and quality improvement agendas. This year, the duration of seclusion and restraint is included in the annual report as it has a strong bearing on consumers’ experiences of these practices.</w:t>
      </w:r>
    </w:p>
    <w:p w14:paraId="671CBC47" w14:textId="27248AF3" w:rsidR="00957494" w:rsidRDefault="00957494" w:rsidP="00957494">
      <w:pPr>
        <w:pStyle w:val="DHHSbody"/>
      </w:pPr>
      <w:r>
        <w:t>The rate of seclusion has dropped fractionally this year to 9.7 episodes per 1,000 occupied bed days. The average duration has also reduced a little to</w:t>
      </w:r>
      <w:r w:rsidR="00CE0FA2">
        <w:t xml:space="preserve"> </w:t>
      </w:r>
      <w:r>
        <w:t>16.7 hours. This ﬁgure is skewed by the inclusion of forensic patients, for whom the average duration of seclusion is 48.5 hours. The corresponding ﬁgure for adults is 8.8 hours, reduced from 9.6 hours the previous year.</w:t>
      </w:r>
    </w:p>
    <w:p w14:paraId="63D43CBD" w14:textId="7403DF37" w:rsidR="00957494" w:rsidRDefault="00957494" w:rsidP="00957494">
      <w:pPr>
        <w:pStyle w:val="DHHSbody"/>
      </w:pPr>
      <w:r>
        <w:t>The bodily restraint rate has ﬂuctuated over the past three years. After dropping from 25.6 to 19.0 episodes per 1,000 occupied bed days in 2016–17, it has rebounded to 22.6 in 2017–18. The</w:t>
      </w:r>
      <w:r w:rsidR="00CE0FA2">
        <w:t xml:space="preserve"> </w:t>
      </w:r>
      <w:r>
        <w:t xml:space="preserve">average </w:t>
      </w:r>
      <w:r>
        <w:lastRenderedPageBreak/>
        <w:t>duration of restraint, however, is trending downwards – in 2017–18 the average duration of restraint was 18 minutes.</w:t>
      </w:r>
    </w:p>
    <w:tbl>
      <w:tblPr>
        <w:tblStyle w:val="TableGrid"/>
        <w:tblW w:w="0" w:type="auto"/>
        <w:tblLook w:val="04A0" w:firstRow="1" w:lastRow="0" w:firstColumn="1" w:lastColumn="0" w:noHBand="0" w:noVBand="1"/>
      </w:tblPr>
      <w:tblGrid>
        <w:gridCol w:w="9184"/>
      </w:tblGrid>
      <w:tr w:rsidR="00CE0FA2" w14:paraId="277CE47C" w14:textId="77777777" w:rsidTr="00CE0FA2">
        <w:tc>
          <w:tcPr>
            <w:tcW w:w="9292" w:type="dxa"/>
          </w:tcPr>
          <w:p w14:paraId="7876E51C" w14:textId="51A76F5E" w:rsidR="00CE0FA2" w:rsidRDefault="00CE0FA2" w:rsidP="00CE0FA2">
            <w:pPr>
              <w:pStyle w:val="DHHSboxheading"/>
            </w:pPr>
            <w:r>
              <w:t>Lynda’s reflection on caring for her son, self-care and spirituality</w:t>
            </w:r>
          </w:p>
          <w:p w14:paraId="044051FF" w14:textId="77777777" w:rsidR="00CE0FA2" w:rsidRDefault="00CE0FA2" w:rsidP="00CE0FA2">
            <w:pPr>
              <w:pStyle w:val="DHHSbody"/>
            </w:pPr>
            <w:r>
              <w:t>As I reﬂect on the past 14 years of caring for my son, I am often amazed that I have come through the myriad challenges that this role has asked of me. How is it that I have maintained a level of mental health in the face of my adult son’s chronic mental illness, which has created such chaos, confusion and distress for him and the entire family?</w:t>
            </w:r>
          </w:p>
          <w:p w14:paraId="329649A0" w14:textId="77777777" w:rsidR="00CE0FA2" w:rsidRDefault="00CE0FA2" w:rsidP="00CE0FA2">
            <w:pPr>
              <w:pStyle w:val="DHHSbody"/>
            </w:pPr>
            <w:r>
              <w:t>In darker moments, I wonder: ‘Have I truly maintained my mental health?’ It could have been so easily lost in the midst of dozens of crisis points in my son’s life and a multitude of hospitalisations. There have been times when I skirted depression and burn-out, as the symptoms of his illness and day-to-day needs nearly overwhelmed me.</w:t>
            </w:r>
          </w:p>
          <w:p w14:paraId="4A935C7C" w14:textId="77777777" w:rsidR="00CE0FA2" w:rsidRDefault="00CE0FA2" w:rsidP="00CE0FA2">
            <w:pPr>
              <w:pStyle w:val="DHHSbody"/>
            </w:pPr>
            <w:r>
              <w:t>Yet, in my quiet moments late at night, I know where my strength and resilience come from, and from what ‘deep well’ I seek them. It is in my spiritual practice – something I actually cherish ‘practising’ daily – that strength is restored, patience is mined and gratitude is reclaimed.</w:t>
            </w:r>
          </w:p>
          <w:p w14:paraId="124FE754" w14:textId="77777777" w:rsidR="00CE0FA2" w:rsidRDefault="00CE0FA2" w:rsidP="00CE0FA2">
            <w:pPr>
              <w:pStyle w:val="DHHSbody"/>
            </w:pPr>
            <w:r>
              <w:t>I ﬁnd that as I make time for contemplating and being grateful for all that life is, I am drawn into greater hope for all that life can be. I retain faith in my son’s ability to enjoy his life, to be supported by those who love him, and in turn to express his joy and love to others.</w:t>
            </w:r>
          </w:p>
          <w:p w14:paraId="1E6A32AC" w14:textId="77777777" w:rsidR="00CE0FA2" w:rsidRDefault="00CE0FA2" w:rsidP="00CE0FA2">
            <w:pPr>
              <w:pStyle w:val="DHHSbody"/>
            </w:pPr>
            <w:r>
              <w:t xml:space="preserve">Seldom, if ever, do we hear the words ‘love’ and ‘joy’ spoken of within the mental health system. I’ve never encountered them in a report, a policy, a call to action or a lecture. And yet, they are as fundamental to our mental wellbeing as any mental health service, program, initiative or reform can be. I’ve really found </w:t>
            </w:r>
            <w:r w:rsidRPr="00235E13">
              <w:rPr>
                <w:i/>
              </w:rPr>
              <w:t xml:space="preserve">Heart and soul matters: A guide to providing spiritual care in mental health settings </w:t>
            </w:r>
            <w:r>
              <w:t>valuable. There are wise words in it that will resonate with many.</w:t>
            </w:r>
          </w:p>
          <w:p w14:paraId="4969A224" w14:textId="77777777" w:rsidR="00CE0FA2" w:rsidRDefault="00CE0FA2" w:rsidP="00957494">
            <w:pPr>
              <w:pStyle w:val="DHHSbody"/>
            </w:pPr>
            <w:r>
              <w:t>As I deepen my spiritual practice, which is my form of self-care, I can more readily experience all that is unique, surprising and gifted about my son. I see the effect of his life experiences on others, and how they are able to access a greater compassion in themselves. Somehow, we are all ‘shored up’ in this process. It is spirituality in action.</w:t>
            </w:r>
          </w:p>
          <w:p w14:paraId="16752799" w14:textId="38F00798" w:rsidR="00CE0FA2" w:rsidRDefault="00CE0FA2" w:rsidP="00957494">
            <w:pPr>
              <w:pStyle w:val="DHHSbody"/>
            </w:pPr>
            <w:r>
              <w:t>For more information, visit the Spiritual Health Victoria website &lt;http://www.spiritualhealthvictoria.org.au/&gt;</w:t>
            </w:r>
          </w:p>
        </w:tc>
      </w:tr>
    </w:tbl>
    <w:p w14:paraId="59D5C2F9" w14:textId="77777777" w:rsidR="00CE59EB" w:rsidRPr="00CA3CF5" w:rsidRDefault="00CE59EB">
      <w:pPr>
        <w:rPr>
          <w:rFonts w:ascii="Arial" w:hAnsi="Arial"/>
          <w:bCs/>
          <w:sz w:val="44"/>
          <w:szCs w:val="44"/>
        </w:rPr>
      </w:pPr>
      <w:r>
        <w:rPr>
          <w:color w:val="FF0000"/>
        </w:rPr>
        <w:br w:type="page"/>
      </w:r>
    </w:p>
    <w:p w14:paraId="71B791AE" w14:textId="59C4559E" w:rsidR="001371FD" w:rsidRPr="00957494" w:rsidRDefault="00256B40" w:rsidP="00CE0FA2">
      <w:pPr>
        <w:pStyle w:val="Heading1"/>
      </w:pPr>
      <w:bookmarkStart w:id="27" w:name="_Toc28340167"/>
      <w:r w:rsidRPr="00957494">
        <w:lastRenderedPageBreak/>
        <w:t xml:space="preserve">Appendix </w:t>
      </w:r>
      <w:r w:rsidR="007B1263" w:rsidRPr="00957494">
        <w:t xml:space="preserve">1: </w:t>
      </w:r>
      <w:r w:rsidR="00CE0FA2">
        <w:t>O</w:t>
      </w:r>
      <w:r w:rsidRPr="00957494">
        <w:t>utcomes framework</w:t>
      </w:r>
      <w:bookmarkEnd w:id="27"/>
    </w:p>
    <w:p w14:paraId="7A5CF0DD" w14:textId="3F5A9AA8" w:rsidR="00CE0FA2" w:rsidRPr="00CE0FA2" w:rsidRDefault="00CE0FA2" w:rsidP="00CE0FA2">
      <w:pPr>
        <w:pStyle w:val="DHHSbody"/>
      </w:pPr>
      <w:r w:rsidRPr="00CE0FA2">
        <w:t xml:space="preserve">For the ﬁrst time this year, the suite of indicators established for the </w:t>
      </w:r>
      <w:r w:rsidRPr="00235E13">
        <w:rPr>
          <w:i/>
        </w:rPr>
        <w:t>Victoria’s 10-year mental health plan</w:t>
      </w:r>
      <w:r w:rsidRPr="00CE0FA2">
        <w:t xml:space="preserve"> outcomes framework shows a time series. There are some reporting challenges because data is not always available or comparable</w:t>
      </w:r>
      <w:r>
        <w:t xml:space="preserve"> </w:t>
      </w:r>
      <w:r w:rsidRPr="00CE0FA2">
        <w:t>for three consecutive years. Nonetheless, it is helpful to see a picture over time.</w:t>
      </w:r>
    </w:p>
    <w:p w14:paraId="10CDF912" w14:textId="777948B8" w:rsidR="00CE0FA2" w:rsidRPr="00CE0FA2" w:rsidRDefault="00CE0FA2" w:rsidP="00CE0FA2">
      <w:pPr>
        <w:pStyle w:val="DHHSbody"/>
      </w:pPr>
      <w:r w:rsidRPr="00CE0FA2">
        <w:t>No new indicators have been added to the outcomes framework in 2017–18, although</w:t>
      </w:r>
      <w:r w:rsidR="008A0593">
        <w:t xml:space="preserve"> </w:t>
      </w:r>
      <w:r w:rsidRPr="00CE0FA2">
        <w:t>non-identiﬁed data linkage is being undertaken to expand the indicator set. It is hoped that linkage will allow us to look at outcomes such as educational participation and ﬁnancial security in a meaningful way in future years.</w:t>
      </w:r>
    </w:p>
    <w:p w14:paraId="48D8F251" w14:textId="77777777" w:rsidR="00CE0FA2" w:rsidRPr="00CE0FA2" w:rsidRDefault="00CE0FA2" w:rsidP="00CE0FA2">
      <w:pPr>
        <w:pStyle w:val="DHHSbody"/>
      </w:pPr>
      <w:r w:rsidRPr="00CE0FA2">
        <w:t>In relation to rates of high or very high psychological distress drawn from the Victorian Population Health Survey 2016, apparent reductions should be interpreted with caution because they are potentially attributable to a different sampling methodology. Trends will be more easily identiﬁable in future years.</w:t>
      </w:r>
    </w:p>
    <w:p w14:paraId="638611BD" w14:textId="799E9082" w:rsidR="00CE0FA2" w:rsidRPr="00CE0FA2" w:rsidRDefault="00CE0FA2" w:rsidP="00CE0FA2">
      <w:pPr>
        <w:pStyle w:val="DHHSbody"/>
      </w:pPr>
      <w:r w:rsidRPr="00CE0FA2">
        <w:t>Obtaining current, valid and reliable health data about Victorian Aboriginal people remains challenging. The next national Aboriginal and Torres Strait Islander Health Survey is underway, with interviewers visiting urban, regional and</w:t>
      </w:r>
      <w:r w:rsidR="008A0593">
        <w:t xml:space="preserve"> </w:t>
      </w:r>
      <w:r w:rsidRPr="00CE0FA2">
        <w:t>remote communities across Australia. The survey will run until March 2019, with the ﬁrst survey results available from late 2019. It is expected that the national survey, and the next Victorian Population Health Survey, will provide updated information relating to Aboriginal Victorians and psychological distress.</w:t>
      </w:r>
    </w:p>
    <w:p w14:paraId="29635CB9" w14:textId="77777777" w:rsidR="00CE0FA2" w:rsidRPr="00CE0FA2" w:rsidRDefault="00CE0FA2" w:rsidP="00CE0FA2">
      <w:pPr>
        <w:pStyle w:val="DHHSbody"/>
      </w:pPr>
      <w:r w:rsidRPr="00CE0FA2">
        <w:t xml:space="preserve">The Australian Bureau of Statistics released </w:t>
      </w:r>
      <w:r w:rsidRPr="00235E13">
        <w:rPr>
          <w:i/>
        </w:rPr>
        <w:t>Causes of death, Australia, 2017</w:t>
      </w:r>
      <w:r w:rsidRPr="00CE0FA2">
        <w:t xml:space="preserve"> in September 2018, and this report shows a small decrease in the suicide rate for Victoria. This is a heartening trend that has continued for the past three years, though we must note that the suicide rate does tend to ﬂuctuate over time.</w:t>
      </w:r>
    </w:p>
    <w:p w14:paraId="7A3D1BAB" w14:textId="438868E7" w:rsidR="00CE0FA2" w:rsidRPr="00CE0FA2" w:rsidRDefault="00CE0FA2" w:rsidP="00CE0FA2">
      <w:pPr>
        <w:pStyle w:val="DHHSbody"/>
      </w:pPr>
      <w:r w:rsidRPr="00CE0FA2">
        <w:t>Many other indicators have remained stable or ﬂuctuated slightly. This includes clinically reported improved or stable outcomes for child and adolescent, adult and aged clients. The exception is a ﬁve per cent increase in the percentage of clinically reported improved or</w:t>
      </w:r>
      <w:r w:rsidR="008A0593">
        <w:t xml:space="preserve"> </w:t>
      </w:r>
      <w:r w:rsidRPr="00CE0FA2">
        <w:t>stable outcomes for forensic clients, which may be in part attributable to forensic mental health service expansion over recent years.</w:t>
      </w:r>
    </w:p>
    <w:p w14:paraId="70770D23" w14:textId="5795426F" w:rsidR="00CE0FA2" w:rsidRPr="00CE0FA2" w:rsidRDefault="00CE0FA2" w:rsidP="00CE0FA2">
      <w:pPr>
        <w:pStyle w:val="DHHSbody"/>
      </w:pPr>
      <w:r w:rsidRPr="00CE0FA2">
        <w:t>There is a small upward trend in the proportion</w:t>
      </w:r>
      <w:r w:rsidR="008A0593">
        <w:t xml:space="preserve"> </w:t>
      </w:r>
      <w:r w:rsidRPr="00CE0FA2">
        <w:t>of consumers reporting that the effect the service had on their ability to manage their day-to-day life was very good or excellent. There has also been a slight upward trend in the proportion of consumers reporting both that their individuality and values were usually or always respected and that the service had a very good or excellent effect on their overall wellbeing.</w:t>
      </w:r>
    </w:p>
    <w:p w14:paraId="61525261" w14:textId="0CDEEF9C" w:rsidR="00CE0FA2" w:rsidRPr="00CE0FA2" w:rsidRDefault="00CE0FA2" w:rsidP="00CE0FA2">
      <w:pPr>
        <w:pStyle w:val="DHHSbody"/>
      </w:pPr>
      <w:r w:rsidRPr="00CE0FA2">
        <w:t>In relation to restrictive practices and compulsory treatment, results are mixed. The proportion</w:t>
      </w:r>
      <w:r w:rsidR="008A0593">
        <w:t xml:space="preserve"> </w:t>
      </w:r>
      <w:r w:rsidRPr="00CE0FA2">
        <w:t>of inpatient  admissions  that  are  compulsory has slightly declined. However, the duration of compulsory treatment has increased with a very small increase in the number of people receiving compulsory community treatment. The reasons for the increase in duration of compulsory treatment are not yet clear and will be explored over the next 12 months.</w:t>
      </w:r>
    </w:p>
    <w:p w14:paraId="729581FE" w14:textId="613D23D2" w:rsidR="007E4F43" w:rsidRPr="0011708A" w:rsidRDefault="008A0593" w:rsidP="008A0593">
      <w:pPr>
        <w:pStyle w:val="DHHStablecaption"/>
      </w:pPr>
      <w:bookmarkStart w:id="28" w:name="_Hlk26641013"/>
      <w:r w:rsidRPr="008A0593">
        <w:t>1. Victorians have good mental health and wellbeing at all ages and stages of life</w:t>
      </w:r>
    </w:p>
    <w:tbl>
      <w:tblPr>
        <w:tblStyle w:val="TableGrid"/>
        <w:tblW w:w="0" w:type="auto"/>
        <w:tblLook w:val="04A0" w:firstRow="1" w:lastRow="0" w:firstColumn="1" w:lastColumn="0" w:noHBand="0" w:noVBand="1"/>
      </w:tblPr>
      <w:tblGrid>
        <w:gridCol w:w="4927"/>
        <w:gridCol w:w="1050"/>
        <w:gridCol w:w="933"/>
        <w:gridCol w:w="1142"/>
        <w:gridCol w:w="1132"/>
      </w:tblGrid>
      <w:tr w:rsidR="0048231A" w:rsidRPr="009F0C73" w14:paraId="674A0789" w14:textId="77777777" w:rsidTr="006F161C">
        <w:trPr>
          <w:tblHeader/>
        </w:trPr>
        <w:tc>
          <w:tcPr>
            <w:tcW w:w="4927" w:type="dxa"/>
          </w:tcPr>
          <w:bookmarkEnd w:id="28"/>
          <w:p w14:paraId="6CA8E4DB" w14:textId="77777777" w:rsidR="0048231A" w:rsidRPr="009F0C73" w:rsidRDefault="0048231A" w:rsidP="00F178FC">
            <w:pPr>
              <w:pStyle w:val="DHHStablecolhead"/>
            </w:pPr>
            <w:r w:rsidRPr="009F0C73">
              <w:t>Indicator</w:t>
            </w:r>
          </w:p>
        </w:tc>
        <w:tc>
          <w:tcPr>
            <w:tcW w:w="1050" w:type="dxa"/>
          </w:tcPr>
          <w:p w14:paraId="1C54A711" w14:textId="0183F0FD" w:rsidR="0048231A" w:rsidRPr="009F0C73" w:rsidRDefault="0048231A" w:rsidP="00F178FC">
            <w:pPr>
              <w:pStyle w:val="DHHStablecolhead"/>
            </w:pPr>
            <w:r>
              <w:t>Ref. year</w:t>
            </w:r>
          </w:p>
        </w:tc>
        <w:tc>
          <w:tcPr>
            <w:tcW w:w="933" w:type="dxa"/>
          </w:tcPr>
          <w:p w14:paraId="0824A113" w14:textId="017AA70A" w:rsidR="0048231A" w:rsidRPr="009F0C73" w:rsidRDefault="0048231A" w:rsidP="00F178FC">
            <w:pPr>
              <w:pStyle w:val="DHHStablecolhead"/>
            </w:pPr>
            <w:r>
              <w:t>Two years prior</w:t>
            </w:r>
          </w:p>
        </w:tc>
        <w:tc>
          <w:tcPr>
            <w:tcW w:w="1142" w:type="dxa"/>
          </w:tcPr>
          <w:p w14:paraId="2660A1DE" w14:textId="005D8B25" w:rsidR="0048231A" w:rsidRPr="009F0C73" w:rsidRDefault="0048231A" w:rsidP="00F178FC">
            <w:pPr>
              <w:pStyle w:val="DHHStablecolhead"/>
            </w:pPr>
            <w:r>
              <w:t>One year prior</w:t>
            </w:r>
          </w:p>
        </w:tc>
        <w:tc>
          <w:tcPr>
            <w:tcW w:w="1132" w:type="dxa"/>
          </w:tcPr>
          <w:p w14:paraId="642E824F" w14:textId="30E276E7" w:rsidR="0048231A" w:rsidRPr="009F0C73" w:rsidRDefault="0048231A" w:rsidP="00F178FC">
            <w:pPr>
              <w:pStyle w:val="DHHStablecolhead"/>
            </w:pPr>
            <w:r w:rsidRPr="009F0C73">
              <w:t>Most current data</w:t>
            </w:r>
          </w:p>
        </w:tc>
      </w:tr>
      <w:tr w:rsidR="006F161C" w:rsidRPr="009F0C73" w14:paraId="3C6FE32A" w14:textId="77777777" w:rsidTr="006F161C">
        <w:tc>
          <w:tcPr>
            <w:tcW w:w="4927" w:type="dxa"/>
          </w:tcPr>
          <w:p w14:paraId="1E0FEFC2" w14:textId="77777777" w:rsidR="006F161C" w:rsidRPr="009F0C73" w:rsidRDefault="006F161C" w:rsidP="006F161C">
            <w:pPr>
              <w:pStyle w:val="DHHStabletext"/>
            </w:pPr>
            <w:r w:rsidRPr="009F0C73">
              <w:t>1.1</w:t>
            </w:r>
            <w:r>
              <w:t xml:space="preserve"> </w:t>
            </w:r>
            <w:r w:rsidRPr="009F0C73">
              <w:t>Proportion of Victorian population with high or very high psychological distress (adults)</w:t>
            </w:r>
          </w:p>
        </w:tc>
        <w:tc>
          <w:tcPr>
            <w:tcW w:w="1050" w:type="dxa"/>
          </w:tcPr>
          <w:p w14:paraId="0ABD4F7B" w14:textId="33F88BD6" w:rsidR="006F161C" w:rsidRPr="006F161C" w:rsidRDefault="006F161C" w:rsidP="006F161C">
            <w:pPr>
              <w:pStyle w:val="DHHStabletext"/>
            </w:pPr>
            <w:r w:rsidRPr="006F161C">
              <w:t>2016</w:t>
            </w:r>
          </w:p>
        </w:tc>
        <w:tc>
          <w:tcPr>
            <w:tcW w:w="933" w:type="dxa"/>
          </w:tcPr>
          <w:p w14:paraId="4D7EDC08" w14:textId="23A54FA3" w:rsidR="006F161C" w:rsidRPr="006F161C" w:rsidRDefault="006F161C" w:rsidP="006F161C">
            <w:pPr>
              <w:pStyle w:val="DHHStabletext"/>
            </w:pPr>
            <w:r w:rsidRPr="006F161C">
              <w:t>n/a*</w:t>
            </w:r>
          </w:p>
        </w:tc>
        <w:tc>
          <w:tcPr>
            <w:tcW w:w="1142" w:type="dxa"/>
          </w:tcPr>
          <w:p w14:paraId="646DA8E9" w14:textId="3B9327B1" w:rsidR="006F161C" w:rsidRPr="006F161C" w:rsidRDefault="006F161C" w:rsidP="006F161C">
            <w:pPr>
              <w:pStyle w:val="DHHStabletext"/>
            </w:pPr>
            <w:r w:rsidRPr="006F161C">
              <w:t>17.3%</w:t>
            </w:r>
          </w:p>
        </w:tc>
        <w:tc>
          <w:tcPr>
            <w:tcW w:w="1132" w:type="dxa"/>
          </w:tcPr>
          <w:p w14:paraId="5DF5DEC4" w14:textId="6FD44433" w:rsidR="006F161C" w:rsidRPr="006F161C" w:rsidRDefault="006F161C" w:rsidP="006F161C">
            <w:pPr>
              <w:pStyle w:val="DHHStabletext"/>
            </w:pPr>
            <w:r w:rsidRPr="006F161C">
              <w:t>14.8%**</w:t>
            </w:r>
          </w:p>
        </w:tc>
      </w:tr>
      <w:tr w:rsidR="006F161C" w:rsidRPr="009F0C73" w14:paraId="55D518F9" w14:textId="77777777" w:rsidTr="006F161C">
        <w:tc>
          <w:tcPr>
            <w:tcW w:w="4927" w:type="dxa"/>
          </w:tcPr>
          <w:p w14:paraId="2B6A938E" w14:textId="5DA1CEFE" w:rsidR="006F161C" w:rsidRPr="009F0C73" w:rsidRDefault="006F161C" w:rsidP="006F161C">
            <w:pPr>
              <w:pStyle w:val="DHHStabletext"/>
            </w:pPr>
            <w:r w:rsidRPr="009F0C73">
              <w:t>1.2 Proportion of Victorian population receiving clinical mental health</w:t>
            </w:r>
            <w:r w:rsidR="00102BA7">
              <w:t xml:space="preserve"> </w:t>
            </w:r>
            <w:r w:rsidRPr="009F0C73">
              <w:t>care</w:t>
            </w:r>
          </w:p>
        </w:tc>
        <w:tc>
          <w:tcPr>
            <w:tcW w:w="1050" w:type="dxa"/>
          </w:tcPr>
          <w:p w14:paraId="373659A3" w14:textId="4225AC5F" w:rsidR="006F161C" w:rsidRPr="006F161C" w:rsidRDefault="006F161C" w:rsidP="006F161C">
            <w:pPr>
              <w:pStyle w:val="DHHStabletext"/>
            </w:pPr>
            <w:r w:rsidRPr="006F161C">
              <w:t>2017–18</w:t>
            </w:r>
          </w:p>
        </w:tc>
        <w:tc>
          <w:tcPr>
            <w:tcW w:w="933" w:type="dxa"/>
          </w:tcPr>
          <w:p w14:paraId="28B9A6F7" w14:textId="0E82E453" w:rsidR="006F161C" w:rsidRPr="006F161C" w:rsidRDefault="006F161C" w:rsidP="006F161C">
            <w:pPr>
              <w:pStyle w:val="DHHStabletext"/>
            </w:pPr>
            <w:r w:rsidRPr="006F161C">
              <w:t>1.12%</w:t>
            </w:r>
          </w:p>
        </w:tc>
        <w:tc>
          <w:tcPr>
            <w:tcW w:w="1142" w:type="dxa"/>
          </w:tcPr>
          <w:p w14:paraId="32AB8B80" w14:textId="6242665E" w:rsidR="006F161C" w:rsidRPr="006F161C" w:rsidRDefault="006F161C" w:rsidP="006F161C">
            <w:pPr>
              <w:pStyle w:val="DHHStabletext"/>
            </w:pPr>
            <w:r w:rsidRPr="006F161C">
              <w:t>1.08%</w:t>
            </w:r>
          </w:p>
        </w:tc>
        <w:tc>
          <w:tcPr>
            <w:tcW w:w="1132" w:type="dxa"/>
          </w:tcPr>
          <w:p w14:paraId="7A1369F7" w14:textId="275DA7DF" w:rsidR="006F161C" w:rsidRPr="006F161C" w:rsidRDefault="006F161C" w:rsidP="006F161C">
            <w:pPr>
              <w:pStyle w:val="DHHStabletext"/>
            </w:pPr>
            <w:r w:rsidRPr="006F161C">
              <w:t>1.16%</w:t>
            </w:r>
          </w:p>
        </w:tc>
      </w:tr>
      <w:tr w:rsidR="006F161C" w:rsidRPr="009F0C73" w14:paraId="76FE115E" w14:textId="77777777" w:rsidTr="006F161C">
        <w:tc>
          <w:tcPr>
            <w:tcW w:w="4927" w:type="dxa"/>
          </w:tcPr>
          <w:p w14:paraId="6B2BE631" w14:textId="2F5EF242" w:rsidR="006F161C" w:rsidRPr="009F0C73" w:rsidRDefault="006F161C" w:rsidP="006F161C">
            <w:pPr>
              <w:pStyle w:val="DHHStabletext"/>
            </w:pPr>
            <w:r w:rsidRPr="009F0C73">
              <w:lastRenderedPageBreak/>
              <w:t>1.3 Proportion of Victorian young people with positive psychological development</w:t>
            </w:r>
          </w:p>
        </w:tc>
        <w:tc>
          <w:tcPr>
            <w:tcW w:w="1050" w:type="dxa"/>
          </w:tcPr>
          <w:p w14:paraId="5ED56A28" w14:textId="7CC8084E" w:rsidR="006F161C" w:rsidRPr="006F161C" w:rsidRDefault="006F161C" w:rsidP="006F161C">
            <w:pPr>
              <w:pStyle w:val="DHHStabletext"/>
            </w:pPr>
            <w:r w:rsidRPr="006F161C">
              <w:t>2016</w:t>
            </w:r>
          </w:p>
        </w:tc>
        <w:tc>
          <w:tcPr>
            <w:tcW w:w="933" w:type="dxa"/>
          </w:tcPr>
          <w:p w14:paraId="44F52202" w14:textId="3DDC0489" w:rsidR="006F161C" w:rsidRPr="006F161C" w:rsidRDefault="006F161C" w:rsidP="006F161C">
            <w:pPr>
              <w:pStyle w:val="DHHStabletext"/>
            </w:pPr>
            <w:r w:rsidRPr="006F161C">
              <w:t>70.1%</w:t>
            </w:r>
          </w:p>
        </w:tc>
        <w:tc>
          <w:tcPr>
            <w:tcW w:w="1142" w:type="dxa"/>
          </w:tcPr>
          <w:p w14:paraId="0E2AC88F" w14:textId="2B70B758" w:rsidR="006F161C" w:rsidRPr="006F161C" w:rsidRDefault="006F161C" w:rsidP="006F161C">
            <w:pPr>
              <w:pStyle w:val="DHHStabletext"/>
            </w:pPr>
            <w:r w:rsidRPr="006F161C">
              <w:t>n/a***</w:t>
            </w:r>
          </w:p>
        </w:tc>
        <w:tc>
          <w:tcPr>
            <w:tcW w:w="1132" w:type="dxa"/>
          </w:tcPr>
          <w:p w14:paraId="1A5CD903" w14:textId="491DEC45" w:rsidR="006F161C" w:rsidRPr="006F161C" w:rsidRDefault="006F161C" w:rsidP="006F161C">
            <w:pPr>
              <w:pStyle w:val="DHHStabletext"/>
            </w:pPr>
            <w:r w:rsidRPr="006F161C">
              <w:t>68.8%</w:t>
            </w:r>
          </w:p>
        </w:tc>
      </w:tr>
      <w:tr w:rsidR="006F161C" w:rsidRPr="009F0C73" w14:paraId="3FA14158" w14:textId="77777777" w:rsidTr="006F161C">
        <w:tc>
          <w:tcPr>
            <w:tcW w:w="4927" w:type="dxa"/>
          </w:tcPr>
          <w:p w14:paraId="0BED35B8" w14:textId="5C93DBAA" w:rsidR="006F161C" w:rsidRPr="009F0C73" w:rsidRDefault="006F161C" w:rsidP="006F161C">
            <w:pPr>
              <w:pStyle w:val="DHHStabletext"/>
            </w:pPr>
            <w:r w:rsidRPr="009F0C73">
              <w:t>1.4 Proportion of Victorian older persons (65 years or older) with high or very high psychological distress</w:t>
            </w:r>
          </w:p>
        </w:tc>
        <w:tc>
          <w:tcPr>
            <w:tcW w:w="1050" w:type="dxa"/>
          </w:tcPr>
          <w:p w14:paraId="586B3975" w14:textId="75FDC2E4" w:rsidR="006F161C" w:rsidRPr="006F161C" w:rsidRDefault="006F161C" w:rsidP="006F161C">
            <w:pPr>
              <w:pStyle w:val="DHHStabletext"/>
            </w:pPr>
            <w:r w:rsidRPr="006F161C">
              <w:t>2016</w:t>
            </w:r>
          </w:p>
        </w:tc>
        <w:tc>
          <w:tcPr>
            <w:tcW w:w="933" w:type="dxa"/>
          </w:tcPr>
          <w:p w14:paraId="5C61ABE7" w14:textId="366311B8" w:rsidR="006F161C" w:rsidRPr="006F161C" w:rsidRDefault="006F161C" w:rsidP="006F161C">
            <w:pPr>
              <w:pStyle w:val="DHHStabletext"/>
            </w:pPr>
            <w:r w:rsidRPr="006F161C">
              <w:t>n/a*</w:t>
            </w:r>
          </w:p>
        </w:tc>
        <w:tc>
          <w:tcPr>
            <w:tcW w:w="1142" w:type="dxa"/>
          </w:tcPr>
          <w:p w14:paraId="26327CFB" w14:textId="379DF713" w:rsidR="006F161C" w:rsidRPr="006F161C" w:rsidRDefault="006F161C" w:rsidP="006F161C">
            <w:pPr>
              <w:pStyle w:val="DHHStabletext"/>
            </w:pPr>
            <w:r w:rsidRPr="006F161C">
              <w:t>10.8%</w:t>
            </w:r>
          </w:p>
        </w:tc>
        <w:tc>
          <w:tcPr>
            <w:tcW w:w="1132" w:type="dxa"/>
          </w:tcPr>
          <w:p w14:paraId="79F1784E" w14:textId="3E6C9FFD" w:rsidR="006F161C" w:rsidRPr="006F161C" w:rsidRDefault="006F161C" w:rsidP="006F161C">
            <w:pPr>
              <w:pStyle w:val="DHHStabletext"/>
            </w:pPr>
            <w:r w:rsidRPr="006F161C">
              <w:t>8.5%</w:t>
            </w:r>
          </w:p>
        </w:tc>
      </w:tr>
      <w:tr w:rsidR="006F161C" w:rsidRPr="009F0C73" w14:paraId="712AEF82" w14:textId="77777777" w:rsidTr="006F161C">
        <w:tc>
          <w:tcPr>
            <w:tcW w:w="4927" w:type="dxa"/>
          </w:tcPr>
          <w:p w14:paraId="6A716080" w14:textId="62AB7CF0" w:rsidR="006F161C" w:rsidRPr="009F0C73" w:rsidRDefault="006F161C" w:rsidP="006F161C">
            <w:pPr>
              <w:pStyle w:val="DHHStabletext"/>
            </w:pPr>
            <w:r w:rsidRPr="00412C4B">
              <w:t>1.5 Proportion of children at school entry at high risk of clinically signiﬁcant problems related to behaviour and emotional wellbeing</w:t>
            </w:r>
            <w:r w:rsidRPr="00412C4B">
              <w:rPr>
                <w:vertAlign w:val="superscript"/>
              </w:rPr>
              <w:t>¥</w:t>
            </w:r>
          </w:p>
        </w:tc>
        <w:tc>
          <w:tcPr>
            <w:tcW w:w="1050" w:type="dxa"/>
          </w:tcPr>
          <w:p w14:paraId="1A8FFC33" w14:textId="599D37EA" w:rsidR="006F161C" w:rsidRPr="006F161C" w:rsidRDefault="006F161C" w:rsidP="006F161C">
            <w:pPr>
              <w:pStyle w:val="DHHStabletext"/>
            </w:pPr>
            <w:r w:rsidRPr="006F161C">
              <w:t>2017</w:t>
            </w:r>
          </w:p>
        </w:tc>
        <w:tc>
          <w:tcPr>
            <w:tcW w:w="933" w:type="dxa"/>
          </w:tcPr>
          <w:p w14:paraId="20CAE102" w14:textId="115F105C" w:rsidR="006F161C" w:rsidRPr="006F161C" w:rsidRDefault="006F161C" w:rsidP="006F161C">
            <w:pPr>
              <w:pStyle w:val="DHHStabletext"/>
            </w:pPr>
            <w:r w:rsidRPr="006F161C">
              <w:t>4.6%</w:t>
            </w:r>
          </w:p>
        </w:tc>
        <w:tc>
          <w:tcPr>
            <w:tcW w:w="1142" w:type="dxa"/>
          </w:tcPr>
          <w:p w14:paraId="2226D136" w14:textId="234B3502" w:rsidR="006F161C" w:rsidRPr="006F161C" w:rsidRDefault="006F161C" w:rsidP="006F161C">
            <w:pPr>
              <w:pStyle w:val="DHHStabletext"/>
            </w:pPr>
            <w:r w:rsidRPr="006F161C">
              <w:t>4.8%</w:t>
            </w:r>
          </w:p>
        </w:tc>
        <w:tc>
          <w:tcPr>
            <w:tcW w:w="1132" w:type="dxa"/>
          </w:tcPr>
          <w:p w14:paraId="4634C308" w14:textId="2485335B" w:rsidR="006F161C" w:rsidRPr="006F161C" w:rsidRDefault="006F161C" w:rsidP="006F161C">
            <w:pPr>
              <w:pStyle w:val="DHHStabletext"/>
            </w:pPr>
            <w:r w:rsidRPr="006F161C">
              <w:t>4.9%</w:t>
            </w:r>
          </w:p>
        </w:tc>
      </w:tr>
    </w:tbl>
    <w:p w14:paraId="2854B44C" w14:textId="77777777" w:rsidR="007E4F43" w:rsidRPr="009F0C73" w:rsidRDefault="007E4F43" w:rsidP="007E4F43">
      <w:pPr>
        <w:pStyle w:val="DHHStablecaption"/>
      </w:pPr>
      <w:r w:rsidRPr="009F0C73">
        <w:t>2. The gap in mental health and wellbeing for at-risk groups is reduced</w:t>
      </w:r>
    </w:p>
    <w:tbl>
      <w:tblPr>
        <w:tblStyle w:val="TableGrid"/>
        <w:tblW w:w="0" w:type="auto"/>
        <w:tblLook w:val="04A0" w:firstRow="1" w:lastRow="0" w:firstColumn="1" w:lastColumn="0" w:noHBand="0" w:noVBand="1"/>
      </w:tblPr>
      <w:tblGrid>
        <w:gridCol w:w="4927"/>
        <w:gridCol w:w="1076"/>
        <w:gridCol w:w="938"/>
        <w:gridCol w:w="1145"/>
        <w:gridCol w:w="1098"/>
      </w:tblGrid>
      <w:tr w:rsidR="0048231A" w:rsidRPr="009F0C73" w14:paraId="6F05351C" w14:textId="77777777" w:rsidTr="006F161C">
        <w:trPr>
          <w:tblHeader/>
        </w:trPr>
        <w:tc>
          <w:tcPr>
            <w:tcW w:w="4927" w:type="dxa"/>
          </w:tcPr>
          <w:p w14:paraId="54958D97" w14:textId="77777777" w:rsidR="0048231A" w:rsidRPr="009F0C73" w:rsidRDefault="0048231A" w:rsidP="0048231A">
            <w:pPr>
              <w:pStyle w:val="DHHStablecolhead"/>
            </w:pPr>
            <w:r w:rsidRPr="009F0C73">
              <w:t>Indicator</w:t>
            </w:r>
          </w:p>
        </w:tc>
        <w:tc>
          <w:tcPr>
            <w:tcW w:w="1076" w:type="dxa"/>
          </w:tcPr>
          <w:p w14:paraId="0BBE67F5" w14:textId="419B0C60" w:rsidR="0048231A" w:rsidRPr="009F0C73" w:rsidRDefault="0048231A" w:rsidP="0048231A">
            <w:pPr>
              <w:pStyle w:val="DHHStablecolhead"/>
            </w:pPr>
            <w:r>
              <w:t>Ref. year</w:t>
            </w:r>
          </w:p>
        </w:tc>
        <w:tc>
          <w:tcPr>
            <w:tcW w:w="938" w:type="dxa"/>
          </w:tcPr>
          <w:p w14:paraId="18980834" w14:textId="74369AA9" w:rsidR="0048231A" w:rsidRPr="009F0C73" w:rsidRDefault="0048231A" w:rsidP="0048231A">
            <w:pPr>
              <w:pStyle w:val="DHHStablecolhead"/>
            </w:pPr>
            <w:r>
              <w:t>Two years prior</w:t>
            </w:r>
          </w:p>
        </w:tc>
        <w:tc>
          <w:tcPr>
            <w:tcW w:w="1145" w:type="dxa"/>
          </w:tcPr>
          <w:p w14:paraId="0865CCB9" w14:textId="1A2150B8" w:rsidR="0048231A" w:rsidRPr="009F0C73" w:rsidRDefault="0048231A" w:rsidP="0048231A">
            <w:pPr>
              <w:pStyle w:val="DHHStablecolhead"/>
            </w:pPr>
            <w:r>
              <w:t>One year prior</w:t>
            </w:r>
          </w:p>
        </w:tc>
        <w:tc>
          <w:tcPr>
            <w:tcW w:w="1098" w:type="dxa"/>
          </w:tcPr>
          <w:p w14:paraId="446B9A24" w14:textId="3F115C91" w:rsidR="0048231A" w:rsidRPr="009F0C73" w:rsidRDefault="0048231A" w:rsidP="0048231A">
            <w:pPr>
              <w:pStyle w:val="DHHStablecolhead"/>
            </w:pPr>
            <w:r w:rsidRPr="009F0C73">
              <w:t>Most current data</w:t>
            </w:r>
          </w:p>
        </w:tc>
      </w:tr>
      <w:tr w:rsidR="006F161C" w:rsidRPr="009F0C73" w14:paraId="44DBBC00" w14:textId="77777777" w:rsidTr="006F161C">
        <w:tc>
          <w:tcPr>
            <w:tcW w:w="4927" w:type="dxa"/>
          </w:tcPr>
          <w:p w14:paraId="35D371CD" w14:textId="77777777" w:rsidR="006F161C" w:rsidRPr="009F0C73" w:rsidRDefault="006F161C" w:rsidP="006F161C">
            <w:pPr>
              <w:pStyle w:val="DHHStabletext"/>
            </w:pPr>
            <w:r w:rsidRPr="009F0C73">
              <w:t>2.1 Proportion of Victorian population who speak a language other than English at home with high or very high psychological distress (adults)</w:t>
            </w:r>
          </w:p>
        </w:tc>
        <w:tc>
          <w:tcPr>
            <w:tcW w:w="1076" w:type="dxa"/>
          </w:tcPr>
          <w:p w14:paraId="74222F52" w14:textId="355DB6FA" w:rsidR="006F161C" w:rsidRPr="006F161C" w:rsidRDefault="006F161C" w:rsidP="006F161C">
            <w:pPr>
              <w:pStyle w:val="DHHStabletext"/>
            </w:pPr>
            <w:r w:rsidRPr="006F161C">
              <w:t>2016</w:t>
            </w:r>
          </w:p>
        </w:tc>
        <w:tc>
          <w:tcPr>
            <w:tcW w:w="938" w:type="dxa"/>
          </w:tcPr>
          <w:p w14:paraId="02EB65CA" w14:textId="54339B95" w:rsidR="006F161C" w:rsidRPr="006F161C" w:rsidRDefault="006F161C" w:rsidP="006F161C">
            <w:pPr>
              <w:pStyle w:val="DHHStabletext"/>
            </w:pPr>
            <w:r w:rsidRPr="006F161C">
              <w:t>n/a*</w:t>
            </w:r>
          </w:p>
        </w:tc>
        <w:tc>
          <w:tcPr>
            <w:tcW w:w="1145" w:type="dxa"/>
          </w:tcPr>
          <w:p w14:paraId="0BC19E6B" w14:textId="27624832" w:rsidR="006F161C" w:rsidRPr="006F161C" w:rsidRDefault="006F161C" w:rsidP="006F161C">
            <w:pPr>
              <w:pStyle w:val="DHHStabletext"/>
            </w:pPr>
            <w:r w:rsidRPr="006F161C">
              <w:t>18.0%</w:t>
            </w:r>
          </w:p>
        </w:tc>
        <w:tc>
          <w:tcPr>
            <w:tcW w:w="1098" w:type="dxa"/>
          </w:tcPr>
          <w:p w14:paraId="1DE7134A" w14:textId="3CB5B494" w:rsidR="006F161C" w:rsidRPr="006F161C" w:rsidRDefault="006F161C" w:rsidP="006F161C">
            <w:pPr>
              <w:pStyle w:val="DHHStabletext"/>
            </w:pPr>
            <w:r w:rsidRPr="006F161C">
              <w:t>17.2%</w:t>
            </w:r>
          </w:p>
        </w:tc>
      </w:tr>
      <w:tr w:rsidR="006F161C" w:rsidRPr="009F0C73" w14:paraId="62C39534" w14:textId="77777777" w:rsidTr="006F161C">
        <w:tc>
          <w:tcPr>
            <w:tcW w:w="4927" w:type="dxa"/>
          </w:tcPr>
          <w:p w14:paraId="3CC815BB" w14:textId="68809E39" w:rsidR="006F161C" w:rsidRPr="009F0C73" w:rsidRDefault="006F161C" w:rsidP="006F161C">
            <w:pPr>
              <w:pStyle w:val="DHHStabletext"/>
            </w:pPr>
            <w:r w:rsidRPr="009F0C73">
              <w:t>2.2 Proportion of Victorian rural population with high or very high psychological distress (adults)</w:t>
            </w:r>
          </w:p>
        </w:tc>
        <w:tc>
          <w:tcPr>
            <w:tcW w:w="1076" w:type="dxa"/>
          </w:tcPr>
          <w:p w14:paraId="2E66A92E" w14:textId="4612BF7B" w:rsidR="006F161C" w:rsidRPr="006F161C" w:rsidRDefault="006F161C" w:rsidP="006F161C">
            <w:pPr>
              <w:pStyle w:val="DHHStabletext"/>
            </w:pPr>
            <w:r w:rsidRPr="006F161C">
              <w:t>2016</w:t>
            </w:r>
          </w:p>
        </w:tc>
        <w:tc>
          <w:tcPr>
            <w:tcW w:w="938" w:type="dxa"/>
          </w:tcPr>
          <w:p w14:paraId="48148495" w14:textId="75ACD393" w:rsidR="006F161C" w:rsidRPr="006F161C" w:rsidRDefault="006F161C" w:rsidP="006F161C">
            <w:pPr>
              <w:pStyle w:val="DHHStabletext"/>
            </w:pPr>
            <w:r w:rsidRPr="006F161C">
              <w:t>n/a*</w:t>
            </w:r>
          </w:p>
        </w:tc>
        <w:tc>
          <w:tcPr>
            <w:tcW w:w="1145" w:type="dxa"/>
          </w:tcPr>
          <w:p w14:paraId="62F67695" w14:textId="5B519661" w:rsidR="006F161C" w:rsidRPr="006F161C" w:rsidRDefault="006F161C" w:rsidP="006F161C">
            <w:pPr>
              <w:pStyle w:val="DHHStabletext"/>
            </w:pPr>
            <w:r w:rsidRPr="006F161C">
              <w:t>15.9%</w:t>
            </w:r>
          </w:p>
        </w:tc>
        <w:tc>
          <w:tcPr>
            <w:tcW w:w="1098" w:type="dxa"/>
          </w:tcPr>
          <w:p w14:paraId="24300F31" w14:textId="422A1FA9" w:rsidR="006F161C" w:rsidRPr="006F161C" w:rsidRDefault="006F161C" w:rsidP="006F161C">
            <w:pPr>
              <w:pStyle w:val="DHHStabletext"/>
            </w:pPr>
            <w:r w:rsidRPr="006F161C">
              <w:t>14.6%</w:t>
            </w:r>
          </w:p>
        </w:tc>
      </w:tr>
    </w:tbl>
    <w:p w14:paraId="043FD3E5" w14:textId="77777777" w:rsidR="007E4F43" w:rsidRPr="009F0C73" w:rsidRDefault="007E4F43" w:rsidP="007E4F43">
      <w:pPr>
        <w:pStyle w:val="DHHStablecaption"/>
      </w:pPr>
      <w:r w:rsidRPr="009F0C73">
        <w:t>3. The gap in mental health and wellbeing for Aboriginal Victorians is reduced</w:t>
      </w:r>
    </w:p>
    <w:tbl>
      <w:tblPr>
        <w:tblStyle w:val="TableGrid"/>
        <w:tblW w:w="0" w:type="auto"/>
        <w:tblLook w:val="04A0" w:firstRow="1" w:lastRow="0" w:firstColumn="1" w:lastColumn="0" w:noHBand="0" w:noVBand="1"/>
      </w:tblPr>
      <w:tblGrid>
        <w:gridCol w:w="4927"/>
        <w:gridCol w:w="1029"/>
        <w:gridCol w:w="944"/>
        <w:gridCol w:w="1146"/>
        <w:gridCol w:w="1138"/>
      </w:tblGrid>
      <w:tr w:rsidR="0048231A" w:rsidRPr="009F0C73" w14:paraId="4291FA1B" w14:textId="77777777" w:rsidTr="006F161C">
        <w:trPr>
          <w:tblHeader/>
        </w:trPr>
        <w:tc>
          <w:tcPr>
            <w:tcW w:w="4927" w:type="dxa"/>
          </w:tcPr>
          <w:p w14:paraId="1FB0B02A" w14:textId="77777777" w:rsidR="0048231A" w:rsidRPr="009F0C73" w:rsidRDefault="0048231A" w:rsidP="0048231A">
            <w:pPr>
              <w:pStyle w:val="DHHStablecolhead"/>
            </w:pPr>
            <w:r w:rsidRPr="009F0C73">
              <w:t>Indicator</w:t>
            </w:r>
          </w:p>
        </w:tc>
        <w:tc>
          <w:tcPr>
            <w:tcW w:w="1029" w:type="dxa"/>
          </w:tcPr>
          <w:p w14:paraId="2DF1CDA2" w14:textId="4EF8128C" w:rsidR="0048231A" w:rsidRPr="009F0C73" w:rsidRDefault="0048231A" w:rsidP="0048231A">
            <w:pPr>
              <w:pStyle w:val="DHHStablecolhead"/>
            </w:pPr>
            <w:r>
              <w:t>Ref. year</w:t>
            </w:r>
          </w:p>
        </w:tc>
        <w:tc>
          <w:tcPr>
            <w:tcW w:w="944" w:type="dxa"/>
          </w:tcPr>
          <w:p w14:paraId="2E39168C" w14:textId="1DEC59FB" w:rsidR="0048231A" w:rsidRPr="009F0C73" w:rsidRDefault="0048231A" w:rsidP="0048231A">
            <w:pPr>
              <w:pStyle w:val="DHHStablecolhead"/>
            </w:pPr>
            <w:r>
              <w:t>Two years prior</w:t>
            </w:r>
          </w:p>
        </w:tc>
        <w:tc>
          <w:tcPr>
            <w:tcW w:w="1146" w:type="dxa"/>
          </w:tcPr>
          <w:p w14:paraId="58630908" w14:textId="598DFF4E" w:rsidR="0048231A" w:rsidRPr="009F0C73" w:rsidRDefault="0048231A" w:rsidP="0048231A">
            <w:pPr>
              <w:pStyle w:val="DHHStablecolhead"/>
            </w:pPr>
            <w:r>
              <w:t>One year prior</w:t>
            </w:r>
          </w:p>
        </w:tc>
        <w:tc>
          <w:tcPr>
            <w:tcW w:w="1138" w:type="dxa"/>
          </w:tcPr>
          <w:p w14:paraId="6A5E6693" w14:textId="7EB2A396" w:rsidR="0048231A" w:rsidRPr="009F0C73" w:rsidRDefault="0048231A" w:rsidP="0048231A">
            <w:pPr>
              <w:pStyle w:val="DHHStablecolhead"/>
            </w:pPr>
            <w:r w:rsidRPr="009F0C73">
              <w:t>Most current data</w:t>
            </w:r>
          </w:p>
        </w:tc>
      </w:tr>
      <w:tr w:rsidR="006F161C" w:rsidRPr="009F0C73" w14:paraId="489A4E90" w14:textId="77777777" w:rsidTr="006F161C">
        <w:tc>
          <w:tcPr>
            <w:tcW w:w="4927" w:type="dxa"/>
          </w:tcPr>
          <w:p w14:paraId="7534BC71" w14:textId="77777777" w:rsidR="006F161C" w:rsidRPr="009F0C73" w:rsidRDefault="006F161C" w:rsidP="006F161C">
            <w:pPr>
              <w:pStyle w:val="DHHStabletext"/>
            </w:pPr>
            <w:r w:rsidRPr="009F0C73">
              <w:t>3.1 Proportion of Victorian Aboriginal population who are receiving clinical mental healthcare</w:t>
            </w:r>
          </w:p>
        </w:tc>
        <w:tc>
          <w:tcPr>
            <w:tcW w:w="1029" w:type="dxa"/>
          </w:tcPr>
          <w:p w14:paraId="031E5DEB" w14:textId="281F2B31" w:rsidR="006F161C" w:rsidRPr="006F161C" w:rsidRDefault="006F161C" w:rsidP="006F161C">
            <w:pPr>
              <w:pStyle w:val="DHHStabletext"/>
            </w:pPr>
            <w:r w:rsidRPr="006F161C">
              <w:t>2017–18</w:t>
            </w:r>
          </w:p>
        </w:tc>
        <w:tc>
          <w:tcPr>
            <w:tcW w:w="944" w:type="dxa"/>
          </w:tcPr>
          <w:p w14:paraId="5281B6A9" w14:textId="08609C1C" w:rsidR="006F161C" w:rsidRPr="006F161C" w:rsidRDefault="006F161C" w:rsidP="006F161C">
            <w:pPr>
              <w:pStyle w:val="DHHStabletext"/>
            </w:pPr>
            <w:r w:rsidRPr="006F161C">
              <w:t>2.5%</w:t>
            </w:r>
          </w:p>
        </w:tc>
        <w:tc>
          <w:tcPr>
            <w:tcW w:w="1146" w:type="dxa"/>
          </w:tcPr>
          <w:p w14:paraId="032E24B4" w14:textId="256C0A1C" w:rsidR="006F161C" w:rsidRPr="006F161C" w:rsidRDefault="006F161C" w:rsidP="006F161C">
            <w:pPr>
              <w:pStyle w:val="DHHStabletext"/>
            </w:pPr>
            <w:r w:rsidRPr="006F161C">
              <w:t>2.6%</w:t>
            </w:r>
          </w:p>
        </w:tc>
        <w:tc>
          <w:tcPr>
            <w:tcW w:w="1138" w:type="dxa"/>
          </w:tcPr>
          <w:p w14:paraId="1C42C55D" w14:textId="57D96A23" w:rsidR="006F161C" w:rsidRPr="006F161C" w:rsidRDefault="006F161C" w:rsidP="006F161C">
            <w:pPr>
              <w:pStyle w:val="DHHStabletext"/>
            </w:pPr>
            <w:r w:rsidRPr="006F161C">
              <w:t>2.6%</w:t>
            </w:r>
          </w:p>
        </w:tc>
      </w:tr>
      <w:tr w:rsidR="006F161C" w:rsidRPr="009F0C73" w14:paraId="081C6503" w14:textId="77777777" w:rsidTr="006F161C">
        <w:tc>
          <w:tcPr>
            <w:tcW w:w="4927" w:type="dxa"/>
          </w:tcPr>
          <w:p w14:paraId="32F3A487" w14:textId="38FC788E" w:rsidR="006F161C" w:rsidRPr="00412C4B" w:rsidRDefault="006F161C" w:rsidP="006F161C">
            <w:pPr>
              <w:pStyle w:val="DHHStabletext"/>
            </w:pPr>
            <w:r w:rsidRPr="00412C4B">
              <w:t>3.2 Proportion of Victorian Aboriginal population with high or very high psychological distress****</w:t>
            </w:r>
          </w:p>
        </w:tc>
        <w:tc>
          <w:tcPr>
            <w:tcW w:w="1029" w:type="dxa"/>
          </w:tcPr>
          <w:p w14:paraId="47FB8F42" w14:textId="33FE8277" w:rsidR="006F161C" w:rsidRPr="006F161C" w:rsidRDefault="006F161C" w:rsidP="006F161C">
            <w:pPr>
              <w:pStyle w:val="DHHStabletext"/>
            </w:pPr>
            <w:r w:rsidRPr="006F161C">
              <w:t>2012–14</w:t>
            </w:r>
          </w:p>
        </w:tc>
        <w:tc>
          <w:tcPr>
            <w:tcW w:w="944" w:type="dxa"/>
          </w:tcPr>
          <w:p w14:paraId="18B3A401" w14:textId="382B7E2A" w:rsidR="006F161C" w:rsidRPr="006F161C" w:rsidRDefault="006F161C" w:rsidP="006F161C">
            <w:pPr>
              <w:pStyle w:val="DHHStabletext"/>
            </w:pPr>
            <w:r w:rsidRPr="006F161C">
              <w:t>n/a</w:t>
            </w:r>
          </w:p>
        </w:tc>
        <w:tc>
          <w:tcPr>
            <w:tcW w:w="1146" w:type="dxa"/>
          </w:tcPr>
          <w:p w14:paraId="3EA789B6" w14:textId="7D2E181A" w:rsidR="006F161C" w:rsidRPr="006F161C" w:rsidRDefault="006F161C" w:rsidP="006F161C">
            <w:pPr>
              <w:pStyle w:val="DHHStabletext"/>
            </w:pPr>
            <w:r w:rsidRPr="006F161C">
              <w:t>n/a</w:t>
            </w:r>
          </w:p>
        </w:tc>
        <w:tc>
          <w:tcPr>
            <w:tcW w:w="1138" w:type="dxa"/>
          </w:tcPr>
          <w:p w14:paraId="3C5AF2AB" w14:textId="285B5BA5" w:rsidR="006F161C" w:rsidRPr="006F161C" w:rsidRDefault="006F161C" w:rsidP="006F161C">
            <w:pPr>
              <w:pStyle w:val="DHHStabletext"/>
            </w:pPr>
            <w:r w:rsidRPr="006F161C">
              <w:t>22.0%</w:t>
            </w:r>
          </w:p>
        </w:tc>
      </w:tr>
      <w:tr w:rsidR="006F161C" w:rsidRPr="009F0C73" w14:paraId="19EB1A6D" w14:textId="77777777" w:rsidTr="006F161C">
        <w:tc>
          <w:tcPr>
            <w:tcW w:w="4927" w:type="dxa"/>
          </w:tcPr>
          <w:p w14:paraId="39C12D6F" w14:textId="73E2B750" w:rsidR="006F161C" w:rsidRPr="00412C4B" w:rsidRDefault="006F161C" w:rsidP="006F161C">
            <w:pPr>
              <w:pStyle w:val="DHHStabletext"/>
            </w:pPr>
            <w:r w:rsidRPr="00412C4B">
              <w:t>3.3 Proportion of Victorian Aboriginal children at school entry at high risk of clinically signiﬁcant problems related to behaviour and emotional wellbein</w:t>
            </w:r>
            <w:r>
              <w:t>g</w:t>
            </w:r>
            <w:r w:rsidRPr="00412C4B">
              <w:rPr>
                <w:vertAlign w:val="superscript"/>
              </w:rPr>
              <w:t>¥</w:t>
            </w:r>
          </w:p>
        </w:tc>
        <w:tc>
          <w:tcPr>
            <w:tcW w:w="1029" w:type="dxa"/>
          </w:tcPr>
          <w:p w14:paraId="42F8BF82" w14:textId="0E315683" w:rsidR="006F161C" w:rsidRPr="006F161C" w:rsidRDefault="006F161C" w:rsidP="006F161C">
            <w:pPr>
              <w:pStyle w:val="DHHStabletext"/>
            </w:pPr>
            <w:r w:rsidRPr="006F161C">
              <w:t>2017</w:t>
            </w:r>
          </w:p>
        </w:tc>
        <w:tc>
          <w:tcPr>
            <w:tcW w:w="944" w:type="dxa"/>
          </w:tcPr>
          <w:p w14:paraId="5BD7C34E" w14:textId="7BBE1AD4" w:rsidR="006F161C" w:rsidRPr="006F161C" w:rsidRDefault="006F161C" w:rsidP="006F161C">
            <w:pPr>
              <w:pStyle w:val="DHHStabletext"/>
            </w:pPr>
            <w:r w:rsidRPr="006F161C">
              <w:t>14.2%</w:t>
            </w:r>
          </w:p>
        </w:tc>
        <w:tc>
          <w:tcPr>
            <w:tcW w:w="1146" w:type="dxa"/>
          </w:tcPr>
          <w:p w14:paraId="7F6C6272" w14:textId="087B208A" w:rsidR="006F161C" w:rsidRPr="006F161C" w:rsidRDefault="006F161C" w:rsidP="006F161C">
            <w:pPr>
              <w:pStyle w:val="DHHStabletext"/>
            </w:pPr>
            <w:r w:rsidRPr="006F161C">
              <w:t>15.6%</w:t>
            </w:r>
          </w:p>
        </w:tc>
        <w:tc>
          <w:tcPr>
            <w:tcW w:w="1138" w:type="dxa"/>
          </w:tcPr>
          <w:p w14:paraId="7C09AAD1" w14:textId="5C60938A" w:rsidR="006F161C" w:rsidRPr="006F161C" w:rsidRDefault="006F161C" w:rsidP="006F161C">
            <w:pPr>
              <w:pStyle w:val="DHHStabletext"/>
            </w:pPr>
            <w:r w:rsidRPr="006F161C">
              <w:t>14.4%</w:t>
            </w:r>
          </w:p>
        </w:tc>
      </w:tr>
    </w:tbl>
    <w:p w14:paraId="62C4C99F" w14:textId="77777777" w:rsidR="007E4F43" w:rsidRPr="009F0C73" w:rsidRDefault="007E4F43" w:rsidP="007E4F43">
      <w:pPr>
        <w:pStyle w:val="DHHStablecaption"/>
      </w:pPr>
      <w:r w:rsidRPr="009F0C73">
        <w:t>4. The rate of suicide is reduced</w:t>
      </w:r>
    </w:p>
    <w:tbl>
      <w:tblPr>
        <w:tblStyle w:val="TableGrid"/>
        <w:tblW w:w="0" w:type="auto"/>
        <w:tblLook w:val="04A0" w:firstRow="1" w:lastRow="0" w:firstColumn="1" w:lastColumn="0" w:noHBand="0" w:noVBand="1"/>
      </w:tblPr>
      <w:tblGrid>
        <w:gridCol w:w="4927"/>
        <w:gridCol w:w="1052"/>
        <w:gridCol w:w="950"/>
        <w:gridCol w:w="1149"/>
        <w:gridCol w:w="1106"/>
      </w:tblGrid>
      <w:tr w:rsidR="0048231A" w:rsidRPr="009F0C73" w14:paraId="12218D7A" w14:textId="77777777" w:rsidTr="006F161C">
        <w:trPr>
          <w:tblHeader/>
        </w:trPr>
        <w:tc>
          <w:tcPr>
            <w:tcW w:w="4927" w:type="dxa"/>
          </w:tcPr>
          <w:p w14:paraId="3277B466" w14:textId="77777777" w:rsidR="0048231A" w:rsidRPr="009F0C73" w:rsidRDefault="0048231A" w:rsidP="0048231A">
            <w:pPr>
              <w:pStyle w:val="DHHStablecolhead"/>
            </w:pPr>
            <w:r w:rsidRPr="009F0C73">
              <w:t>Indicator</w:t>
            </w:r>
          </w:p>
        </w:tc>
        <w:tc>
          <w:tcPr>
            <w:tcW w:w="1052" w:type="dxa"/>
          </w:tcPr>
          <w:p w14:paraId="32358D0F" w14:textId="45E8D854" w:rsidR="0048231A" w:rsidRPr="009F0C73" w:rsidRDefault="0048231A" w:rsidP="0048231A">
            <w:pPr>
              <w:pStyle w:val="DHHStablecolhead"/>
            </w:pPr>
            <w:r>
              <w:t>Ref. year</w:t>
            </w:r>
          </w:p>
        </w:tc>
        <w:tc>
          <w:tcPr>
            <w:tcW w:w="950" w:type="dxa"/>
          </w:tcPr>
          <w:p w14:paraId="751B193F" w14:textId="10BFFB3D" w:rsidR="0048231A" w:rsidRPr="009F0C73" w:rsidRDefault="0048231A" w:rsidP="0048231A">
            <w:pPr>
              <w:pStyle w:val="DHHStablecolhead"/>
            </w:pPr>
            <w:r>
              <w:t>Two years prior</w:t>
            </w:r>
          </w:p>
        </w:tc>
        <w:tc>
          <w:tcPr>
            <w:tcW w:w="1149" w:type="dxa"/>
          </w:tcPr>
          <w:p w14:paraId="35508C84" w14:textId="5B4267C5" w:rsidR="0048231A" w:rsidRPr="009F0C73" w:rsidRDefault="0048231A" w:rsidP="0048231A">
            <w:pPr>
              <w:pStyle w:val="DHHStablecolhead"/>
            </w:pPr>
            <w:r>
              <w:t>One year prior</w:t>
            </w:r>
          </w:p>
        </w:tc>
        <w:tc>
          <w:tcPr>
            <w:tcW w:w="1106" w:type="dxa"/>
          </w:tcPr>
          <w:p w14:paraId="6E2B6729" w14:textId="4AB19EFA" w:rsidR="0048231A" w:rsidRPr="009F0C73" w:rsidRDefault="0048231A" w:rsidP="0048231A">
            <w:pPr>
              <w:pStyle w:val="DHHStablecolhead"/>
            </w:pPr>
            <w:r w:rsidRPr="009F0C73">
              <w:t>Most current data</w:t>
            </w:r>
          </w:p>
        </w:tc>
      </w:tr>
      <w:tr w:rsidR="00FE0B50" w:rsidRPr="009F0C73" w14:paraId="6E579031" w14:textId="77777777" w:rsidTr="006F161C">
        <w:tc>
          <w:tcPr>
            <w:tcW w:w="4927" w:type="dxa"/>
          </w:tcPr>
          <w:p w14:paraId="2C3D4548" w14:textId="77777777" w:rsidR="00FE0B50" w:rsidRPr="009F0C73" w:rsidRDefault="00FE0B50" w:rsidP="00FE0B50">
            <w:pPr>
              <w:pStyle w:val="DHHStabletext"/>
            </w:pPr>
            <w:r w:rsidRPr="009F0C73">
              <w:t>4.1 Victoria’s rate of deaths from suicide per 100,000</w:t>
            </w:r>
          </w:p>
        </w:tc>
        <w:tc>
          <w:tcPr>
            <w:tcW w:w="1052" w:type="dxa"/>
          </w:tcPr>
          <w:p w14:paraId="5218F8F7" w14:textId="263CC66D" w:rsidR="00FE0B50" w:rsidRPr="00FE0B50" w:rsidRDefault="00FE0B50" w:rsidP="00FE0B50">
            <w:pPr>
              <w:pStyle w:val="DHHStabletext"/>
            </w:pPr>
            <w:r w:rsidRPr="00FE0B50">
              <w:t>2017</w:t>
            </w:r>
          </w:p>
        </w:tc>
        <w:tc>
          <w:tcPr>
            <w:tcW w:w="950" w:type="dxa"/>
          </w:tcPr>
          <w:p w14:paraId="5EF0122C" w14:textId="04951CFE" w:rsidR="00FE0B50" w:rsidRPr="00FE0B50" w:rsidRDefault="00FE0B50" w:rsidP="00FE0B50">
            <w:pPr>
              <w:pStyle w:val="DHHStabletext"/>
            </w:pPr>
            <w:r w:rsidRPr="00FE0B50">
              <w:t>10.6%</w:t>
            </w:r>
          </w:p>
        </w:tc>
        <w:tc>
          <w:tcPr>
            <w:tcW w:w="1149" w:type="dxa"/>
          </w:tcPr>
          <w:p w14:paraId="4597AB54" w14:textId="168DDE78" w:rsidR="00FE0B50" w:rsidRPr="00FE0B50" w:rsidRDefault="00FE0B50" w:rsidP="00FE0B50">
            <w:pPr>
              <w:pStyle w:val="DHHStabletext"/>
            </w:pPr>
            <w:r w:rsidRPr="00FE0B50">
              <w:t>9.9%</w:t>
            </w:r>
          </w:p>
        </w:tc>
        <w:tc>
          <w:tcPr>
            <w:tcW w:w="1106" w:type="dxa"/>
          </w:tcPr>
          <w:p w14:paraId="66949CFD" w14:textId="1B245AED" w:rsidR="00FE0B50" w:rsidRPr="00FE0B50" w:rsidRDefault="00FE0B50" w:rsidP="00FE0B50">
            <w:pPr>
              <w:pStyle w:val="DHHStabletext"/>
            </w:pPr>
            <w:r w:rsidRPr="00FE0B50">
              <w:t>9.6%</w:t>
            </w:r>
          </w:p>
        </w:tc>
      </w:tr>
    </w:tbl>
    <w:p w14:paraId="3043926D" w14:textId="2599FA4B" w:rsidR="007E4F43" w:rsidRDefault="007E4F43" w:rsidP="007E4F43">
      <w:pPr>
        <w:pStyle w:val="DHHStablecaption"/>
      </w:pPr>
      <w:r w:rsidRPr="009F0C73">
        <w:t>5. Victorians with mental illness have good physical health and wellbeing</w:t>
      </w:r>
    </w:p>
    <w:tbl>
      <w:tblPr>
        <w:tblStyle w:val="TableGrid"/>
        <w:tblW w:w="0" w:type="auto"/>
        <w:tblLook w:val="04A0" w:firstRow="1" w:lastRow="0" w:firstColumn="1" w:lastColumn="0" w:noHBand="0" w:noVBand="1"/>
      </w:tblPr>
      <w:tblGrid>
        <w:gridCol w:w="4927"/>
        <w:gridCol w:w="1043"/>
        <w:gridCol w:w="936"/>
        <w:gridCol w:w="1144"/>
        <w:gridCol w:w="1134"/>
      </w:tblGrid>
      <w:tr w:rsidR="00412C4B" w:rsidRPr="009F0C73" w14:paraId="5172F4B7" w14:textId="77777777" w:rsidTr="006F161C">
        <w:trPr>
          <w:tblHeader/>
        </w:trPr>
        <w:tc>
          <w:tcPr>
            <w:tcW w:w="4927" w:type="dxa"/>
          </w:tcPr>
          <w:p w14:paraId="3BB83072" w14:textId="77777777" w:rsidR="00412C4B" w:rsidRPr="009F0C73" w:rsidRDefault="00412C4B" w:rsidP="006F161C">
            <w:pPr>
              <w:pStyle w:val="DHHStablecolhead"/>
            </w:pPr>
            <w:r w:rsidRPr="009F0C73">
              <w:t>Indicator</w:t>
            </w:r>
          </w:p>
        </w:tc>
        <w:tc>
          <w:tcPr>
            <w:tcW w:w="1043" w:type="dxa"/>
          </w:tcPr>
          <w:p w14:paraId="24275FDB" w14:textId="77777777" w:rsidR="00412C4B" w:rsidRPr="009F0C73" w:rsidRDefault="00412C4B" w:rsidP="006F161C">
            <w:pPr>
              <w:pStyle w:val="DHHStablecolhead"/>
            </w:pPr>
            <w:r>
              <w:t>Ref. year</w:t>
            </w:r>
          </w:p>
        </w:tc>
        <w:tc>
          <w:tcPr>
            <w:tcW w:w="936" w:type="dxa"/>
          </w:tcPr>
          <w:p w14:paraId="15951141" w14:textId="77777777" w:rsidR="00412C4B" w:rsidRPr="009F0C73" w:rsidRDefault="00412C4B" w:rsidP="006F161C">
            <w:pPr>
              <w:pStyle w:val="DHHStablecolhead"/>
            </w:pPr>
            <w:r>
              <w:t>Two years prior</w:t>
            </w:r>
          </w:p>
        </w:tc>
        <w:tc>
          <w:tcPr>
            <w:tcW w:w="1144" w:type="dxa"/>
          </w:tcPr>
          <w:p w14:paraId="12C3A30A" w14:textId="77777777" w:rsidR="00412C4B" w:rsidRPr="009F0C73" w:rsidRDefault="00412C4B" w:rsidP="006F161C">
            <w:pPr>
              <w:pStyle w:val="DHHStablecolhead"/>
            </w:pPr>
            <w:r>
              <w:t>One year prior</w:t>
            </w:r>
          </w:p>
        </w:tc>
        <w:tc>
          <w:tcPr>
            <w:tcW w:w="1134" w:type="dxa"/>
          </w:tcPr>
          <w:p w14:paraId="7652617D" w14:textId="77777777" w:rsidR="00412C4B" w:rsidRPr="009F0C73" w:rsidRDefault="00412C4B" w:rsidP="006F161C">
            <w:pPr>
              <w:pStyle w:val="DHHStablecolhead"/>
            </w:pPr>
            <w:r w:rsidRPr="009F0C73">
              <w:t>Most current data</w:t>
            </w:r>
          </w:p>
        </w:tc>
      </w:tr>
      <w:tr w:rsidR="00FE0B50" w:rsidRPr="009F0C73" w14:paraId="17CD1A74" w14:textId="77777777" w:rsidTr="006F161C">
        <w:tc>
          <w:tcPr>
            <w:tcW w:w="4927" w:type="dxa"/>
          </w:tcPr>
          <w:p w14:paraId="4222F782" w14:textId="7805A5F1" w:rsidR="00FE0B50" w:rsidRPr="00412C4B" w:rsidRDefault="00FE0B50" w:rsidP="00FE0B50">
            <w:pPr>
              <w:pStyle w:val="DHHStabletext"/>
            </w:pPr>
            <w:r w:rsidRPr="00412C4B">
              <w:t>5.1 Proportion of unique admitted clients who were discharged and used tobacco</w:t>
            </w:r>
            <w:r w:rsidRPr="00CA3CF5">
              <w:rPr>
                <w:vertAlign w:val="superscript"/>
              </w:rPr>
              <w:t>†</w:t>
            </w:r>
          </w:p>
        </w:tc>
        <w:tc>
          <w:tcPr>
            <w:tcW w:w="1043" w:type="dxa"/>
          </w:tcPr>
          <w:p w14:paraId="527E06B3" w14:textId="5B151851" w:rsidR="00FE0B50" w:rsidRPr="00FE0B50" w:rsidRDefault="00FE0B50" w:rsidP="00FE0B50">
            <w:pPr>
              <w:pStyle w:val="DHHStabletext"/>
            </w:pPr>
            <w:r w:rsidRPr="00FE0B50">
              <w:t>2016–17</w:t>
            </w:r>
          </w:p>
        </w:tc>
        <w:tc>
          <w:tcPr>
            <w:tcW w:w="936" w:type="dxa"/>
          </w:tcPr>
          <w:p w14:paraId="47D3DE03" w14:textId="267C8953" w:rsidR="00FE0B50" w:rsidRPr="00FE0B50" w:rsidRDefault="00FE0B50" w:rsidP="00FE0B50">
            <w:pPr>
              <w:pStyle w:val="DHHStabletext"/>
            </w:pPr>
            <w:r w:rsidRPr="00FE0B50">
              <w:t>35.9%</w:t>
            </w:r>
          </w:p>
        </w:tc>
        <w:tc>
          <w:tcPr>
            <w:tcW w:w="1144" w:type="dxa"/>
          </w:tcPr>
          <w:p w14:paraId="25F902E4" w14:textId="6761F43D" w:rsidR="00FE0B50" w:rsidRPr="00FE0B50" w:rsidRDefault="00FE0B50" w:rsidP="00FE0B50">
            <w:pPr>
              <w:pStyle w:val="DHHStabletext"/>
            </w:pPr>
            <w:r w:rsidRPr="00FE0B50">
              <w:t>37.5%</w:t>
            </w:r>
          </w:p>
        </w:tc>
        <w:tc>
          <w:tcPr>
            <w:tcW w:w="1134" w:type="dxa"/>
          </w:tcPr>
          <w:p w14:paraId="5CF0AA96" w14:textId="3ED7F586" w:rsidR="00FE0B50" w:rsidRPr="00FE0B50" w:rsidRDefault="00FE0B50" w:rsidP="00FE0B50">
            <w:pPr>
              <w:pStyle w:val="DHHStabletext"/>
            </w:pPr>
            <w:r w:rsidRPr="00FE0B50">
              <w:t>38.0%</w:t>
            </w:r>
          </w:p>
        </w:tc>
      </w:tr>
      <w:tr w:rsidR="00FE0B50" w:rsidRPr="009F0C73" w14:paraId="0F64F01F" w14:textId="77777777" w:rsidTr="006F161C">
        <w:tc>
          <w:tcPr>
            <w:tcW w:w="4927" w:type="dxa"/>
          </w:tcPr>
          <w:p w14:paraId="56E3F915" w14:textId="0BBC1041" w:rsidR="00FE0B50" w:rsidRPr="00412C4B" w:rsidRDefault="00FE0B50" w:rsidP="00FE0B50">
            <w:pPr>
              <w:pStyle w:val="DHHStabletext"/>
            </w:pPr>
            <w:r w:rsidRPr="00412C4B">
              <w:lastRenderedPageBreak/>
              <w:t>5.2 Proportion of registered mental health clients with a type 2 diabetes diagnosis</w:t>
            </w:r>
            <w:r w:rsidRPr="00CA3CF5">
              <w:rPr>
                <w:vertAlign w:val="superscript"/>
              </w:rPr>
              <w:t>†</w:t>
            </w:r>
          </w:p>
        </w:tc>
        <w:tc>
          <w:tcPr>
            <w:tcW w:w="1043" w:type="dxa"/>
          </w:tcPr>
          <w:p w14:paraId="02D77419" w14:textId="688E7902" w:rsidR="00FE0B50" w:rsidRPr="00FE0B50" w:rsidRDefault="00FE0B50" w:rsidP="00FE0B50">
            <w:pPr>
              <w:pStyle w:val="DHHStabletext"/>
            </w:pPr>
            <w:r w:rsidRPr="00FE0B50">
              <w:t>2016–17</w:t>
            </w:r>
          </w:p>
        </w:tc>
        <w:tc>
          <w:tcPr>
            <w:tcW w:w="936" w:type="dxa"/>
          </w:tcPr>
          <w:p w14:paraId="1E8D91EA" w14:textId="7406B595" w:rsidR="00FE0B50" w:rsidRPr="00FE0B50" w:rsidRDefault="00FE0B50" w:rsidP="00FE0B50">
            <w:pPr>
              <w:pStyle w:val="DHHStabletext"/>
            </w:pPr>
            <w:r w:rsidRPr="00FE0B50">
              <w:t>10.0%</w:t>
            </w:r>
          </w:p>
        </w:tc>
        <w:tc>
          <w:tcPr>
            <w:tcW w:w="1144" w:type="dxa"/>
          </w:tcPr>
          <w:p w14:paraId="382385A4" w14:textId="4B1E88B7" w:rsidR="00FE0B50" w:rsidRPr="00FE0B50" w:rsidRDefault="00FE0B50" w:rsidP="00FE0B50">
            <w:pPr>
              <w:pStyle w:val="DHHStabletext"/>
            </w:pPr>
            <w:r w:rsidRPr="00FE0B50">
              <w:t>10.1%</w:t>
            </w:r>
          </w:p>
        </w:tc>
        <w:tc>
          <w:tcPr>
            <w:tcW w:w="1134" w:type="dxa"/>
          </w:tcPr>
          <w:p w14:paraId="45CAC7EF" w14:textId="708DB0D0" w:rsidR="00FE0B50" w:rsidRPr="00FE0B50" w:rsidRDefault="00FE0B50" w:rsidP="00FE0B50">
            <w:pPr>
              <w:pStyle w:val="DHHStabletext"/>
            </w:pPr>
            <w:r w:rsidRPr="00FE0B50">
              <w:t>9.7%</w:t>
            </w:r>
          </w:p>
        </w:tc>
      </w:tr>
    </w:tbl>
    <w:p w14:paraId="2B55255C" w14:textId="77777777" w:rsidR="007E4F43" w:rsidRPr="009F0C73" w:rsidRDefault="007E4F43" w:rsidP="007E4F43">
      <w:pPr>
        <w:pStyle w:val="DHHStablecaption"/>
      </w:pPr>
      <w:r w:rsidRPr="009F0C73">
        <w:t>6. Victorians with mental illness are supported to protect and promote health</w:t>
      </w:r>
    </w:p>
    <w:p w14:paraId="7C86F204" w14:textId="77777777" w:rsidR="007E4F43" w:rsidRPr="009F0C73" w:rsidRDefault="007E4F43" w:rsidP="007E4F43">
      <w:pPr>
        <w:pStyle w:val="DHHStablecaption"/>
      </w:pPr>
      <w:r w:rsidRPr="009F0C73">
        <w:t>7. Victorians with mental illness participate in learning and education</w:t>
      </w:r>
    </w:p>
    <w:p w14:paraId="5FFF7B1D" w14:textId="77777777" w:rsidR="007E4F43" w:rsidRPr="009F0C73" w:rsidRDefault="007E4F43" w:rsidP="007E4F43">
      <w:pPr>
        <w:pStyle w:val="DHHStablecaption"/>
      </w:pPr>
      <w:r w:rsidRPr="009F0C73">
        <w:t>8. Victorians with mental illness participate in and contribute to the economy</w:t>
      </w:r>
    </w:p>
    <w:p w14:paraId="6722E485" w14:textId="77777777" w:rsidR="007E4F43" w:rsidRPr="009F0C73" w:rsidRDefault="007E4F43" w:rsidP="007E4F43">
      <w:pPr>
        <w:pStyle w:val="DHHStablecaption"/>
      </w:pPr>
      <w:r w:rsidRPr="009F0C73">
        <w:t>9. Victorians with mental illness have financial security</w:t>
      </w:r>
    </w:p>
    <w:p w14:paraId="40A5AC1E" w14:textId="77777777" w:rsidR="007E4F43" w:rsidRPr="009F0C73" w:rsidRDefault="007E4F43" w:rsidP="007E4F43">
      <w:pPr>
        <w:pStyle w:val="DHHStablecaption"/>
      </w:pPr>
      <w:r w:rsidRPr="009F0C73">
        <w:t>10. Victorians with mental illness are socially engaged and live in inclusive communities</w:t>
      </w:r>
    </w:p>
    <w:p w14:paraId="2EC8C0A8" w14:textId="77777777" w:rsidR="007E4F43" w:rsidRPr="009F0C73" w:rsidRDefault="007E4F43" w:rsidP="007E4F43">
      <w:pPr>
        <w:pStyle w:val="DHHStablecaption"/>
      </w:pPr>
      <w:r w:rsidRPr="009F0C73">
        <w:t>11. Victorians with mental illness live free from abuse or violence, and have reduced contact with the criminal justice system</w:t>
      </w:r>
    </w:p>
    <w:tbl>
      <w:tblPr>
        <w:tblStyle w:val="TableGrid"/>
        <w:tblW w:w="0" w:type="auto"/>
        <w:tblLook w:val="04A0" w:firstRow="1" w:lastRow="0" w:firstColumn="1" w:lastColumn="0" w:noHBand="0" w:noVBand="1"/>
      </w:tblPr>
      <w:tblGrid>
        <w:gridCol w:w="4927"/>
        <w:gridCol w:w="1043"/>
        <w:gridCol w:w="936"/>
        <w:gridCol w:w="1144"/>
        <w:gridCol w:w="1134"/>
      </w:tblGrid>
      <w:tr w:rsidR="0048231A" w:rsidRPr="009F0C73" w14:paraId="5DA0911B" w14:textId="77777777" w:rsidTr="006F161C">
        <w:trPr>
          <w:tblHeader/>
        </w:trPr>
        <w:tc>
          <w:tcPr>
            <w:tcW w:w="4927" w:type="dxa"/>
          </w:tcPr>
          <w:p w14:paraId="6693CAFD" w14:textId="77777777" w:rsidR="0048231A" w:rsidRPr="009F0C73" w:rsidRDefault="0048231A" w:rsidP="0048231A">
            <w:pPr>
              <w:pStyle w:val="DHHStablecolhead"/>
            </w:pPr>
            <w:r w:rsidRPr="009F0C73">
              <w:t>Indicator</w:t>
            </w:r>
          </w:p>
        </w:tc>
        <w:tc>
          <w:tcPr>
            <w:tcW w:w="1043" w:type="dxa"/>
          </w:tcPr>
          <w:p w14:paraId="27FDB710" w14:textId="1D4F18EA" w:rsidR="0048231A" w:rsidRPr="009F0C73" w:rsidRDefault="0048231A" w:rsidP="0048231A">
            <w:pPr>
              <w:pStyle w:val="DHHStablecolhead"/>
            </w:pPr>
            <w:r>
              <w:t>Ref. year</w:t>
            </w:r>
          </w:p>
        </w:tc>
        <w:tc>
          <w:tcPr>
            <w:tcW w:w="936" w:type="dxa"/>
          </w:tcPr>
          <w:p w14:paraId="6C74052F" w14:textId="7E7B96B4" w:rsidR="0048231A" w:rsidRPr="009F0C73" w:rsidRDefault="0048231A" w:rsidP="0048231A">
            <w:pPr>
              <w:pStyle w:val="DHHStablecolhead"/>
            </w:pPr>
            <w:r>
              <w:t>Two years prior</w:t>
            </w:r>
          </w:p>
        </w:tc>
        <w:tc>
          <w:tcPr>
            <w:tcW w:w="1144" w:type="dxa"/>
          </w:tcPr>
          <w:p w14:paraId="4EDF4392" w14:textId="60799BF7" w:rsidR="0048231A" w:rsidRPr="009F0C73" w:rsidRDefault="0048231A" w:rsidP="0048231A">
            <w:pPr>
              <w:pStyle w:val="DHHStablecolhead"/>
            </w:pPr>
            <w:r>
              <w:t>One year prior</w:t>
            </w:r>
          </w:p>
        </w:tc>
        <w:tc>
          <w:tcPr>
            <w:tcW w:w="1134" w:type="dxa"/>
          </w:tcPr>
          <w:p w14:paraId="663014F3" w14:textId="0FA14715" w:rsidR="0048231A" w:rsidRPr="009F0C73" w:rsidRDefault="0048231A" w:rsidP="0048231A">
            <w:pPr>
              <w:pStyle w:val="DHHStablecolhead"/>
            </w:pPr>
            <w:r w:rsidRPr="009F0C73">
              <w:t>Most current data</w:t>
            </w:r>
          </w:p>
        </w:tc>
      </w:tr>
      <w:tr w:rsidR="00FE0B50" w:rsidRPr="009F0C73" w14:paraId="254F5558" w14:textId="77777777" w:rsidTr="006F161C">
        <w:tc>
          <w:tcPr>
            <w:tcW w:w="4927" w:type="dxa"/>
          </w:tcPr>
          <w:p w14:paraId="73EBA90C" w14:textId="77777777" w:rsidR="00FE0B50" w:rsidRPr="009F0C73" w:rsidRDefault="00FE0B50" w:rsidP="00FE0B50">
            <w:pPr>
              <w:pStyle w:val="DHHStabletext"/>
            </w:pPr>
            <w:r w:rsidRPr="009F0C73">
              <w:t>11.1 Proportion of Victorian prison entrants who, at prison reception assessment, are allocated a psychiatric risk rating</w:t>
            </w:r>
          </w:p>
        </w:tc>
        <w:tc>
          <w:tcPr>
            <w:tcW w:w="1043" w:type="dxa"/>
          </w:tcPr>
          <w:p w14:paraId="6E73F737" w14:textId="29FFFFEA" w:rsidR="00FE0B50" w:rsidRPr="00FE0B50" w:rsidRDefault="00FE0B50" w:rsidP="00FE0B50">
            <w:pPr>
              <w:pStyle w:val="DHHStabletext"/>
            </w:pPr>
            <w:r w:rsidRPr="00FE0B50">
              <w:t>2017–18</w:t>
            </w:r>
          </w:p>
        </w:tc>
        <w:tc>
          <w:tcPr>
            <w:tcW w:w="936" w:type="dxa"/>
          </w:tcPr>
          <w:p w14:paraId="714989E3" w14:textId="3672A9F3" w:rsidR="00FE0B50" w:rsidRPr="00FE0B50" w:rsidRDefault="00FE0B50" w:rsidP="00FE0B50">
            <w:pPr>
              <w:pStyle w:val="DHHStabletext"/>
            </w:pPr>
            <w:r w:rsidRPr="00FE0B50">
              <w:t>38</w:t>
            </w:r>
            <w:r w:rsidR="00102BA7">
              <w:t>.0</w:t>
            </w:r>
            <w:r w:rsidRPr="00FE0B50">
              <w:t>%</w:t>
            </w:r>
          </w:p>
        </w:tc>
        <w:tc>
          <w:tcPr>
            <w:tcW w:w="1144" w:type="dxa"/>
          </w:tcPr>
          <w:p w14:paraId="32C1354F" w14:textId="367FD348" w:rsidR="00FE0B50" w:rsidRPr="00FE0B50" w:rsidRDefault="00FE0B50" w:rsidP="00FE0B50">
            <w:pPr>
              <w:pStyle w:val="DHHStabletext"/>
            </w:pPr>
            <w:r w:rsidRPr="00FE0B50">
              <w:t>36.9%</w:t>
            </w:r>
          </w:p>
        </w:tc>
        <w:tc>
          <w:tcPr>
            <w:tcW w:w="1134" w:type="dxa"/>
          </w:tcPr>
          <w:p w14:paraId="3926EC98" w14:textId="5F82DE4E" w:rsidR="00FE0B50" w:rsidRPr="00FE0B50" w:rsidRDefault="00FE0B50" w:rsidP="00FE0B50">
            <w:pPr>
              <w:pStyle w:val="DHHStabletext"/>
            </w:pPr>
            <w:r w:rsidRPr="00FE0B50">
              <w:t>37.2%</w:t>
            </w:r>
          </w:p>
        </w:tc>
      </w:tr>
    </w:tbl>
    <w:p w14:paraId="6F89C770" w14:textId="77777777" w:rsidR="007E4F43" w:rsidRPr="009F0C73" w:rsidRDefault="007E4F43" w:rsidP="007E4F43">
      <w:pPr>
        <w:pStyle w:val="DHHStablecaption"/>
      </w:pPr>
      <w:r w:rsidRPr="009F0C73">
        <w:t>12. Victorians with mental illness have suitable and stable housing</w:t>
      </w:r>
    </w:p>
    <w:tbl>
      <w:tblPr>
        <w:tblStyle w:val="TableGrid"/>
        <w:tblW w:w="0" w:type="auto"/>
        <w:tblLook w:val="04A0" w:firstRow="1" w:lastRow="0" w:firstColumn="1" w:lastColumn="0" w:noHBand="0" w:noVBand="1"/>
      </w:tblPr>
      <w:tblGrid>
        <w:gridCol w:w="4927"/>
        <w:gridCol w:w="1029"/>
        <w:gridCol w:w="944"/>
        <w:gridCol w:w="1146"/>
        <w:gridCol w:w="1138"/>
      </w:tblGrid>
      <w:tr w:rsidR="0048231A" w:rsidRPr="009F0C73" w14:paraId="7AC6084E" w14:textId="77777777" w:rsidTr="006F161C">
        <w:trPr>
          <w:tblHeader/>
        </w:trPr>
        <w:tc>
          <w:tcPr>
            <w:tcW w:w="4927" w:type="dxa"/>
          </w:tcPr>
          <w:p w14:paraId="13B515EA" w14:textId="77777777" w:rsidR="0048231A" w:rsidRPr="009F0C73" w:rsidRDefault="0048231A" w:rsidP="0048231A">
            <w:pPr>
              <w:pStyle w:val="DHHStablecolhead"/>
            </w:pPr>
            <w:r w:rsidRPr="009F0C73">
              <w:t>Indicator</w:t>
            </w:r>
          </w:p>
        </w:tc>
        <w:tc>
          <w:tcPr>
            <w:tcW w:w="1029" w:type="dxa"/>
          </w:tcPr>
          <w:p w14:paraId="5BB0F63D" w14:textId="1B294B9E" w:rsidR="0048231A" w:rsidRPr="009F0C73" w:rsidRDefault="0048231A" w:rsidP="0048231A">
            <w:pPr>
              <w:pStyle w:val="DHHStablecolhead"/>
            </w:pPr>
            <w:r>
              <w:t>Ref. year</w:t>
            </w:r>
          </w:p>
        </w:tc>
        <w:tc>
          <w:tcPr>
            <w:tcW w:w="944" w:type="dxa"/>
          </w:tcPr>
          <w:p w14:paraId="039BA0BC" w14:textId="1A46BDD9" w:rsidR="0048231A" w:rsidRPr="009F0C73" w:rsidRDefault="0048231A" w:rsidP="0048231A">
            <w:pPr>
              <w:pStyle w:val="DHHStablecolhead"/>
            </w:pPr>
            <w:r>
              <w:t>Two years prior</w:t>
            </w:r>
          </w:p>
        </w:tc>
        <w:tc>
          <w:tcPr>
            <w:tcW w:w="1146" w:type="dxa"/>
          </w:tcPr>
          <w:p w14:paraId="25168029" w14:textId="1175E804" w:rsidR="0048231A" w:rsidRPr="009F0C73" w:rsidRDefault="0048231A" w:rsidP="0048231A">
            <w:pPr>
              <w:pStyle w:val="DHHStablecolhead"/>
            </w:pPr>
            <w:r>
              <w:t>One year prior</w:t>
            </w:r>
          </w:p>
        </w:tc>
        <w:tc>
          <w:tcPr>
            <w:tcW w:w="1138" w:type="dxa"/>
          </w:tcPr>
          <w:p w14:paraId="6B3F69AD" w14:textId="45A0782C" w:rsidR="0048231A" w:rsidRPr="009F0C73" w:rsidRDefault="0048231A" w:rsidP="0048231A">
            <w:pPr>
              <w:pStyle w:val="DHHStablecolhead"/>
            </w:pPr>
            <w:r w:rsidRPr="009F0C73">
              <w:t>Most current data</w:t>
            </w:r>
          </w:p>
        </w:tc>
      </w:tr>
      <w:tr w:rsidR="00FE0B50" w:rsidRPr="009F0C73" w14:paraId="2151A270" w14:textId="77777777" w:rsidTr="006F161C">
        <w:tc>
          <w:tcPr>
            <w:tcW w:w="4927" w:type="dxa"/>
          </w:tcPr>
          <w:p w14:paraId="1A399F49" w14:textId="77777777" w:rsidR="00FE0B50" w:rsidRPr="009F0C73" w:rsidRDefault="00FE0B50" w:rsidP="00FE0B50">
            <w:pPr>
              <w:pStyle w:val="DHHStabletext"/>
            </w:pPr>
            <w:r w:rsidRPr="009F0C73">
              <w:t>12.1 Proportion of registered clients living in stable housing</w:t>
            </w:r>
          </w:p>
        </w:tc>
        <w:tc>
          <w:tcPr>
            <w:tcW w:w="1029" w:type="dxa"/>
          </w:tcPr>
          <w:p w14:paraId="668BF84B" w14:textId="3DF8D351" w:rsidR="00FE0B50" w:rsidRPr="00FE0B50" w:rsidRDefault="00FE0B50" w:rsidP="00FE0B50">
            <w:pPr>
              <w:pStyle w:val="DHHStabletext"/>
            </w:pPr>
            <w:r w:rsidRPr="00FE0B50">
              <w:t>2017–18</w:t>
            </w:r>
          </w:p>
        </w:tc>
        <w:tc>
          <w:tcPr>
            <w:tcW w:w="944" w:type="dxa"/>
          </w:tcPr>
          <w:p w14:paraId="222F3A78" w14:textId="0DCF9A27" w:rsidR="00FE0B50" w:rsidRPr="00FE0B50" w:rsidRDefault="00FE0B50" w:rsidP="00FE0B50">
            <w:pPr>
              <w:pStyle w:val="DHHStabletext"/>
            </w:pPr>
            <w:r w:rsidRPr="00FE0B50">
              <w:t>81%</w:t>
            </w:r>
          </w:p>
        </w:tc>
        <w:tc>
          <w:tcPr>
            <w:tcW w:w="1146" w:type="dxa"/>
          </w:tcPr>
          <w:p w14:paraId="2FA06C3E" w14:textId="35BCE307" w:rsidR="00FE0B50" w:rsidRPr="00FE0B50" w:rsidRDefault="00FE0B50" w:rsidP="00FE0B50">
            <w:pPr>
              <w:pStyle w:val="DHHStabletext"/>
            </w:pPr>
            <w:r w:rsidRPr="00FE0B50">
              <w:t>81%</w:t>
            </w:r>
          </w:p>
        </w:tc>
        <w:tc>
          <w:tcPr>
            <w:tcW w:w="1138" w:type="dxa"/>
          </w:tcPr>
          <w:p w14:paraId="38654D42" w14:textId="7DA4F323" w:rsidR="00FE0B50" w:rsidRPr="00FE0B50" w:rsidRDefault="00FE0B50" w:rsidP="00FE0B50">
            <w:pPr>
              <w:pStyle w:val="DHHStabletext"/>
            </w:pPr>
            <w:r w:rsidRPr="00FE0B50">
              <w:t>80%</w:t>
            </w:r>
          </w:p>
        </w:tc>
      </w:tr>
    </w:tbl>
    <w:p w14:paraId="53D164C6" w14:textId="77777777" w:rsidR="007E4F43" w:rsidRPr="009F0C73" w:rsidRDefault="007E4F43" w:rsidP="007E4F43">
      <w:pPr>
        <w:pStyle w:val="DHHStablecaption"/>
      </w:pPr>
      <w:r w:rsidRPr="009F0C73">
        <w:t>13. The treatment and support that Victorians with mental illness, their families and carers need, is available in the right place at the right time</w:t>
      </w:r>
    </w:p>
    <w:tbl>
      <w:tblPr>
        <w:tblStyle w:val="TableGrid"/>
        <w:tblW w:w="0" w:type="auto"/>
        <w:tblLook w:val="04A0" w:firstRow="1" w:lastRow="0" w:firstColumn="1" w:lastColumn="0" w:noHBand="0" w:noVBand="1"/>
      </w:tblPr>
      <w:tblGrid>
        <w:gridCol w:w="4927"/>
        <w:gridCol w:w="1048"/>
        <w:gridCol w:w="934"/>
        <w:gridCol w:w="1143"/>
        <w:gridCol w:w="1132"/>
      </w:tblGrid>
      <w:tr w:rsidR="0048231A" w:rsidRPr="009F0C73" w14:paraId="1EAA99F2" w14:textId="77777777" w:rsidTr="006F161C">
        <w:trPr>
          <w:tblHeader/>
        </w:trPr>
        <w:tc>
          <w:tcPr>
            <w:tcW w:w="4927" w:type="dxa"/>
          </w:tcPr>
          <w:p w14:paraId="2313E1B7" w14:textId="77777777" w:rsidR="0048231A" w:rsidRPr="009F0C73" w:rsidRDefault="0048231A" w:rsidP="0048231A">
            <w:pPr>
              <w:pStyle w:val="DHHStablecolhead"/>
            </w:pPr>
            <w:r w:rsidRPr="009F0C73">
              <w:t>Indicator</w:t>
            </w:r>
          </w:p>
        </w:tc>
        <w:tc>
          <w:tcPr>
            <w:tcW w:w="1048" w:type="dxa"/>
          </w:tcPr>
          <w:p w14:paraId="1AD0C3E3" w14:textId="263A9A75" w:rsidR="0048231A" w:rsidRPr="009F0C73" w:rsidRDefault="0048231A" w:rsidP="0048231A">
            <w:pPr>
              <w:pStyle w:val="DHHStablecolhead"/>
            </w:pPr>
            <w:r>
              <w:t>Ref. year</w:t>
            </w:r>
          </w:p>
        </w:tc>
        <w:tc>
          <w:tcPr>
            <w:tcW w:w="934" w:type="dxa"/>
          </w:tcPr>
          <w:p w14:paraId="18ACF030" w14:textId="31443CF7" w:rsidR="0048231A" w:rsidRPr="009F0C73" w:rsidRDefault="0048231A" w:rsidP="0048231A">
            <w:pPr>
              <w:pStyle w:val="DHHStablecolhead"/>
            </w:pPr>
            <w:r>
              <w:t>Two years prior</w:t>
            </w:r>
          </w:p>
        </w:tc>
        <w:tc>
          <w:tcPr>
            <w:tcW w:w="1143" w:type="dxa"/>
          </w:tcPr>
          <w:p w14:paraId="4CC6DE87" w14:textId="3696B015" w:rsidR="0048231A" w:rsidRPr="009F0C73" w:rsidRDefault="0048231A" w:rsidP="0048231A">
            <w:pPr>
              <w:pStyle w:val="DHHStablecolhead"/>
            </w:pPr>
            <w:r>
              <w:t>One year prior</w:t>
            </w:r>
          </w:p>
        </w:tc>
        <w:tc>
          <w:tcPr>
            <w:tcW w:w="1132" w:type="dxa"/>
          </w:tcPr>
          <w:p w14:paraId="0453D1F7" w14:textId="3A06176A" w:rsidR="0048231A" w:rsidRPr="009F0C73" w:rsidRDefault="0048231A" w:rsidP="0048231A">
            <w:pPr>
              <w:pStyle w:val="DHHStablecolhead"/>
            </w:pPr>
            <w:r w:rsidRPr="009F0C73">
              <w:t>Most current data</w:t>
            </w:r>
          </w:p>
        </w:tc>
      </w:tr>
      <w:tr w:rsidR="00FE0B50" w:rsidRPr="009F0C73" w14:paraId="5EC26F7D" w14:textId="77777777" w:rsidTr="006F161C">
        <w:tc>
          <w:tcPr>
            <w:tcW w:w="4927" w:type="dxa"/>
          </w:tcPr>
          <w:p w14:paraId="11E088A6" w14:textId="77777777" w:rsidR="00FE0B50" w:rsidRPr="009F0C73" w:rsidRDefault="00FE0B50" w:rsidP="00FE0B50">
            <w:pPr>
              <w:pStyle w:val="DHHStabletext"/>
            </w:pPr>
            <w:r w:rsidRPr="009F0C73">
              <w:t>13.1 Rate of preadmission contact</w:t>
            </w:r>
          </w:p>
        </w:tc>
        <w:tc>
          <w:tcPr>
            <w:tcW w:w="1048" w:type="dxa"/>
          </w:tcPr>
          <w:p w14:paraId="16A374AC" w14:textId="7291B62D" w:rsidR="00FE0B50" w:rsidRPr="00FE0B50" w:rsidRDefault="00FE0B50" w:rsidP="00FE0B50">
            <w:pPr>
              <w:pStyle w:val="DHHStabletext"/>
            </w:pPr>
            <w:r w:rsidRPr="00FE0B50">
              <w:t>2017–18</w:t>
            </w:r>
          </w:p>
        </w:tc>
        <w:tc>
          <w:tcPr>
            <w:tcW w:w="934" w:type="dxa"/>
          </w:tcPr>
          <w:p w14:paraId="029BE249" w14:textId="5B06D0F0" w:rsidR="00FE0B50" w:rsidRPr="00FE0B50" w:rsidRDefault="00FE0B50" w:rsidP="00FE0B50">
            <w:pPr>
              <w:pStyle w:val="DHHStabletext"/>
            </w:pPr>
            <w:r w:rsidRPr="00FE0B50">
              <w:t>57.2%</w:t>
            </w:r>
          </w:p>
        </w:tc>
        <w:tc>
          <w:tcPr>
            <w:tcW w:w="1143" w:type="dxa"/>
          </w:tcPr>
          <w:p w14:paraId="6DE6F077" w14:textId="6AC49AB2" w:rsidR="00FE0B50" w:rsidRPr="00FE0B50" w:rsidRDefault="00FE0B50" w:rsidP="00FE0B50">
            <w:pPr>
              <w:pStyle w:val="DHHStabletext"/>
            </w:pPr>
            <w:r w:rsidRPr="00FE0B50">
              <w:t>51.8%</w:t>
            </w:r>
          </w:p>
        </w:tc>
        <w:tc>
          <w:tcPr>
            <w:tcW w:w="1132" w:type="dxa"/>
          </w:tcPr>
          <w:p w14:paraId="4FA3ECDB" w14:textId="39A4D9A0" w:rsidR="00FE0B50" w:rsidRPr="00FE0B50" w:rsidRDefault="00FE0B50" w:rsidP="00FE0B50">
            <w:pPr>
              <w:pStyle w:val="DHHStabletext"/>
            </w:pPr>
            <w:r w:rsidRPr="00FE0B50">
              <w:t>59.4%</w:t>
            </w:r>
          </w:p>
        </w:tc>
      </w:tr>
      <w:tr w:rsidR="00FE0B50" w:rsidRPr="009F0C73" w14:paraId="303F9ED3" w14:textId="77777777" w:rsidTr="006F161C">
        <w:tc>
          <w:tcPr>
            <w:tcW w:w="4927" w:type="dxa"/>
          </w:tcPr>
          <w:p w14:paraId="643BF7C2" w14:textId="77777777" w:rsidR="00FE0B50" w:rsidRPr="009F0C73" w:rsidRDefault="00FE0B50" w:rsidP="00FE0B50">
            <w:pPr>
              <w:pStyle w:val="DHHStabletext"/>
            </w:pPr>
            <w:r w:rsidRPr="009F0C73">
              <w:t>13.2 Rate of readmission within 28 days</w:t>
            </w:r>
            <w:r w:rsidRPr="009F0C73">
              <w:tab/>
            </w:r>
          </w:p>
        </w:tc>
        <w:tc>
          <w:tcPr>
            <w:tcW w:w="1048" w:type="dxa"/>
          </w:tcPr>
          <w:p w14:paraId="2E7A6843" w14:textId="043D93C3" w:rsidR="00FE0B50" w:rsidRPr="00FE0B50" w:rsidRDefault="00FE0B50" w:rsidP="00FE0B50">
            <w:pPr>
              <w:pStyle w:val="DHHStabletext"/>
            </w:pPr>
            <w:r w:rsidRPr="00FE0B50">
              <w:t>2017–18</w:t>
            </w:r>
          </w:p>
        </w:tc>
        <w:tc>
          <w:tcPr>
            <w:tcW w:w="934" w:type="dxa"/>
          </w:tcPr>
          <w:p w14:paraId="37281B11" w14:textId="495A6200" w:rsidR="00FE0B50" w:rsidRPr="00FE0B50" w:rsidRDefault="00FE0B50" w:rsidP="00FE0B50">
            <w:pPr>
              <w:pStyle w:val="DHHStabletext"/>
            </w:pPr>
            <w:r w:rsidRPr="00FE0B50">
              <w:t>13.9%</w:t>
            </w:r>
          </w:p>
        </w:tc>
        <w:tc>
          <w:tcPr>
            <w:tcW w:w="1143" w:type="dxa"/>
          </w:tcPr>
          <w:p w14:paraId="6B9CB626" w14:textId="499AD70B" w:rsidR="00FE0B50" w:rsidRPr="00FE0B50" w:rsidRDefault="00FE0B50" w:rsidP="00FE0B50">
            <w:pPr>
              <w:pStyle w:val="DHHStabletext"/>
            </w:pPr>
            <w:r w:rsidRPr="00FE0B50">
              <w:t>13.4%</w:t>
            </w:r>
          </w:p>
        </w:tc>
        <w:tc>
          <w:tcPr>
            <w:tcW w:w="1132" w:type="dxa"/>
          </w:tcPr>
          <w:p w14:paraId="7604C67D" w14:textId="185CCF27" w:rsidR="00FE0B50" w:rsidRPr="00FE0B50" w:rsidRDefault="00FE0B50" w:rsidP="00FE0B50">
            <w:pPr>
              <w:pStyle w:val="DHHStabletext"/>
            </w:pPr>
            <w:r w:rsidRPr="00FE0B50">
              <w:t>13.8%</w:t>
            </w:r>
          </w:p>
        </w:tc>
      </w:tr>
      <w:tr w:rsidR="00FE0B50" w:rsidRPr="009F0C73" w14:paraId="247F1DF1" w14:textId="77777777" w:rsidTr="006F161C">
        <w:tc>
          <w:tcPr>
            <w:tcW w:w="4927" w:type="dxa"/>
          </w:tcPr>
          <w:p w14:paraId="13BCD068" w14:textId="77777777" w:rsidR="00FE0B50" w:rsidRPr="009F0C73" w:rsidRDefault="00FE0B50" w:rsidP="00FE0B50">
            <w:pPr>
              <w:pStyle w:val="DHHStabletext"/>
            </w:pPr>
            <w:r w:rsidRPr="009F0C73">
              <w:t>13.3 Rate of post-discharge follow-up</w:t>
            </w:r>
          </w:p>
        </w:tc>
        <w:tc>
          <w:tcPr>
            <w:tcW w:w="1048" w:type="dxa"/>
          </w:tcPr>
          <w:p w14:paraId="4C73BA24" w14:textId="3B83CCA8" w:rsidR="00FE0B50" w:rsidRPr="00FE0B50" w:rsidRDefault="00FE0B50" w:rsidP="00FE0B50">
            <w:pPr>
              <w:pStyle w:val="DHHStabletext"/>
            </w:pPr>
            <w:r w:rsidRPr="00FE0B50">
              <w:t>2017–18</w:t>
            </w:r>
          </w:p>
        </w:tc>
        <w:tc>
          <w:tcPr>
            <w:tcW w:w="934" w:type="dxa"/>
          </w:tcPr>
          <w:p w14:paraId="48D984C1" w14:textId="4A4F196E" w:rsidR="00FE0B50" w:rsidRPr="00FE0B50" w:rsidRDefault="00FE0B50" w:rsidP="00FE0B50">
            <w:pPr>
              <w:pStyle w:val="DHHStabletext"/>
            </w:pPr>
            <w:r w:rsidRPr="00FE0B50">
              <w:t>84.2%</w:t>
            </w:r>
          </w:p>
        </w:tc>
        <w:tc>
          <w:tcPr>
            <w:tcW w:w="1143" w:type="dxa"/>
          </w:tcPr>
          <w:p w14:paraId="4D93F1C2" w14:textId="336E72BE" w:rsidR="00FE0B50" w:rsidRPr="00FE0B50" w:rsidRDefault="00FE0B50" w:rsidP="00FE0B50">
            <w:pPr>
              <w:pStyle w:val="DHHStabletext"/>
            </w:pPr>
            <w:r w:rsidRPr="00FE0B50">
              <w:t>77.6%</w:t>
            </w:r>
          </w:p>
        </w:tc>
        <w:tc>
          <w:tcPr>
            <w:tcW w:w="1132" w:type="dxa"/>
          </w:tcPr>
          <w:p w14:paraId="3FAE805C" w14:textId="122D7F44" w:rsidR="00FE0B50" w:rsidRPr="00FE0B50" w:rsidRDefault="00FE0B50" w:rsidP="00FE0B50">
            <w:pPr>
              <w:pStyle w:val="DHHStabletext"/>
            </w:pPr>
            <w:r w:rsidRPr="00FE0B50">
              <w:t>87.0%</w:t>
            </w:r>
          </w:p>
        </w:tc>
      </w:tr>
      <w:tr w:rsidR="00FE0B50" w:rsidRPr="009F0C73" w14:paraId="0E945234" w14:textId="77777777" w:rsidTr="006F161C">
        <w:tc>
          <w:tcPr>
            <w:tcW w:w="4927" w:type="dxa"/>
          </w:tcPr>
          <w:p w14:paraId="3BAC7C32" w14:textId="77777777" w:rsidR="00FE0B50" w:rsidRPr="009F0C73" w:rsidRDefault="00FE0B50" w:rsidP="00FE0B50">
            <w:pPr>
              <w:pStyle w:val="DHHStabletext"/>
            </w:pPr>
            <w:r w:rsidRPr="009F0C73">
              <w:t>13.4 New registered clients accessing public mental health services (no access in last five years)</w:t>
            </w:r>
          </w:p>
        </w:tc>
        <w:tc>
          <w:tcPr>
            <w:tcW w:w="1048" w:type="dxa"/>
          </w:tcPr>
          <w:p w14:paraId="65B1BC55" w14:textId="77870C8F" w:rsidR="00FE0B50" w:rsidRPr="00FE0B50" w:rsidRDefault="00FE0B50" w:rsidP="00FE0B50">
            <w:pPr>
              <w:pStyle w:val="DHHStabletext"/>
            </w:pPr>
            <w:r w:rsidRPr="00FE0B50">
              <w:t>2017–18</w:t>
            </w:r>
          </w:p>
        </w:tc>
        <w:tc>
          <w:tcPr>
            <w:tcW w:w="934" w:type="dxa"/>
          </w:tcPr>
          <w:p w14:paraId="7112403C" w14:textId="120CA018" w:rsidR="00FE0B50" w:rsidRPr="00FE0B50" w:rsidRDefault="00FE0B50" w:rsidP="00FE0B50">
            <w:pPr>
              <w:pStyle w:val="DHHStabletext"/>
            </w:pPr>
            <w:r w:rsidRPr="00FE0B50">
              <w:t>35.7%</w:t>
            </w:r>
          </w:p>
        </w:tc>
        <w:tc>
          <w:tcPr>
            <w:tcW w:w="1143" w:type="dxa"/>
          </w:tcPr>
          <w:p w14:paraId="6325553E" w14:textId="18411C2E" w:rsidR="00FE0B50" w:rsidRPr="00FE0B50" w:rsidRDefault="00FE0B50" w:rsidP="00FE0B50">
            <w:pPr>
              <w:pStyle w:val="DHHStabletext"/>
            </w:pPr>
            <w:r w:rsidRPr="00FE0B50">
              <w:t>36.6%</w:t>
            </w:r>
          </w:p>
        </w:tc>
        <w:tc>
          <w:tcPr>
            <w:tcW w:w="1132" w:type="dxa"/>
          </w:tcPr>
          <w:p w14:paraId="2A440584" w14:textId="0DD72BC2" w:rsidR="00FE0B50" w:rsidRPr="00FE0B50" w:rsidRDefault="00FE0B50" w:rsidP="00FE0B50">
            <w:pPr>
              <w:pStyle w:val="DHHStabletext"/>
            </w:pPr>
            <w:r w:rsidRPr="00FE0B50">
              <w:t>36.8%</w:t>
            </w:r>
          </w:p>
        </w:tc>
      </w:tr>
      <w:tr w:rsidR="00FE0B50" w:rsidRPr="009F0C73" w14:paraId="2C8C2C9B" w14:textId="77777777" w:rsidTr="006F161C">
        <w:tc>
          <w:tcPr>
            <w:tcW w:w="4927" w:type="dxa"/>
          </w:tcPr>
          <w:p w14:paraId="247B1A7E" w14:textId="50014BA4" w:rsidR="00FE0B50" w:rsidRPr="009F0C73" w:rsidRDefault="00FE0B50" w:rsidP="00FE0B50">
            <w:pPr>
              <w:pStyle w:val="DHHStabletext"/>
            </w:pPr>
            <w:r>
              <w:t xml:space="preserve">13.5 </w:t>
            </w:r>
            <w:r w:rsidRPr="00DF32B2">
              <w:t>Proportion of consumers reporting the effect the service had on their ability to manage</w:t>
            </w:r>
            <w:r>
              <w:t xml:space="preserve"> </w:t>
            </w:r>
            <w:r w:rsidRPr="00DF32B2">
              <w:t>their day-to-day life was very good (2</w:t>
            </w:r>
            <w:r w:rsidR="001D027F">
              <w:t>9</w:t>
            </w:r>
            <w:r w:rsidRPr="00DF32B2">
              <w:t>.</w:t>
            </w:r>
            <w:r w:rsidR="001D027F">
              <w:t>2</w:t>
            </w:r>
            <w:r w:rsidRPr="00DF32B2">
              <w:t>%) or excellent (</w:t>
            </w:r>
            <w:r w:rsidR="001D027F" w:rsidRPr="00DF32B2">
              <w:t>2</w:t>
            </w:r>
            <w:r w:rsidR="001D027F">
              <w:t>6</w:t>
            </w:r>
            <w:r w:rsidRPr="00DF32B2">
              <w:t>.</w:t>
            </w:r>
            <w:r w:rsidR="001D027F">
              <w:t>0</w:t>
            </w:r>
            <w:r w:rsidRPr="00DF32B2">
              <w:t>%)</w:t>
            </w:r>
          </w:p>
        </w:tc>
        <w:tc>
          <w:tcPr>
            <w:tcW w:w="1048" w:type="dxa"/>
          </w:tcPr>
          <w:p w14:paraId="14DF7535" w14:textId="7C767D59" w:rsidR="00FE0B50" w:rsidRPr="00FE0B50" w:rsidRDefault="00FE0B50" w:rsidP="00FE0B50">
            <w:pPr>
              <w:pStyle w:val="DHHStabletext"/>
            </w:pPr>
            <w:r w:rsidRPr="00FE0B50">
              <w:t>2017–18</w:t>
            </w:r>
          </w:p>
        </w:tc>
        <w:tc>
          <w:tcPr>
            <w:tcW w:w="934" w:type="dxa"/>
          </w:tcPr>
          <w:p w14:paraId="32DFDF60" w14:textId="54404BA6" w:rsidR="00FE0B50" w:rsidRPr="00FE0B50" w:rsidRDefault="00FE0B50" w:rsidP="00FE0B50">
            <w:pPr>
              <w:pStyle w:val="DHHStabletext"/>
            </w:pPr>
            <w:r w:rsidRPr="00FE0B50">
              <w:t>51.4%</w:t>
            </w:r>
          </w:p>
        </w:tc>
        <w:tc>
          <w:tcPr>
            <w:tcW w:w="1143" w:type="dxa"/>
          </w:tcPr>
          <w:p w14:paraId="21B41B7B" w14:textId="65AAA24A" w:rsidR="00FE0B50" w:rsidRPr="00FE0B50" w:rsidRDefault="00FE0B50" w:rsidP="00FE0B50">
            <w:pPr>
              <w:pStyle w:val="DHHStabletext"/>
            </w:pPr>
            <w:r w:rsidRPr="00FE0B50">
              <w:t>53.6%</w:t>
            </w:r>
          </w:p>
        </w:tc>
        <w:tc>
          <w:tcPr>
            <w:tcW w:w="1132" w:type="dxa"/>
          </w:tcPr>
          <w:p w14:paraId="158F1102" w14:textId="7D7927E0" w:rsidR="00FE0B50" w:rsidRPr="00FE0B50" w:rsidRDefault="00FE0B50" w:rsidP="00FE0B50">
            <w:pPr>
              <w:pStyle w:val="DHHStabletext"/>
            </w:pPr>
            <w:r w:rsidRPr="00FE0B50">
              <w:t>55.2%</w:t>
            </w:r>
          </w:p>
        </w:tc>
      </w:tr>
    </w:tbl>
    <w:p w14:paraId="6B223FAC" w14:textId="77777777" w:rsidR="007E4F43" w:rsidRPr="009F0C73" w:rsidRDefault="007E4F43" w:rsidP="007E4F43">
      <w:pPr>
        <w:pStyle w:val="DHHStablecaption"/>
      </w:pPr>
      <w:r w:rsidRPr="009F0C73">
        <w:lastRenderedPageBreak/>
        <w:t>14. Services are recovery-oriented, trauma-informed and family-inclusive</w:t>
      </w:r>
    </w:p>
    <w:tbl>
      <w:tblPr>
        <w:tblStyle w:val="TableGrid"/>
        <w:tblW w:w="0" w:type="auto"/>
        <w:tblLook w:val="04A0" w:firstRow="1" w:lastRow="0" w:firstColumn="1" w:lastColumn="0" w:noHBand="0" w:noVBand="1"/>
      </w:tblPr>
      <w:tblGrid>
        <w:gridCol w:w="4927"/>
        <w:gridCol w:w="1045"/>
        <w:gridCol w:w="936"/>
        <w:gridCol w:w="1143"/>
        <w:gridCol w:w="1133"/>
      </w:tblGrid>
      <w:tr w:rsidR="0048231A" w:rsidRPr="009F0C73" w14:paraId="48DA726B" w14:textId="77777777" w:rsidTr="006F161C">
        <w:trPr>
          <w:tblHeader/>
        </w:trPr>
        <w:tc>
          <w:tcPr>
            <w:tcW w:w="4927" w:type="dxa"/>
          </w:tcPr>
          <w:p w14:paraId="1BF19ED3" w14:textId="77777777" w:rsidR="0048231A" w:rsidRPr="009F0C73" w:rsidRDefault="0048231A" w:rsidP="0048231A">
            <w:pPr>
              <w:pStyle w:val="DHHStablecolhead"/>
            </w:pPr>
            <w:r w:rsidRPr="009F0C73">
              <w:t>Indicator</w:t>
            </w:r>
          </w:p>
        </w:tc>
        <w:tc>
          <w:tcPr>
            <w:tcW w:w="1045" w:type="dxa"/>
          </w:tcPr>
          <w:p w14:paraId="0D8540B3" w14:textId="14768F52" w:rsidR="0048231A" w:rsidRPr="009F0C73" w:rsidRDefault="0048231A" w:rsidP="0048231A">
            <w:pPr>
              <w:pStyle w:val="DHHStablecolhead"/>
            </w:pPr>
            <w:r>
              <w:t>Ref. year</w:t>
            </w:r>
          </w:p>
        </w:tc>
        <w:tc>
          <w:tcPr>
            <w:tcW w:w="936" w:type="dxa"/>
          </w:tcPr>
          <w:p w14:paraId="4128B6C7" w14:textId="2364F104" w:rsidR="0048231A" w:rsidRPr="009F0C73" w:rsidRDefault="0048231A" w:rsidP="0048231A">
            <w:pPr>
              <w:pStyle w:val="DHHStablecolhead"/>
            </w:pPr>
            <w:r>
              <w:t>Two years prior</w:t>
            </w:r>
          </w:p>
        </w:tc>
        <w:tc>
          <w:tcPr>
            <w:tcW w:w="1143" w:type="dxa"/>
          </w:tcPr>
          <w:p w14:paraId="1F66C984" w14:textId="0AF3892D" w:rsidR="0048231A" w:rsidRPr="009F0C73" w:rsidRDefault="0048231A" w:rsidP="0048231A">
            <w:pPr>
              <w:pStyle w:val="DHHStablecolhead"/>
            </w:pPr>
            <w:r>
              <w:t>One year prior</w:t>
            </w:r>
          </w:p>
        </w:tc>
        <w:tc>
          <w:tcPr>
            <w:tcW w:w="1133" w:type="dxa"/>
          </w:tcPr>
          <w:p w14:paraId="454D7DA8" w14:textId="6F331BC6" w:rsidR="0048231A" w:rsidRPr="009F0C73" w:rsidRDefault="0048231A" w:rsidP="0048231A">
            <w:pPr>
              <w:pStyle w:val="DHHStablecolhead"/>
            </w:pPr>
            <w:r w:rsidRPr="009F0C73">
              <w:t>Most current data</w:t>
            </w:r>
          </w:p>
        </w:tc>
      </w:tr>
      <w:tr w:rsidR="00FE0B50" w:rsidRPr="009F0C73" w14:paraId="326BD72D" w14:textId="77777777" w:rsidTr="006F161C">
        <w:tc>
          <w:tcPr>
            <w:tcW w:w="4927" w:type="dxa"/>
          </w:tcPr>
          <w:p w14:paraId="7F644B48" w14:textId="77777777" w:rsidR="00FE0B50" w:rsidRPr="009F0C73" w:rsidRDefault="00FE0B50" w:rsidP="00FE0B50">
            <w:pPr>
              <w:pStyle w:val="DHHStabletext"/>
            </w:pPr>
            <w:r w:rsidRPr="009F0C73">
              <w:t>14.1 Proportion of registered clients experiencing stable or improved clinical outcomes (adults)</w:t>
            </w:r>
          </w:p>
        </w:tc>
        <w:tc>
          <w:tcPr>
            <w:tcW w:w="1045" w:type="dxa"/>
          </w:tcPr>
          <w:p w14:paraId="157E262F" w14:textId="4A55FF3F" w:rsidR="00FE0B50" w:rsidRPr="00FE0B50" w:rsidRDefault="00FE0B50" w:rsidP="00FE0B50">
            <w:pPr>
              <w:pStyle w:val="DHHStabletext"/>
            </w:pPr>
            <w:r w:rsidRPr="00FE0B50">
              <w:t>2017–18</w:t>
            </w:r>
          </w:p>
        </w:tc>
        <w:tc>
          <w:tcPr>
            <w:tcW w:w="936" w:type="dxa"/>
          </w:tcPr>
          <w:p w14:paraId="4E4D2498" w14:textId="5EF713DE" w:rsidR="00FE0B50" w:rsidRPr="00FE0B50" w:rsidRDefault="00FE0B50" w:rsidP="00FE0B50">
            <w:pPr>
              <w:pStyle w:val="DHHStabletext"/>
            </w:pPr>
            <w:r w:rsidRPr="00FE0B50">
              <w:t>91.1%</w:t>
            </w:r>
          </w:p>
        </w:tc>
        <w:tc>
          <w:tcPr>
            <w:tcW w:w="1143" w:type="dxa"/>
          </w:tcPr>
          <w:p w14:paraId="45A9163F" w14:textId="1F6AC463" w:rsidR="00FE0B50" w:rsidRPr="00FE0B50" w:rsidRDefault="00FE0B50" w:rsidP="00FE0B50">
            <w:pPr>
              <w:pStyle w:val="DHHStabletext"/>
            </w:pPr>
            <w:r w:rsidRPr="00FE0B50">
              <w:t>91.1%</w:t>
            </w:r>
          </w:p>
        </w:tc>
        <w:tc>
          <w:tcPr>
            <w:tcW w:w="1133" w:type="dxa"/>
          </w:tcPr>
          <w:p w14:paraId="02C749EE" w14:textId="4AA8EF5C" w:rsidR="00FE0B50" w:rsidRPr="00FE0B50" w:rsidRDefault="00FE0B50" w:rsidP="00FE0B50">
            <w:pPr>
              <w:pStyle w:val="DHHStabletext"/>
            </w:pPr>
            <w:r w:rsidRPr="00FE0B50">
              <w:t>91.1%</w:t>
            </w:r>
          </w:p>
        </w:tc>
      </w:tr>
      <w:tr w:rsidR="00FE0B50" w:rsidRPr="009F0C73" w14:paraId="3686EC15" w14:textId="77777777" w:rsidTr="006F161C">
        <w:tc>
          <w:tcPr>
            <w:tcW w:w="4927" w:type="dxa"/>
          </w:tcPr>
          <w:p w14:paraId="6E2A972A" w14:textId="5CBFBD6D" w:rsidR="00FE0B50" w:rsidRPr="009F0C73" w:rsidRDefault="00FE0B50" w:rsidP="00FE0B50">
            <w:pPr>
              <w:pStyle w:val="DHHStabletext"/>
            </w:pPr>
            <w:r w:rsidRPr="009F0C73">
              <w:t>14.2 Proportion of registered clients experiencing stable or improved clinical outcomes (</w:t>
            </w:r>
            <w:r w:rsidR="001D027F">
              <w:t>child and adolescent</w:t>
            </w:r>
            <w:r w:rsidRPr="009F0C73">
              <w:t>)</w:t>
            </w:r>
          </w:p>
        </w:tc>
        <w:tc>
          <w:tcPr>
            <w:tcW w:w="1045" w:type="dxa"/>
          </w:tcPr>
          <w:p w14:paraId="3BFAAAA1" w14:textId="11B906BF" w:rsidR="00FE0B50" w:rsidRPr="00FE0B50" w:rsidRDefault="00FE0B50" w:rsidP="00FE0B50">
            <w:pPr>
              <w:pStyle w:val="DHHStabletext"/>
            </w:pPr>
            <w:r w:rsidRPr="00FE0B50">
              <w:t>2017–18</w:t>
            </w:r>
          </w:p>
        </w:tc>
        <w:tc>
          <w:tcPr>
            <w:tcW w:w="936" w:type="dxa"/>
          </w:tcPr>
          <w:p w14:paraId="0D5637BE" w14:textId="18F69120" w:rsidR="00FE0B50" w:rsidRPr="00FE0B50" w:rsidRDefault="00FE0B50" w:rsidP="00FE0B50">
            <w:pPr>
              <w:pStyle w:val="DHHStabletext"/>
            </w:pPr>
            <w:r w:rsidRPr="00FE0B50">
              <w:t>90.6%</w:t>
            </w:r>
          </w:p>
        </w:tc>
        <w:tc>
          <w:tcPr>
            <w:tcW w:w="1143" w:type="dxa"/>
          </w:tcPr>
          <w:p w14:paraId="72F6117A" w14:textId="1405541A" w:rsidR="00FE0B50" w:rsidRPr="00FE0B50" w:rsidRDefault="00FE0B50" w:rsidP="00FE0B50">
            <w:pPr>
              <w:pStyle w:val="DHHStabletext"/>
            </w:pPr>
            <w:r w:rsidRPr="00FE0B50">
              <w:t>91.3%</w:t>
            </w:r>
          </w:p>
        </w:tc>
        <w:tc>
          <w:tcPr>
            <w:tcW w:w="1133" w:type="dxa"/>
          </w:tcPr>
          <w:p w14:paraId="650972D3" w14:textId="50282482" w:rsidR="00FE0B50" w:rsidRPr="00FE0B50" w:rsidRDefault="00FE0B50" w:rsidP="00FE0B50">
            <w:pPr>
              <w:pStyle w:val="DHHStabletext"/>
            </w:pPr>
            <w:r w:rsidRPr="00FE0B50">
              <w:t>90.6%</w:t>
            </w:r>
          </w:p>
        </w:tc>
      </w:tr>
      <w:tr w:rsidR="00FE0B50" w:rsidRPr="009F0C73" w14:paraId="18C278AB" w14:textId="77777777" w:rsidTr="006F161C">
        <w:tc>
          <w:tcPr>
            <w:tcW w:w="4927" w:type="dxa"/>
          </w:tcPr>
          <w:p w14:paraId="711BBCE4" w14:textId="77777777" w:rsidR="00FE0B50" w:rsidRPr="009F0C73" w:rsidRDefault="00FE0B50" w:rsidP="00FE0B50">
            <w:pPr>
              <w:pStyle w:val="DHHStabletext"/>
            </w:pPr>
            <w:r w:rsidRPr="009F0C73">
              <w:t>14.3 Proportion of registered clients experiencing stable or improved clinical outcomes (aged persons)</w:t>
            </w:r>
          </w:p>
        </w:tc>
        <w:tc>
          <w:tcPr>
            <w:tcW w:w="1045" w:type="dxa"/>
          </w:tcPr>
          <w:p w14:paraId="6EC2790B" w14:textId="317BB7BA" w:rsidR="00FE0B50" w:rsidRPr="00FE0B50" w:rsidRDefault="00FE0B50" w:rsidP="00FE0B50">
            <w:pPr>
              <w:pStyle w:val="DHHStabletext"/>
            </w:pPr>
            <w:r w:rsidRPr="00FE0B50">
              <w:t>2017–18</w:t>
            </w:r>
          </w:p>
        </w:tc>
        <w:tc>
          <w:tcPr>
            <w:tcW w:w="936" w:type="dxa"/>
          </w:tcPr>
          <w:p w14:paraId="3E5671C2" w14:textId="3C2B825F" w:rsidR="00FE0B50" w:rsidRPr="00FE0B50" w:rsidRDefault="00FE0B50" w:rsidP="00FE0B50">
            <w:pPr>
              <w:pStyle w:val="DHHStabletext"/>
            </w:pPr>
            <w:r w:rsidRPr="00FE0B50">
              <w:t>93.9%</w:t>
            </w:r>
          </w:p>
        </w:tc>
        <w:tc>
          <w:tcPr>
            <w:tcW w:w="1143" w:type="dxa"/>
          </w:tcPr>
          <w:p w14:paraId="502A59CF" w14:textId="00DA7C20" w:rsidR="00FE0B50" w:rsidRPr="00FE0B50" w:rsidRDefault="00FE0B50" w:rsidP="00FE0B50">
            <w:pPr>
              <w:pStyle w:val="DHHStabletext"/>
            </w:pPr>
            <w:r w:rsidRPr="00FE0B50">
              <w:t>92.3%</w:t>
            </w:r>
          </w:p>
        </w:tc>
        <w:tc>
          <w:tcPr>
            <w:tcW w:w="1133" w:type="dxa"/>
          </w:tcPr>
          <w:p w14:paraId="03C43218" w14:textId="5AC39C8B" w:rsidR="00FE0B50" w:rsidRPr="00FE0B50" w:rsidRDefault="00FE0B50" w:rsidP="00FE0B50">
            <w:pPr>
              <w:pStyle w:val="DHHStabletext"/>
            </w:pPr>
            <w:r w:rsidRPr="00FE0B50">
              <w:t>92.3%</w:t>
            </w:r>
          </w:p>
        </w:tc>
      </w:tr>
      <w:tr w:rsidR="00FE0B50" w:rsidRPr="009F0C73" w14:paraId="70433F2F" w14:textId="77777777" w:rsidTr="006F161C">
        <w:tc>
          <w:tcPr>
            <w:tcW w:w="4927" w:type="dxa"/>
          </w:tcPr>
          <w:p w14:paraId="7BDEA399" w14:textId="4D885210" w:rsidR="00FE0B50" w:rsidRPr="008E0CFE" w:rsidRDefault="00FE0B50" w:rsidP="00FE0B50">
            <w:pPr>
              <w:pStyle w:val="DHHStabletext"/>
            </w:pPr>
            <w:r w:rsidRPr="008E0CFE">
              <w:rPr>
                <w:rFonts w:eastAsia="VIC-Regular"/>
              </w:rPr>
              <w:t xml:space="preserve">14.4 Proportion of registered clients experiencing stable or improved clinical outcomes (forensic) </w:t>
            </w:r>
          </w:p>
        </w:tc>
        <w:tc>
          <w:tcPr>
            <w:tcW w:w="1045" w:type="dxa"/>
          </w:tcPr>
          <w:p w14:paraId="6AC93F73" w14:textId="09E83007" w:rsidR="00FE0B50" w:rsidRPr="00FE0B50" w:rsidRDefault="00FE0B50" w:rsidP="00FE0B50">
            <w:pPr>
              <w:pStyle w:val="DHHStabletext"/>
              <w:rPr>
                <w:rFonts w:eastAsia="VIC-Regular"/>
              </w:rPr>
            </w:pPr>
            <w:r w:rsidRPr="00FE0B50">
              <w:t>2017–18</w:t>
            </w:r>
          </w:p>
        </w:tc>
        <w:tc>
          <w:tcPr>
            <w:tcW w:w="936" w:type="dxa"/>
          </w:tcPr>
          <w:p w14:paraId="464DF716" w14:textId="7C24A32B" w:rsidR="00FE0B50" w:rsidRPr="00FE0B50" w:rsidRDefault="00FE0B50" w:rsidP="00FE0B50">
            <w:pPr>
              <w:pStyle w:val="DHHStabletext"/>
              <w:rPr>
                <w:rFonts w:eastAsia="VIC-Regular"/>
              </w:rPr>
            </w:pPr>
            <w:r w:rsidRPr="00FE0B50">
              <w:t>78.6%</w:t>
            </w:r>
          </w:p>
        </w:tc>
        <w:tc>
          <w:tcPr>
            <w:tcW w:w="1143" w:type="dxa"/>
          </w:tcPr>
          <w:p w14:paraId="273727C9" w14:textId="32F995FC" w:rsidR="00FE0B50" w:rsidRPr="00FE0B50" w:rsidRDefault="00FE0B50" w:rsidP="00FE0B50">
            <w:pPr>
              <w:pStyle w:val="DHHStabletext"/>
            </w:pPr>
            <w:r w:rsidRPr="00FE0B50">
              <w:t>78.6%</w:t>
            </w:r>
          </w:p>
        </w:tc>
        <w:tc>
          <w:tcPr>
            <w:tcW w:w="1133" w:type="dxa"/>
          </w:tcPr>
          <w:p w14:paraId="09FDFF99" w14:textId="0019B49A" w:rsidR="00FE0B50" w:rsidRPr="00FE0B50" w:rsidRDefault="00FE0B50" w:rsidP="00FE0B50">
            <w:pPr>
              <w:pStyle w:val="DHHStabletext"/>
            </w:pPr>
            <w:r w:rsidRPr="00FE0B50">
              <w:t>83.3%</w:t>
            </w:r>
          </w:p>
        </w:tc>
      </w:tr>
      <w:tr w:rsidR="00FE0B50" w:rsidRPr="009F0C73" w14:paraId="7960BE8A" w14:textId="77777777" w:rsidTr="006F161C">
        <w:tc>
          <w:tcPr>
            <w:tcW w:w="4927" w:type="dxa"/>
          </w:tcPr>
          <w:p w14:paraId="0870A2DB" w14:textId="28F5F4AB" w:rsidR="00FE0B50" w:rsidRPr="008E0CFE" w:rsidRDefault="00FE0B50" w:rsidP="00FE0B50">
            <w:pPr>
              <w:pStyle w:val="DHHStabletext"/>
            </w:pPr>
            <w:r w:rsidRPr="008E0CFE">
              <w:rPr>
                <w:rFonts w:eastAsia="VIC-Regular"/>
              </w:rPr>
              <w:t>14.5 Proportion of registered clients experiencing stable or improved clinical outcomes</w:t>
            </w:r>
            <w:r w:rsidR="001D027F">
              <w:rPr>
                <w:rFonts w:eastAsia="VIC-Regular"/>
              </w:rPr>
              <w:t xml:space="preserve"> (specialist)</w:t>
            </w:r>
          </w:p>
        </w:tc>
        <w:tc>
          <w:tcPr>
            <w:tcW w:w="1045" w:type="dxa"/>
          </w:tcPr>
          <w:p w14:paraId="5D478295" w14:textId="1FB5EB8D" w:rsidR="00FE0B50" w:rsidRPr="00FE0B50" w:rsidRDefault="00FE0B50" w:rsidP="00FE0B50">
            <w:pPr>
              <w:pStyle w:val="DHHStabletext"/>
            </w:pPr>
            <w:r w:rsidRPr="00FE0B50">
              <w:t>2017–18</w:t>
            </w:r>
          </w:p>
        </w:tc>
        <w:tc>
          <w:tcPr>
            <w:tcW w:w="936" w:type="dxa"/>
          </w:tcPr>
          <w:p w14:paraId="623C6FFD" w14:textId="05552AAB" w:rsidR="00FE0B50" w:rsidRPr="00FE0B50" w:rsidRDefault="00FE0B50" w:rsidP="00FE0B50">
            <w:pPr>
              <w:pStyle w:val="DHHStabletext"/>
            </w:pPr>
            <w:r w:rsidRPr="00FE0B50">
              <w:t>94.9%</w:t>
            </w:r>
          </w:p>
        </w:tc>
        <w:tc>
          <w:tcPr>
            <w:tcW w:w="1143" w:type="dxa"/>
          </w:tcPr>
          <w:p w14:paraId="64244E2C" w14:textId="7E6C43C8" w:rsidR="00FE0B50" w:rsidRPr="00FE0B50" w:rsidRDefault="00FE0B50" w:rsidP="00FE0B50">
            <w:pPr>
              <w:pStyle w:val="DHHStabletext"/>
            </w:pPr>
            <w:r w:rsidRPr="00FE0B50">
              <w:t>95.5%</w:t>
            </w:r>
          </w:p>
        </w:tc>
        <w:tc>
          <w:tcPr>
            <w:tcW w:w="1133" w:type="dxa"/>
          </w:tcPr>
          <w:p w14:paraId="5FD7EB0A" w14:textId="040DCF38" w:rsidR="00FE0B50" w:rsidRPr="00FE0B50" w:rsidRDefault="00FE0B50" w:rsidP="00FE0B50">
            <w:pPr>
              <w:pStyle w:val="DHHStabletext"/>
            </w:pPr>
            <w:r w:rsidRPr="00FE0B50">
              <w:t>96.5%</w:t>
            </w:r>
          </w:p>
        </w:tc>
      </w:tr>
      <w:tr w:rsidR="00FE0B50" w:rsidRPr="009F0C73" w14:paraId="5441406A" w14:textId="77777777" w:rsidTr="006F161C">
        <w:tc>
          <w:tcPr>
            <w:tcW w:w="4927" w:type="dxa"/>
          </w:tcPr>
          <w:p w14:paraId="4D4E2769" w14:textId="2E2D84C2" w:rsidR="00FE0B50" w:rsidRPr="008E0CFE" w:rsidRDefault="00FE0B50" w:rsidP="00FE0B50">
            <w:pPr>
              <w:pStyle w:val="DHHStabletext"/>
            </w:pPr>
            <w:r w:rsidRPr="008E0CFE">
              <w:t xml:space="preserve">14.6 </w:t>
            </w:r>
            <w:r w:rsidRPr="008E0CFE">
              <w:rPr>
                <w:rFonts w:eastAsia="VIC-Regular"/>
              </w:rPr>
              <w:t>Proportion of consumers who reported they usually (2</w:t>
            </w:r>
            <w:r>
              <w:rPr>
                <w:rFonts w:eastAsia="VIC-Regular"/>
              </w:rPr>
              <w:t>1</w:t>
            </w:r>
            <w:r w:rsidRPr="008E0CFE">
              <w:rPr>
                <w:rFonts w:eastAsia="VIC-Regular"/>
              </w:rPr>
              <w:t>.</w:t>
            </w:r>
            <w:r>
              <w:rPr>
                <w:rFonts w:eastAsia="VIC-Regular"/>
              </w:rPr>
              <w:t>5</w:t>
            </w:r>
            <w:r w:rsidRPr="008E0CFE">
              <w:rPr>
                <w:rFonts w:eastAsia="VIC-Regular"/>
              </w:rPr>
              <w:t>%) or always (6</w:t>
            </w:r>
            <w:r>
              <w:rPr>
                <w:rFonts w:eastAsia="VIC-Regular"/>
              </w:rPr>
              <w:t>2</w:t>
            </w:r>
            <w:r w:rsidRPr="008E0CFE">
              <w:rPr>
                <w:rFonts w:eastAsia="VIC-Regular"/>
              </w:rPr>
              <w:t>.</w:t>
            </w:r>
            <w:r>
              <w:rPr>
                <w:rFonts w:eastAsia="VIC-Regular"/>
              </w:rPr>
              <w:t>3</w:t>
            </w:r>
            <w:r w:rsidRPr="008E0CFE">
              <w:rPr>
                <w:rFonts w:eastAsia="VIC-Regular"/>
              </w:rPr>
              <w:t>%) had opportunities for family and carers to be involved in their treatment or care if they wanted</w:t>
            </w:r>
          </w:p>
        </w:tc>
        <w:tc>
          <w:tcPr>
            <w:tcW w:w="1045" w:type="dxa"/>
          </w:tcPr>
          <w:p w14:paraId="3966DCFE" w14:textId="6603DF49" w:rsidR="00FE0B50" w:rsidRPr="00FE0B50" w:rsidRDefault="00FE0B50" w:rsidP="00FE0B50">
            <w:pPr>
              <w:pStyle w:val="DHHStabletext"/>
            </w:pPr>
            <w:r w:rsidRPr="00FE0B50">
              <w:t>2017–18</w:t>
            </w:r>
          </w:p>
        </w:tc>
        <w:tc>
          <w:tcPr>
            <w:tcW w:w="936" w:type="dxa"/>
          </w:tcPr>
          <w:p w14:paraId="16BEAC3E" w14:textId="530E7592" w:rsidR="00FE0B50" w:rsidRPr="00FE0B50" w:rsidRDefault="00FE0B50" w:rsidP="00FE0B50">
            <w:pPr>
              <w:pStyle w:val="DHHStabletext"/>
            </w:pPr>
            <w:r w:rsidRPr="00FE0B50">
              <w:t>81.5%</w:t>
            </w:r>
          </w:p>
        </w:tc>
        <w:tc>
          <w:tcPr>
            <w:tcW w:w="1143" w:type="dxa"/>
          </w:tcPr>
          <w:p w14:paraId="4A4AD464" w14:textId="624B85E3" w:rsidR="00FE0B50" w:rsidRPr="00FE0B50" w:rsidRDefault="00FE0B50" w:rsidP="00FE0B50">
            <w:pPr>
              <w:pStyle w:val="DHHStabletext"/>
            </w:pPr>
            <w:r w:rsidRPr="00FE0B50">
              <w:t>82.5%</w:t>
            </w:r>
          </w:p>
        </w:tc>
        <w:tc>
          <w:tcPr>
            <w:tcW w:w="1133" w:type="dxa"/>
          </w:tcPr>
          <w:p w14:paraId="33C2D3B9" w14:textId="7A60D3CD" w:rsidR="00FE0B50" w:rsidRPr="00FE0B50" w:rsidRDefault="00FE0B50" w:rsidP="00FE0B50">
            <w:pPr>
              <w:pStyle w:val="DHHStabletext"/>
            </w:pPr>
            <w:r w:rsidRPr="00FE0B50">
              <w:t>83.8%</w:t>
            </w:r>
          </w:p>
        </w:tc>
      </w:tr>
    </w:tbl>
    <w:p w14:paraId="779C0991" w14:textId="1953527D" w:rsidR="007E4F43" w:rsidRDefault="007E4F43" w:rsidP="007E4F43">
      <w:pPr>
        <w:pStyle w:val="DHHStablecaption"/>
      </w:pPr>
      <w:r w:rsidRPr="009F0C73">
        <w:t>15. Victorians with mental illness, their families and carers are treated with respect by service</w:t>
      </w:r>
      <w:r w:rsidR="00266049">
        <w:t>s</w:t>
      </w:r>
    </w:p>
    <w:tbl>
      <w:tblPr>
        <w:tblStyle w:val="TableGrid"/>
        <w:tblW w:w="0" w:type="auto"/>
        <w:tblLook w:val="04A0" w:firstRow="1" w:lastRow="0" w:firstColumn="1" w:lastColumn="0" w:noHBand="0" w:noVBand="1"/>
      </w:tblPr>
      <w:tblGrid>
        <w:gridCol w:w="4927"/>
        <w:gridCol w:w="1037"/>
        <w:gridCol w:w="940"/>
        <w:gridCol w:w="1145"/>
        <w:gridCol w:w="1135"/>
      </w:tblGrid>
      <w:tr w:rsidR="0048231A" w:rsidRPr="009F0C73" w14:paraId="7CC24D81" w14:textId="77777777" w:rsidTr="006F161C">
        <w:trPr>
          <w:tblHeader/>
        </w:trPr>
        <w:tc>
          <w:tcPr>
            <w:tcW w:w="4927" w:type="dxa"/>
          </w:tcPr>
          <w:p w14:paraId="7B50334E" w14:textId="77777777" w:rsidR="0048231A" w:rsidRPr="009F0C73" w:rsidRDefault="0048231A" w:rsidP="0048231A">
            <w:pPr>
              <w:pStyle w:val="DHHStablecolhead"/>
            </w:pPr>
            <w:r w:rsidRPr="009F0C73">
              <w:t>Indicator</w:t>
            </w:r>
          </w:p>
        </w:tc>
        <w:tc>
          <w:tcPr>
            <w:tcW w:w="1037" w:type="dxa"/>
          </w:tcPr>
          <w:p w14:paraId="61AB4026" w14:textId="73F312FD" w:rsidR="0048231A" w:rsidRPr="009F0C73" w:rsidRDefault="0048231A" w:rsidP="0048231A">
            <w:pPr>
              <w:pStyle w:val="DHHStablecolhead"/>
            </w:pPr>
            <w:r>
              <w:t>Ref. year</w:t>
            </w:r>
          </w:p>
        </w:tc>
        <w:tc>
          <w:tcPr>
            <w:tcW w:w="940" w:type="dxa"/>
          </w:tcPr>
          <w:p w14:paraId="097281EB" w14:textId="4F2C6115" w:rsidR="0048231A" w:rsidRPr="009F0C73" w:rsidRDefault="0048231A" w:rsidP="0048231A">
            <w:pPr>
              <w:pStyle w:val="DHHStablecolhead"/>
            </w:pPr>
            <w:r>
              <w:t>Two years prior</w:t>
            </w:r>
          </w:p>
        </w:tc>
        <w:tc>
          <w:tcPr>
            <w:tcW w:w="1145" w:type="dxa"/>
          </w:tcPr>
          <w:p w14:paraId="4ECD28C7" w14:textId="1A3DF04A" w:rsidR="0048231A" w:rsidRPr="009F0C73" w:rsidRDefault="0048231A" w:rsidP="0048231A">
            <w:pPr>
              <w:pStyle w:val="DHHStablecolhead"/>
            </w:pPr>
            <w:r>
              <w:t>One year prior</w:t>
            </w:r>
          </w:p>
        </w:tc>
        <w:tc>
          <w:tcPr>
            <w:tcW w:w="1135" w:type="dxa"/>
          </w:tcPr>
          <w:p w14:paraId="2FA2346F" w14:textId="602D65DA" w:rsidR="0048231A" w:rsidRPr="009F0C73" w:rsidRDefault="0048231A" w:rsidP="0048231A">
            <w:pPr>
              <w:pStyle w:val="DHHStablecolhead"/>
            </w:pPr>
            <w:r w:rsidRPr="009F0C73">
              <w:t>Most current data</w:t>
            </w:r>
          </w:p>
        </w:tc>
      </w:tr>
      <w:tr w:rsidR="00FE0B50" w:rsidRPr="009F0C73" w14:paraId="35CAA600" w14:textId="77777777" w:rsidTr="006F161C">
        <w:tc>
          <w:tcPr>
            <w:tcW w:w="4927" w:type="dxa"/>
          </w:tcPr>
          <w:p w14:paraId="45243D22" w14:textId="42D2D930" w:rsidR="00FE0B50" w:rsidRPr="003A2D8C" w:rsidRDefault="00FE0B50" w:rsidP="00FE0B50">
            <w:pPr>
              <w:pStyle w:val="DHHStabletext"/>
            </w:pPr>
            <w:r w:rsidRPr="003A2D8C">
              <w:rPr>
                <w:rFonts w:eastAsia="VIC-Regular"/>
              </w:rPr>
              <w:t>15.1 Proportion of consumers reporting their individuality and values were usually (1</w:t>
            </w:r>
            <w:r>
              <w:rPr>
                <w:rFonts w:eastAsia="VIC-Regular"/>
              </w:rPr>
              <w:t>8</w:t>
            </w:r>
            <w:r w:rsidR="00266049">
              <w:rPr>
                <w:rFonts w:eastAsia="VIC-Regular"/>
              </w:rPr>
              <w:t>.0</w:t>
            </w:r>
            <w:r w:rsidRPr="003A2D8C">
              <w:rPr>
                <w:rFonts w:eastAsia="VIC-Regular"/>
              </w:rPr>
              <w:t>%) or always (</w:t>
            </w:r>
            <w:r>
              <w:rPr>
                <w:rFonts w:eastAsia="VIC-Regular"/>
              </w:rPr>
              <w:t>70.7</w:t>
            </w:r>
            <w:r w:rsidRPr="003A2D8C">
              <w:rPr>
                <w:rFonts w:eastAsia="VIC-Regular"/>
              </w:rPr>
              <w:t>%) respected</w:t>
            </w:r>
          </w:p>
        </w:tc>
        <w:tc>
          <w:tcPr>
            <w:tcW w:w="1037" w:type="dxa"/>
          </w:tcPr>
          <w:p w14:paraId="10B1D9AD" w14:textId="1C195AAF" w:rsidR="00FE0B50" w:rsidRPr="00FE0B50" w:rsidRDefault="00FE0B50" w:rsidP="00FE0B50">
            <w:pPr>
              <w:pStyle w:val="DHHStabletext"/>
            </w:pPr>
            <w:r w:rsidRPr="00FE0B50">
              <w:t>2017–18</w:t>
            </w:r>
          </w:p>
        </w:tc>
        <w:tc>
          <w:tcPr>
            <w:tcW w:w="940" w:type="dxa"/>
          </w:tcPr>
          <w:p w14:paraId="4CC31280" w14:textId="2E3E95F0" w:rsidR="00FE0B50" w:rsidRPr="00FE0B50" w:rsidRDefault="00FE0B50" w:rsidP="00FE0B50">
            <w:pPr>
              <w:pStyle w:val="DHHStabletext"/>
            </w:pPr>
            <w:r w:rsidRPr="00FE0B50">
              <w:t>87.7%</w:t>
            </w:r>
          </w:p>
        </w:tc>
        <w:tc>
          <w:tcPr>
            <w:tcW w:w="1145" w:type="dxa"/>
          </w:tcPr>
          <w:p w14:paraId="1A4A1127" w14:textId="20FDF621" w:rsidR="00FE0B50" w:rsidRPr="00FE0B50" w:rsidRDefault="00FE0B50" w:rsidP="00FE0B50">
            <w:pPr>
              <w:pStyle w:val="DHHStabletext"/>
            </w:pPr>
            <w:r w:rsidRPr="00FE0B50">
              <w:t>88.0%</w:t>
            </w:r>
          </w:p>
        </w:tc>
        <w:tc>
          <w:tcPr>
            <w:tcW w:w="1135" w:type="dxa"/>
          </w:tcPr>
          <w:p w14:paraId="2680C9CE" w14:textId="21EE6D18" w:rsidR="00FE0B50" w:rsidRPr="00FE0B50" w:rsidRDefault="00FE0B50" w:rsidP="00FE0B50">
            <w:pPr>
              <w:pStyle w:val="DHHStabletext"/>
            </w:pPr>
            <w:r w:rsidRPr="00FE0B50">
              <w:t>88.7%</w:t>
            </w:r>
          </w:p>
        </w:tc>
      </w:tr>
      <w:tr w:rsidR="00FE0B50" w:rsidRPr="009F0C73" w14:paraId="32BFEB56" w14:textId="77777777" w:rsidTr="006F161C">
        <w:tc>
          <w:tcPr>
            <w:tcW w:w="4927" w:type="dxa"/>
          </w:tcPr>
          <w:p w14:paraId="3A4F1063" w14:textId="717B4FB7" w:rsidR="00FE0B50" w:rsidRPr="003A2D8C" w:rsidRDefault="00FE0B50" w:rsidP="00FE0B50">
            <w:pPr>
              <w:pStyle w:val="DHHStabletext"/>
            </w:pPr>
            <w:r w:rsidRPr="003A2D8C">
              <w:rPr>
                <w:rFonts w:eastAsia="VIC-Regular"/>
              </w:rPr>
              <w:t xml:space="preserve">15.2 Proportion of people with a mental illness </w:t>
            </w:r>
            <w:r w:rsidR="00266049">
              <w:rPr>
                <w:rFonts w:eastAsia="VIC-Regular"/>
              </w:rPr>
              <w:t xml:space="preserve">who report </w:t>
            </w:r>
            <w:r w:rsidRPr="003A2D8C">
              <w:rPr>
                <w:rFonts w:eastAsia="VIC-Regular"/>
              </w:rPr>
              <w:t>a care plan was usually (24.</w:t>
            </w:r>
            <w:r>
              <w:rPr>
                <w:rFonts w:eastAsia="VIC-Regular"/>
              </w:rPr>
              <w:t>9</w:t>
            </w:r>
            <w:r w:rsidRPr="003A2D8C">
              <w:rPr>
                <w:rFonts w:eastAsia="VIC-Regular"/>
              </w:rPr>
              <w:t>%) or always (3</w:t>
            </w:r>
            <w:r>
              <w:rPr>
                <w:rFonts w:eastAsia="VIC-Regular"/>
              </w:rPr>
              <w:t>7.6</w:t>
            </w:r>
            <w:r w:rsidRPr="003A2D8C">
              <w:rPr>
                <w:rFonts w:eastAsia="VIC-Regular"/>
              </w:rPr>
              <w:t>%) developed with them that considered all their needs</w:t>
            </w:r>
          </w:p>
        </w:tc>
        <w:tc>
          <w:tcPr>
            <w:tcW w:w="1037" w:type="dxa"/>
          </w:tcPr>
          <w:p w14:paraId="033E3F64" w14:textId="5AEE6A13" w:rsidR="00FE0B50" w:rsidRPr="00FE0B50" w:rsidRDefault="00FE0B50" w:rsidP="00FE0B50">
            <w:pPr>
              <w:pStyle w:val="DHHStabletext"/>
            </w:pPr>
            <w:r w:rsidRPr="00FE0B50">
              <w:t>2017–18</w:t>
            </w:r>
          </w:p>
        </w:tc>
        <w:tc>
          <w:tcPr>
            <w:tcW w:w="940" w:type="dxa"/>
          </w:tcPr>
          <w:p w14:paraId="7168025B" w14:textId="4434E943" w:rsidR="00FE0B50" w:rsidRPr="00FE0B50" w:rsidRDefault="00FE0B50" w:rsidP="00FE0B50">
            <w:pPr>
              <w:pStyle w:val="DHHStabletext"/>
            </w:pPr>
            <w:r w:rsidRPr="00FE0B50">
              <w:t>58.4%</w:t>
            </w:r>
          </w:p>
        </w:tc>
        <w:tc>
          <w:tcPr>
            <w:tcW w:w="1145" w:type="dxa"/>
          </w:tcPr>
          <w:p w14:paraId="06347D43" w14:textId="76C3254F" w:rsidR="00FE0B50" w:rsidRPr="00FE0B50" w:rsidRDefault="00FE0B50" w:rsidP="00FE0B50">
            <w:pPr>
              <w:pStyle w:val="DHHStabletext"/>
            </w:pPr>
            <w:r w:rsidRPr="00FE0B50">
              <w:t>63.0%</w:t>
            </w:r>
          </w:p>
        </w:tc>
        <w:tc>
          <w:tcPr>
            <w:tcW w:w="1135" w:type="dxa"/>
          </w:tcPr>
          <w:p w14:paraId="26B617E8" w14:textId="3B5581C3" w:rsidR="00FE0B50" w:rsidRPr="00FE0B50" w:rsidRDefault="00FE0B50" w:rsidP="00FE0B50">
            <w:pPr>
              <w:pStyle w:val="DHHStabletext"/>
            </w:pPr>
            <w:r w:rsidRPr="00FE0B50">
              <w:t>62.5%</w:t>
            </w:r>
          </w:p>
        </w:tc>
      </w:tr>
    </w:tbl>
    <w:p w14:paraId="3827EA86" w14:textId="77777777" w:rsidR="007E4F43" w:rsidRPr="009F0C73" w:rsidRDefault="007E4F43" w:rsidP="007E4F43">
      <w:pPr>
        <w:pStyle w:val="DHHStablecaption"/>
      </w:pPr>
      <w:r w:rsidRPr="009F0C73">
        <w:t>16. Services are safe, of high quality, offer choice and provide a positive service experience</w:t>
      </w:r>
    </w:p>
    <w:tbl>
      <w:tblPr>
        <w:tblStyle w:val="TableGrid"/>
        <w:tblW w:w="0" w:type="auto"/>
        <w:tblLook w:val="04A0" w:firstRow="1" w:lastRow="0" w:firstColumn="1" w:lastColumn="0" w:noHBand="0" w:noVBand="1"/>
      </w:tblPr>
      <w:tblGrid>
        <w:gridCol w:w="4927"/>
        <w:gridCol w:w="1036"/>
        <w:gridCol w:w="941"/>
        <w:gridCol w:w="1145"/>
        <w:gridCol w:w="1135"/>
      </w:tblGrid>
      <w:tr w:rsidR="0048231A" w:rsidRPr="009F0C73" w14:paraId="3B1E5873" w14:textId="77777777" w:rsidTr="006F161C">
        <w:trPr>
          <w:tblHeader/>
        </w:trPr>
        <w:tc>
          <w:tcPr>
            <w:tcW w:w="4927" w:type="dxa"/>
          </w:tcPr>
          <w:p w14:paraId="6E5CF16A" w14:textId="77777777" w:rsidR="0048231A" w:rsidRPr="009F0C73" w:rsidRDefault="0048231A" w:rsidP="0048231A">
            <w:pPr>
              <w:pStyle w:val="DHHStablecolhead"/>
            </w:pPr>
            <w:r w:rsidRPr="009F0C73">
              <w:t>Indicator</w:t>
            </w:r>
          </w:p>
        </w:tc>
        <w:tc>
          <w:tcPr>
            <w:tcW w:w="1036" w:type="dxa"/>
          </w:tcPr>
          <w:p w14:paraId="34F4B861" w14:textId="480B43E1" w:rsidR="0048231A" w:rsidRPr="009F0C73" w:rsidRDefault="0048231A" w:rsidP="0048231A">
            <w:pPr>
              <w:pStyle w:val="DHHStablecolhead"/>
            </w:pPr>
            <w:r>
              <w:t>Ref. year</w:t>
            </w:r>
          </w:p>
        </w:tc>
        <w:tc>
          <w:tcPr>
            <w:tcW w:w="941" w:type="dxa"/>
          </w:tcPr>
          <w:p w14:paraId="2428CF77" w14:textId="7337EEA5" w:rsidR="0048231A" w:rsidRPr="009F0C73" w:rsidRDefault="0048231A" w:rsidP="0048231A">
            <w:pPr>
              <w:pStyle w:val="DHHStablecolhead"/>
            </w:pPr>
            <w:r>
              <w:t>Two years prior</w:t>
            </w:r>
          </w:p>
        </w:tc>
        <w:tc>
          <w:tcPr>
            <w:tcW w:w="1145" w:type="dxa"/>
          </w:tcPr>
          <w:p w14:paraId="7EA66E6F" w14:textId="6222EE4B" w:rsidR="0048231A" w:rsidRPr="009F0C73" w:rsidRDefault="0048231A" w:rsidP="0048231A">
            <w:pPr>
              <w:pStyle w:val="DHHStablecolhead"/>
            </w:pPr>
            <w:r>
              <w:t>One year prior</w:t>
            </w:r>
          </w:p>
        </w:tc>
        <w:tc>
          <w:tcPr>
            <w:tcW w:w="1135" w:type="dxa"/>
          </w:tcPr>
          <w:p w14:paraId="51E78D23" w14:textId="73374A4D" w:rsidR="0048231A" w:rsidRPr="009F0C73" w:rsidRDefault="0048231A" w:rsidP="0048231A">
            <w:pPr>
              <w:pStyle w:val="DHHStablecolhead"/>
            </w:pPr>
            <w:r w:rsidRPr="009F0C73">
              <w:t>Most current data</w:t>
            </w:r>
          </w:p>
        </w:tc>
      </w:tr>
      <w:tr w:rsidR="00FE0B50" w:rsidRPr="009F0C73" w14:paraId="41726B93" w14:textId="77777777" w:rsidTr="006F161C">
        <w:tc>
          <w:tcPr>
            <w:tcW w:w="4927" w:type="dxa"/>
          </w:tcPr>
          <w:p w14:paraId="1633FA5D" w14:textId="77777777" w:rsidR="00FE0B50" w:rsidRPr="009F0C73" w:rsidRDefault="00FE0B50" w:rsidP="00FE0B50">
            <w:pPr>
              <w:pStyle w:val="DHHStabletext"/>
            </w:pPr>
            <w:r w:rsidRPr="009F0C73">
              <w:t>16.1 Rate of seclusion episodes per 1,000 occupied bed days (inpatient)</w:t>
            </w:r>
          </w:p>
        </w:tc>
        <w:tc>
          <w:tcPr>
            <w:tcW w:w="1036" w:type="dxa"/>
          </w:tcPr>
          <w:p w14:paraId="0E0D104B" w14:textId="16C069F4" w:rsidR="00FE0B50" w:rsidRPr="00FE0B50" w:rsidRDefault="00FE0B50" w:rsidP="00FE0B50">
            <w:pPr>
              <w:pStyle w:val="DHHStabletext"/>
            </w:pPr>
            <w:r w:rsidRPr="00FE0B50">
              <w:t>2017–18</w:t>
            </w:r>
          </w:p>
        </w:tc>
        <w:tc>
          <w:tcPr>
            <w:tcW w:w="941" w:type="dxa"/>
          </w:tcPr>
          <w:p w14:paraId="7829886D" w14:textId="11AB8746" w:rsidR="00FE0B50" w:rsidRPr="00FE0B50" w:rsidRDefault="00FE0B50" w:rsidP="00FE0B50">
            <w:pPr>
              <w:pStyle w:val="DHHStabletext"/>
            </w:pPr>
            <w:r w:rsidRPr="00FE0B50">
              <w:t>9.1</w:t>
            </w:r>
          </w:p>
        </w:tc>
        <w:tc>
          <w:tcPr>
            <w:tcW w:w="1145" w:type="dxa"/>
          </w:tcPr>
          <w:p w14:paraId="6318794E" w14:textId="08DF6072" w:rsidR="00FE0B50" w:rsidRPr="00FE0B50" w:rsidRDefault="00FE0B50" w:rsidP="00FE0B50">
            <w:pPr>
              <w:pStyle w:val="DHHStabletext"/>
            </w:pPr>
            <w:r w:rsidRPr="00FE0B50">
              <w:t>9.9</w:t>
            </w:r>
          </w:p>
        </w:tc>
        <w:tc>
          <w:tcPr>
            <w:tcW w:w="1135" w:type="dxa"/>
          </w:tcPr>
          <w:p w14:paraId="3CF29607" w14:textId="4D1E81D1" w:rsidR="00FE0B50" w:rsidRPr="00FE0B50" w:rsidRDefault="00FE0B50" w:rsidP="00FE0B50">
            <w:pPr>
              <w:pStyle w:val="DHHStabletext"/>
            </w:pPr>
            <w:r w:rsidRPr="00FE0B50">
              <w:t>9.7</w:t>
            </w:r>
          </w:p>
        </w:tc>
      </w:tr>
      <w:tr w:rsidR="00FE0B50" w:rsidRPr="009F0C73" w14:paraId="7EAC7420" w14:textId="77777777" w:rsidTr="006F161C">
        <w:tc>
          <w:tcPr>
            <w:tcW w:w="4927" w:type="dxa"/>
          </w:tcPr>
          <w:p w14:paraId="5D95C8DB" w14:textId="77777777" w:rsidR="00FE0B50" w:rsidRPr="009F0C73" w:rsidRDefault="00FE0B50" w:rsidP="00FE0B50">
            <w:pPr>
              <w:pStyle w:val="DHHStabletext"/>
            </w:pPr>
            <w:r w:rsidRPr="009F0C73">
              <w:t>16.2 Rate of bodily restraint episodes per 1,000 occupied bed days (inpatient)</w:t>
            </w:r>
          </w:p>
        </w:tc>
        <w:tc>
          <w:tcPr>
            <w:tcW w:w="1036" w:type="dxa"/>
          </w:tcPr>
          <w:p w14:paraId="1D7DEB87" w14:textId="5C715A39" w:rsidR="00FE0B50" w:rsidRPr="00FE0B50" w:rsidRDefault="00FE0B50" w:rsidP="00FE0B50">
            <w:pPr>
              <w:pStyle w:val="DHHStabletext"/>
            </w:pPr>
            <w:r w:rsidRPr="00FE0B50">
              <w:t>2017–18</w:t>
            </w:r>
          </w:p>
        </w:tc>
        <w:tc>
          <w:tcPr>
            <w:tcW w:w="941" w:type="dxa"/>
          </w:tcPr>
          <w:p w14:paraId="466FF615" w14:textId="0C3BC77D" w:rsidR="00FE0B50" w:rsidRPr="00FE0B50" w:rsidRDefault="00FE0B50" w:rsidP="00FE0B50">
            <w:pPr>
              <w:pStyle w:val="DHHStabletext"/>
            </w:pPr>
            <w:r w:rsidRPr="00FE0B50">
              <w:t>25.6</w:t>
            </w:r>
          </w:p>
        </w:tc>
        <w:tc>
          <w:tcPr>
            <w:tcW w:w="1145" w:type="dxa"/>
          </w:tcPr>
          <w:p w14:paraId="56476D52" w14:textId="530C0811" w:rsidR="00FE0B50" w:rsidRPr="00FE0B50" w:rsidRDefault="00FE0B50" w:rsidP="00FE0B50">
            <w:pPr>
              <w:pStyle w:val="DHHStabletext"/>
            </w:pPr>
            <w:r w:rsidRPr="00FE0B50">
              <w:t>19.0</w:t>
            </w:r>
          </w:p>
        </w:tc>
        <w:tc>
          <w:tcPr>
            <w:tcW w:w="1135" w:type="dxa"/>
          </w:tcPr>
          <w:p w14:paraId="0D39D4FC" w14:textId="68D69940" w:rsidR="00FE0B50" w:rsidRPr="00FE0B50" w:rsidRDefault="00FE0B50" w:rsidP="00FE0B50">
            <w:pPr>
              <w:pStyle w:val="DHHStabletext"/>
            </w:pPr>
            <w:r w:rsidRPr="00FE0B50">
              <w:t>22.6</w:t>
            </w:r>
          </w:p>
        </w:tc>
      </w:tr>
      <w:tr w:rsidR="00FE0B50" w:rsidRPr="009F0C73" w14:paraId="5F23966E" w14:textId="77777777" w:rsidTr="006F161C">
        <w:tc>
          <w:tcPr>
            <w:tcW w:w="4927" w:type="dxa"/>
          </w:tcPr>
          <w:p w14:paraId="38EFF2C0" w14:textId="77777777" w:rsidR="00FE0B50" w:rsidRPr="009F0C73" w:rsidRDefault="00FE0B50" w:rsidP="00FE0B50">
            <w:pPr>
              <w:pStyle w:val="DHHStabletext"/>
            </w:pPr>
            <w:r w:rsidRPr="009F0C73">
              <w:t>16.3 Proportion of community cases with client on a treatment order</w:t>
            </w:r>
          </w:p>
        </w:tc>
        <w:tc>
          <w:tcPr>
            <w:tcW w:w="1036" w:type="dxa"/>
          </w:tcPr>
          <w:p w14:paraId="4FCCF633" w14:textId="33472EC7" w:rsidR="00FE0B50" w:rsidRPr="00FE0B50" w:rsidRDefault="00FE0B50" w:rsidP="00FE0B50">
            <w:pPr>
              <w:pStyle w:val="DHHStabletext"/>
            </w:pPr>
            <w:r w:rsidRPr="00FE0B50">
              <w:t>2017–18</w:t>
            </w:r>
          </w:p>
        </w:tc>
        <w:tc>
          <w:tcPr>
            <w:tcW w:w="941" w:type="dxa"/>
          </w:tcPr>
          <w:p w14:paraId="51BE85B6" w14:textId="71B13B7C" w:rsidR="00FE0B50" w:rsidRPr="00FE0B50" w:rsidRDefault="00FE0B50" w:rsidP="00FE0B50">
            <w:pPr>
              <w:pStyle w:val="DHHStabletext"/>
            </w:pPr>
            <w:r w:rsidRPr="00FE0B50">
              <w:t>11.1%</w:t>
            </w:r>
          </w:p>
        </w:tc>
        <w:tc>
          <w:tcPr>
            <w:tcW w:w="1145" w:type="dxa"/>
          </w:tcPr>
          <w:p w14:paraId="684084CB" w14:textId="76D480AD" w:rsidR="00FE0B50" w:rsidRPr="00FE0B50" w:rsidRDefault="00FE0B50" w:rsidP="00FE0B50">
            <w:pPr>
              <w:pStyle w:val="DHHStabletext"/>
            </w:pPr>
            <w:r w:rsidRPr="00FE0B50">
              <w:t>11.0%</w:t>
            </w:r>
          </w:p>
        </w:tc>
        <w:tc>
          <w:tcPr>
            <w:tcW w:w="1135" w:type="dxa"/>
          </w:tcPr>
          <w:p w14:paraId="0E333FCF" w14:textId="6FD1045B" w:rsidR="00FE0B50" w:rsidRPr="00FE0B50" w:rsidRDefault="00FE0B50" w:rsidP="00FE0B50">
            <w:pPr>
              <w:pStyle w:val="DHHStabletext"/>
            </w:pPr>
            <w:r w:rsidRPr="00FE0B50">
              <w:t>11.3%</w:t>
            </w:r>
          </w:p>
        </w:tc>
      </w:tr>
      <w:tr w:rsidR="00FE0B50" w:rsidRPr="009F0C73" w14:paraId="5430FDFA" w14:textId="77777777" w:rsidTr="006F161C">
        <w:tc>
          <w:tcPr>
            <w:tcW w:w="4927" w:type="dxa"/>
          </w:tcPr>
          <w:p w14:paraId="734ED692" w14:textId="77777777" w:rsidR="00FE0B50" w:rsidRPr="00845048" w:rsidRDefault="00FE0B50" w:rsidP="00FE0B50">
            <w:pPr>
              <w:pStyle w:val="DHHStabletext"/>
            </w:pPr>
            <w:r w:rsidRPr="00845048">
              <w:t>16.4 Proportion of inpatient admissions that are compulsory</w:t>
            </w:r>
          </w:p>
        </w:tc>
        <w:tc>
          <w:tcPr>
            <w:tcW w:w="1036" w:type="dxa"/>
          </w:tcPr>
          <w:p w14:paraId="005304C0" w14:textId="40A11743" w:rsidR="00FE0B50" w:rsidRPr="00FE0B50" w:rsidRDefault="00FE0B50" w:rsidP="00FE0B50">
            <w:pPr>
              <w:pStyle w:val="DHHStabletext"/>
            </w:pPr>
            <w:r w:rsidRPr="00FE0B50">
              <w:t>2017–18</w:t>
            </w:r>
          </w:p>
        </w:tc>
        <w:tc>
          <w:tcPr>
            <w:tcW w:w="941" w:type="dxa"/>
          </w:tcPr>
          <w:p w14:paraId="0084E8E7" w14:textId="7F063715" w:rsidR="00FE0B50" w:rsidRPr="00FE0B50" w:rsidRDefault="00FE0B50" w:rsidP="00FE0B50">
            <w:pPr>
              <w:pStyle w:val="DHHStabletext"/>
            </w:pPr>
            <w:r w:rsidRPr="00FE0B50">
              <w:t>52.2%</w:t>
            </w:r>
          </w:p>
        </w:tc>
        <w:tc>
          <w:tcPr>
            <w:tcW w:w="1145" w:type="dxa"/>
          </w:tcPr>
          <w:p w14:paraId="328A8C5C" w14:textId="31FE71F3" w:rsidR="00FE0B50" w:rsidRPr="00FE0B50" w:rsidRDefault="00FE0B50" w:rsidP="00FE0B50">
            <w:pPr>
              <w:pStyle w:val="DHHStabletext"/>
            </w:pPr>
            <w:r w:rsidRPr="00FE0B50">
              <w:t>51.5%</w:t>
            </w:r>
          </w:p>
        </w:tc>
        <w:tc>
          <w:tcPr>
            <w:tcW w:w="1135" w:type="dxa"/>
          </w:tcPr>
          <w:p w14:paraId="08377FDD" w14:textId="354B5D2F" w:rsidR="00FE0B50" w:rsidRPr="00FE0B50" w:rsidRDefault="00FE0B50" w:rsidP="00FE0B50">
            <w:pPr>
              <w:pStyle w:val="DHHStabletext"/>
            </w:pPr>
            <w:r w:rsidRPr="00FE0B50">
              <w:t>50.3%</w:t>
            </w:r>
          </w:p>
        </w:tc>
      </w:tr>
      <w:tr w:rsidR="00FE0B50" w:rsidRPr="009F0C73" w14:paraId="6C58A492" w14:textId="77777777" w:rsidTr="006F161C">
        <w:tc>
          <w:tcPr>
            <w:tcW w:w="4927" w:type="dxa"/>
          </w:tcPr>
          <w:p w14:paraId="72297483" w14:textId="71A4F17F" w:rsidR="00FE0B50" w:rsidRPr="00845048" w:rsidRDefault="00FE0B50" w:rsidP="00FE0B50">
            <w:pPr>
              <w:pStyle w:val="DHHStabletext"/>
            </w:pPr>
            <w:r w:rsidRPr="00845048">
              <w:rPr>
                <w:rFonts w:eastAsia="VIC-Regular"/>
              </w:rPr>
              <w:t xml:space="preserve">16.5 Average duration of compulsory </w:t>
            </w:r>
            <w:r w:rsidR="00266049">
              <w:rPr>
                <w:rFonts w:eastAsia="VIC-Regular"/>
              </w:rPr>
              <w:t>orders (days)</w:t>
            </w:r>
          </w:p>
        </w:tc>
        <w:tc>
          <w:tcPr>
            <w:tcW w:w="1036" w:type="dxa"/>
          </w:tcPr>
          <w:p w14:paraId="2689AF67" w14:textId="2742A11A" w:rsidR="00FE0B50" w:rsidRPr="00FE0B50" w:rsidRDefault="00FE0B50" w:rsidP="00FE0B50">
            <w:pPr>
              <w:pStyle w:val="DHHStabletext"/>
            </w:pPr>
            <w:r w:rsidRPr="00FE0B50">
              <w:t>2017–18</w:t>
            </w:r>
          </w:p>
        </w:tc>
        <w:tc>
          <w:tcPr>
            <w:tcW w:w="941" w:type="dxa"/>
          </w:tcPr>
          <w:p w14:paraId="20481120" w14:textId="422B31CB" w:rsidR="00FE0B50" w:rsidRPr="00FE0B50" w:rsidRDefault="00FE0B50" w:rsidP="00FE0B50">
            <w:pPr>
              <w:pStyle w:val="DHHStabletext"/>
            </w:pPr>
            <w:r w:rsidRPr="00FE0B50">
              <w:t>59.3</w:t>
            </w:r>
          </w:p>
        </w:tc>
        <w:tc>
          <w:tcPr>
            <w:tcW w:w="1145" w:type="dxa"/>
          </w:tcPr>
          <w:p w14:paraId="3B67A8CC" w14:textId="4E3DDE7F" w:rsidR="00FE0B50" w:rsidRPr="00FE0B50" w:rsidRDefault="00FE0B50" w:rsidP="00FE0B50">
            <w:pPr>
              <w:pStyle w:val="DHHStabletext"/>
            </w:pPr>
            <w:r w:rsidRPr="00FE0B50">
              <w:t>64.1</w:t>
            </w:r>
          </w:p>
        </w:tc>
        <w:tc>
          <w:tcPr>
            <w:tcW w:w="1135" w:type="dxa"/>
          </w:tcPr>
          <w:p w14:paraId="12C36078" w14:textId="708C1DA2" w:rsidR="00FE0B50" w:rsidRPr="00FE0B50" w:rsidRDefault="00FE0B50" w:rsidP="00FE0B50">
            <w:pPr>
              <w:pStyle w:val="DHHStabletext"/>
            </w:pPr>
            <w:r w:rsidRPr="00FE0B50">
              <w:t>76.7</w:t>
            </w:r>
          </w:p>
        </w:tc>
      </w:tr>
      <w:tr w:rsidR="00FE0B50" w:rsidRPr="009F0C73" w14:paraId="29C49428" w14:textId="77777777" w:rsidTr="006F161C">
        <w:tc>
          <w:tcPr>
            <w:tcW w:w="4927" w:type="dxa"/>
          </w:tcPr>
          <w:p w14:paraId="2E093730" w14:textId="566601FA" w:rsidR="00FE0B50" w:rsidRPr="00845048" w:rsidRDefault="00FE0B50" w:rsidP="00FE0B50">
            <w:pPr>
              <w:pStyle w:val="DHHStabletext"/>
            </w:pPr>
            <w:r w:rsidRPr="00845048">
              <w:rPr>
                <w:rFonts w:eastAsia="VIC-Regular"/>
              </w:rPr>
              <w:lastRenderedPageBreak/>
              <w:t>16.6 Proportion of consumers who rated their experience of care with a service in the last three months as very good (28.</w:t>
            </w:r>
            <w:r>
              <w:rPr>
                <w:rFonts w:eastAsia="VIC-Regular"/>
              </w:rPr>
              <w:t>7</w:t>
            </w:r>
            <w:r w:rsidRPr="00845048">
              <w:rPr>
                <w:rFonts w:eastAsia="VIC-Regular"/>
              </w:rPr>
              <w:t>%) or excellent (3</w:t>
            </w:r>
            <w:r>
              <w:rPr>
                <w:rFonts w:eastAsia="VIC-Regular"/>
              </w:rPr>
              <w:t>6</w:t>
            </w:r>
            <w:r w:rsidRPr="00845048">
              <w:rPr>
                <w:rFonts w:eastAsia="VIC-Regular"/>
              </w:rPr>
              <w:t>.</w:t>
            </w:r>
            <w:r>
              <w:rPr>
                <w:rFonts w:eastAsia="VIC-Regular"/>
              </w:rPr>
              <w:t>6</w:t>
            </w:r>
            <w:r w:rsidRPr="00845048">
              <w:rPr>
                <w:rFonts w:eastAsia="VIC-Regular"/>
              </w:rPr>
              <w:t>%)</w:t>
            </w:r>
          </w:p>
        </w:tc>
        <w:tc>
          <w:tcPr>
            <w:tcW w:w="1036" w:type="dxa"/>
          </w:tcPr>
          <w:p w14:paraId="1EBA1A1C" w14:textId="719B25E6" w:rsidR="00FE0B50" w:rsidRPr="00FE0B50" w:rsidRDefault="00FE0B50" w:rsidP="00FE0B50">
            <w:pPr>
              <w:pStyle w:val="DHHStabletext"/>
            </w:pPr>
            <w:r w:rsidRPr="00FE0B50">
              <w:t>2017–18</w:t>
            </w:r>
          </w:p>
        </w:tc>
        <w:tc>
          <w:tcPr>
            <w:tcW w:w="941" w:type="dxa"/>
          </w:tcPr>
          <w:p w14:paraId="499F648D" w14:textId="5C396E91" w:rsidR="00FE0B50" w:rsidRPr="00FE0B50" w:rsidRDefault="00FE0B50" w:rsidP="00FE0B50">
            <w:pPr>
              <w:pStyle w:val="DHHStabletext"/>
            </w:pPr>
            <w:r w:rsidRPr="00FE0B50">
              <w:t>62.6%</w:t>
            </w:r>
          </w:p>
        </w:tc>
        <w:tc>
          <w:tcPr>
            <w:tcW w:w="1145" w:type="dxa"/>
          </w:tcPr>
          <w:p w14:paraId="32970A06" w14:textId="606B12B3" w:rsidR="00FE0B50" w:rsidRPr="00FE0B50" w:rsidRDefault="00FE0B50" w:rsidP="00FE0B50">
            <w:pPr>
              <w:pStyle w:val="DHHStabletext"/>
            </w:pPr>
            <w:r w:rsidRPr="00FE0B50">
              <w:t>65.1%</w:t>
            </w:r>
          </w:p>
        </w:tc>
        <w:tc>
          <w:tcPr>
            <w:tcW w:w="1135" w:type="dxa"/>
          </w:tcPr>
          <w:p w14:paraId="67685CFF" w14:textId="2783A302" w:rsidR="00FE0B50" w:rsidRPr="00FE0B50" w:rsidRDefault="00FE0B50" w:rsidP="00FE0B50">
            <w:pPr>
              <w:pStyle w:val="DHHStabletext"/>
            </w:pPr>
            <w:r w:rsidRPr="00FE0B50">
              <w:t>65.3%</w:t>
            </w:r>
          </w:p>
        </w:tc>
      </w:tr>
      <w:tr w:rsidR="00FE0B50" w:rsidRPr="009F0C73" w14:paraId="5E72547B" w14:textId="77777777" w:rsidTr="006F161C">
        <w:tc>
          <w:tcPr>
            <w:tcW w:w="4927" w:type="dxa"/>
          </w:tcPr>
          <w:p w14:paraId="329FBCC6" w14:textId="00AE3381" w:rsidR="00FE0B50" w:rsidRPr="00845048" w:rsidRDefault="00FE0B50" w:rsidP="00FE0B50">
            <w:pPr>
              <w:pStyle w:val="DHHStabletext"/>
            </w:pPr>
            <w:r w:rsidRPr="00845048">
              <w:rPr>
                <w:rFonts w:eastAsia="VIC-Regular"/>
              </w:rPr>
              <w:t>16.7 Proportion of consumers reporting the effect the service had on their overall wellbeing was very good (28.4%) or excellent (2</w:t>
            </w:r>
            <w:r>
              <w:rPr>
                <w:rFonts w:eastAsia="VIC-Regular"/>
              </w:rPr>
              <w:t>9.4</w:t>
            </w:r>
            <w:r w:rsidRPr="00845048">
              <w:rPr>
                <w:rFonts w:eastAsia="VIC-Regular"/>
              </w:rPr>
              <w:t>%)</w:t>
            </w:r>
          </w:p>
        </w:tc>
        <w:tc>
          <w:tcPr>
            <w:tcW w:w="1036" w:type="dxa"/>
          </w:tcPr>
          <w:p w14:paraId="6072DC10" w14:textId="33314D04" w:rsidR="00FE0B50" w:rsidRPr="00FE0B50" w:rsidRDefault="00FE0B50" w:rsidP="00FE0B50">
            <w:pPr>
              <w:pStyle w:val="DHHStabletext"/>
            </w:pPr>
            <w:r w:rsidRPr="00FE0B50">
              <w:t>2017–18</w:t>
            </w:r>
          </w:p>
        </w:tc>
        <w:tc>
          <w:tcPr>
            <w:tcW w:w="941" w:type="dxa"/>
          </w:tcPr>
          <w:p w14:paraId="1679936B" w14:textId="76930FF6" w:rsidR="00FE0B50" w:rsidRPr="00FE0B50" w:rsidRDefault="00FE0B50" w:rsidP="00FE0B50">
            <w:pPr>
              <w:pStyle w:val="DHHStabletext"/>
            </w:pPr>
            <w:r w:rsidRPr="00FE0B50">
              <w:t>54.4%</w:t>
            </w:r>
          </w:p>
        </w:tc>
        <w:tc>
          <w:tcPr>
            <w:tcW w:w="1145" w:type="dxa"/>
          </w:tcPr>
          <w:p w14:paraId="3519CA47" w14:textId="4E5163C9" w:rsidR="00FE0B50" w:rsidRPr="00FE0B50" w:rsidRDefault="00FE0B50" w:rsidP="00FE0B50">
            <w:pPr>
              <w:pStyle w:val="DHHStabletext"/>
            </w:pPr>
            <w:r w:rsidRPr="00FE0B50">
              <w:t>56.3%</w:t>
            </w:r>
          </w:p>
        </w:tc>
        <w:tc>
          <w:tcPr>
            <w:tcW w:w="1135" w:type="dxa"/>
          </w:tcPr>
          <w:p w14:paraId="3971D12C" w14:textId="2B7638C3" w:rsidR="00FE0B50" w:rsidRPr="00FE0B50" w:rsidRDefault="00FE0B50" w:rsidP="00FE0B50">
            <w:pPr>
              <w:pStyle w:val="DHHStabletext"/>
            </w:pPr>
            <w:r w:rsidRPr="00FE0B50">
              <w:t>57.8%</w:t>
            </w:r>
          </w:p>
        </w:tc>
      </w:tr>
    </w:tbl>
    <w:p w14:paraId="0B90659A" w14:textId="77777777" w:rsidR="00A36831" w:rsidRPr="00A36831" w:rsidRDefault="00A36831" w:rsidP="00A36831">
      <w:pPr>
        <w:pStyle w:val="DHHStablefigurenote"/>
      </w:pPr>
      <w:r w:rsidRPr="00A36831">
        <w:t>* Owing to a change in sampling methodology to include mobile phone users as well as people with landlines, only two years of data from the Victorian Population Health Survey are available. Direct comparisons of this data with previous years are problematic and should not be made.</w:t>
      </w:r>
    </w:p>
    <w:p w14:paraId="3D96811D" w14:textId="77777777" w:rsidR="00A36831" w:rsidRPr="00A36831" w:rsidRDefault="00A36831" w:rsidP="00A36831">
      <w:pPr>
        <w:pStyle w:val="DHHStablefigurenote"/>
      </w:pPr>
      <w:r w:rsidRPr="00A36831">
        <w:t>**      While it appears that rates of high/very high psychological distress have decreased from 2015 to 2016, this is not the case.</w:t>
      </w:r>
    </w:p>
    <w:p w14:paraId="51E409E7" w14:textId="77777777" w:rsidR="00A36831" w:rsidRPr="00A36831" w:rsidRDefault="00A36831" w:rsidP="00A36831">
      <w:pPr>
        <w:pStyle w:val="DHHStablefigurenote"/>
      </w:pPr>
      <w:r w:rsidRPr="00A36831">
        <w:t>The 95% conﬁdence intervals overlap between years indicates that the variation between the years is random and not a true decrease. This is also the case for other estimates of psychological distress. Next year, a third data point will be available using the new sampling methodology, and this will support analysis of any trends.</w:t>
      </w:r>
    </w:p>
    <w:p w14:paraId="345CD0FD" w14:textId="77777777" w:rsidR="00A36831" w:rsidRPr="00A36831" w:rsidRDefault="00A36831" w:rsidP="00A36831">
      <w:pPr>
        <w:pStyle w:val="DHHStablefigurenote"/>
      </w:pPr>
      <w:r w:rsidRPr="00A36831">
        <w:t>*** This survey is carried out every two years.</w:t>
      </w:r>
    </w:p>
    <w:p w14:paraId="67CA4D3A" w14:textId="77777777" w:rsidR="00A36831" w:rsidRPr="00A36831" w:rsidRDefault="00A36831" w:rsidP="00A36831">
      <w:pPr>
        <w:pStyle w:val="DHHStablefigurenote"/>
      </w:pPr>
      <w:r w:rsidRPr="00A36831">
        <w:t>**** Sourced from the Victorian Government’s Aboriginal affairs report 2017, available from the Aboriginal Victoria webpage</w:t>
      </w:r>
    </w:p>
    <w:p w14:paraId="5701A9AC" w14:textId="77777777" w:rsidR="00A36831" w:rsidRPr="00A36831" w:rsidRDefault="00A36831" w:rsidP="00A36831">
      <w:pPr>
        <w:pStyle w:val="DHHStablefigurenote"/>
      </w:pPr>
      <w:r w:rsidRPr="00A36831">
        <w:t>&lt;https:/</w:t>
      </w:r>
      <w:hyperlink r:id="rId21">
        <w:r w:rsidRPr="00A36831">
          <w:t>/www</w:t>
        </w:r>
      </w:hyperlink>
      <w:r w:rsidRPr="00A36831">
        <w:t>.</w:t>
      </w:r>
      <w:hyperlink r:id="rId22">
        <w:r w:rsidRPr="00A36831">
          <w:t>vic.gov.au/aboriginalvictoria/policy/victorian-aboriginal-affairs-framework/aboriginal-affairs-report-2017.html&gt;.</w:t>
        </w:r>
      </w:hyperlink>
    </w:p>
    <w:p w14:paraId="75D71222" w14:textId="151FECEF" w:rsidR="00A36831" w:rsidRPr="00A36831" w:rsidRDefault="00A36831" w:rsidP="00A36831">
      <w:pPr>
        <w:pStyle w:val="DHHStablefigurenote"/>
      </w:pPr>
      <w:r w:rsidRPr="00A36831">
        <w:t>¥</w:t>
      </w:r>
      <w:r>
        <w:tab/>
      </w:r>
      <w:r w:rsidRPr="00A36831">
        <w:t>Data this year includes all schools in Victoria, not just government schools (as was the case in Victoria’s mental health services annual report 2016–17).</w:t>
      </w:r>
    </w:p>
    <w:p w14:paraId="56DF9CB5" w14:textId="77777777" w:rsidR="00A36831" w:rsidRPr="00A36831" w:rsidRDefault="00A36831" w:rsidP="00A36831">
      <w:pPr>
        <w:pStyle w:val="DHHStablefigurenote"/>
      </w:pPr>
      <w:r w:rsidRPr="00A36831">
        <w:t>†</w:t>
      </w:r>
      <w:r w:rsidRPr="00A36831">
        <w:tab/>
        <w:t>It was not possible to duplicate the original methodology used to calculate measures reported in 2016–17. A revised methodology was used that provides broadly comparable results, which can now be duplicated more easily and readily.</w:t>
      </w:r>
    </w:p>
    <w:p w14:paraId="22313F7A" w14:textId="77777777" w:rsidR="00617924" w:rsidRDefault="00617924">
      <w:pPr>
        <w:rPr>
          <w:rFonts w:ascii="Arial" w:eastAsia="Times" w:hAnsi="Arial"/>
        </w:rPr>
      </w:pPr>
      <w:r>
        <w:br w:type="page"/>
      </w:r>
    </w:p>
    <w:p w14:paraId="6EADE95D" w14:textId="0634A998" w:rsidR="007B1263" w:rsidRDefault="00617924" w:rsidP="00617924">
      <w:pPr>
        <w:pStyle w:val="Heading1"/>
      </w:pPr>
      <w:bookmarkStart w:id="29" w:name="_Toc28340168"/>
      <w:r>
        <w:lastRenderedPageBreak/>
        <w:t xml:space="preserve">Appendix </w:t>
      </w:r>
      <w:r w:rsidR="007B1263">
        <w:t>2: P</w:t>
      </w:r>
      <w:r>
        <w:t>ublic mental health service data</w:t>
      </w:r>
      <w:bookmarkEnd w:id="29"/>
    </w:p>
    <w:p w14:paraId="1092116C" w14:textId="5FD18082" w:rsidR="005777FD" w:rsidRDefault="005777FD" w:rsidP="005777FD">
      <w:pPr>
        <w:pStyle w:val="DHHSbody"/>
      </w:pPr>
      <w:r w:rsidRPr="005777FD">
        <w:t>Most of the data in this appendix is drawn from the mental health Client Management Interface (CMI)/Operational Data Store (ODS). The CMI/ODS is a real-time reporting system that mental health service providers regularly update. For this reason, there may be small differences in reported data between previous and future annual reports, because the system is not static.</w:t>
      </w:r>
    </w:p>
    <w:p w14:paraId="541496B8" w14:textId="4EB313AE" w:rsidR="005777FD" w:rsidRPr="005777FD" w:rsidRDefault="005777FD" w:rsidP="005777FD">
      <w:pPr>
        <w:pStyle w:val="DHHSbody"/>
      </w:pPr>
      <w:r w:rsidRPr="005777FD">
        <w:t>Other collections from which this appendix draws include the Mental Health Establishments National Minimum Dataset, the Victorian Emergency Minimum Dataset and the Mental Health Community Support Services collection. It should be noted that different data collections may use different deﬁnitions, and varying inclusion and exclusion criteria, and may disaggregate data in different ways. The data and information within appendix two has been supplied by the Victorian Agency for Health Information, whose support and assistance is gratefully acknowledged.</w:t>
      </w:r>
    </w:p>
    <w:p w14:paraId="34E6E1FE" w14:textId="10DA48D7" w:rsidR="005777FD" w:rsidRPr="005777FD" w:rsidRDefault="005777FD" w:rsidP="005777FD">
      <w:pPr>
        <w:pStyle w:val="DHHSbody"/>
      </w:pPr>
      <w:r w:rsidRPr="005777FD">
        <w:t>Data source:</w:t>
      </w:r>
      <w:r w:rsidR="00CA3CF5">
        <w:t xml:space="preserve"> </w:t>
      </w:r>
      <w:r w:rsidRPr="005777FD">
        <w:t>CMI/ODS or as footnoted otherwise</w:t>
      </w:r>
    </w:p>
    <w:p w14:paraId="6E632CFA" w14:textId="79F0FA64" w:rsidR="005777FD" w:rsidRDefault="005777FD" w:rsidP="005777FD">
      <w:pPr>
        <w:pStyle w:val="DHHSbody"/>
      </w:pPr>
      <w:r w:rsidRPr="005777FD">
        <w:t>Date extracted:</w:t>
      </w:r>
      <w:r w:rsidR="00CA3CF5">
        <w:t xml:space="preserve"> </w:t>
      </w:r>
      <w:r w:rsidRPr="005777FD">
        <w:t xml:space="preserve">10 August 2018, or as footnoted otherwise </w:t>
      </w:r>
    </w:p>
    <w:p w14:paraId="18789C40" w14:textId="4706E3EF" w:rsidR="005777FD" w:rsidRPr="005777FD" w:rsidRDefault="005777FD" w:rsidP="005777FD">
      <w:pPr>
        <w:pStyle w:val="DHHSbody"/>
      </w:pPr>
      <w:r w:rsidRPr="005777FD">
        <w:t>Date generated:</w:t>
      </w:r>
      <w:r w:rsidRPr="005777FD">
        <w:tab/>
        <w:t>3 October 2018</w:t>
      </w:r>
    </w:p>
    <w:p w14:paraId="29703B90" w14:textId="77777777" w:rsidR="00FA1FEE" w:rsidRPr="009F0C73" w:rsidRDefault="00FA1FEE" w:rsidP="00FA1FEE">
      <w:pPr>
        <w:pStyle w:val="DHHStablecaption"/>
      </w:pPr>
      <w:r w:rsidRPr="009F0C73">
        <w:t>Whole population</w:t>
      </w: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5066"/>
        <w:gridCol w:w="1372"/>
        <w:gridCol w:w="1373"/>
        <w:gridCol w:w="1373"/>
      </w:tblGrid>
      <w:tr w:rsidR="005777FD" w:rsidRPr="009F0C73" w14:paraId="5E15A3C3" w14:textId="77777777" w:rsidTr="00FA1FEE">
        <w:trPr>
          <w:tblHeader/>
        </w:trPr>
        <w:tc>
          <w:tcPr>
            <w:tcW w:w="5066" w:type="dxa"/>
          </w:tcPr>
          <w:p w14:paraId="51A9BFC7" w14:textId="77777777" w:rsidR="005777FD" w:rsidRPr="009F0C73" w:rsidRDefault="005777FD" w:rsidP="005777FD">
            <w:pPr>
              <w:pStyle w:val="DHHStablecolhead"/>
            </w:pPr>
            <w:r w:rsidRPr="009F0C73">
              <w:t>Measure</w:t>
            </w:r>
          </w:p>
        </w:tc>
        <w:tc>
          <w:tcPr>
            <w:tcW w:w="1372" w:type="dxa"/>
          </w:tcPr>
          <w:p w14:paraId="782F2588" w14:textId="48876195" w:rsidR="005777FD" w:rsidRPr="009F0C73" w:rsidRDefault="005777FD" w:rsidP="005777FD">
            <w:pPr>
              <w:pStyle w:val="DHHStablecolhead"/>
            </w:pPr>
            <w:r w:rsidRPr="009F0C73">
              <w:t>2015–16</w:t>
            </w:r>
          </w:p>
        </w:tc>
        <w:tc>
          <w:tcPr>
            <w:tcW w:w="1373" w:type="dxa"/>
          </w:tcPr>
          <w:p w14:paraId="43BFD65B" w14:textId="712E192E" w:rsidR="005777FD" w:rsidRPr="009F0C73" w:rsidRDefault="005777FD" w:rsidP="005777FD">
            <w:pPr>
              <w:pStyle w:val="DHHStablecolhead"/>
            </w:pPr>
            <w:r w:rsidRPr="009F0C73">
              <w:t>201</w:t>
            </w:r>
            <w:r>
              <w:t>6</w:t>
            </w:r>
            <w:r w:rsidRPr="009F0C73">
              <w:t>–1</w:t>
            </w:r>
            <w:r>
              <w:t>7</w:t>
            </w:r>
          </w:p>
        </w:tc>
        <w:tc>
          <w:tcPr>
            <w:tcW w:w="1373" w:type="dxa"/>
          </w:tcPr>
          <w:p w14:paraId="318F35F4" w14:textId="7BDF1E52" w:rsidR="005777FD" w:rsidRPr="009F0C73" w:rsidRDefault="005777FD" w:rsidP="005777FD">
            <w:pPr>
              <w:pStyle w:val="DHHStablecolhead"/>
            </w:pPr>
            <w:r w:rsidRPr="009F0C73">
              <w:t>201</w:t>
            </w:r>
            <w:r>
              <w:t>7</w:t>
            </w:r>
            <w:r w:rsidRPr="009F0C73">
              <w:t>–1</w:t>
            </w:r>
            <w:r>
              <w:t>8</w:t>
            </w:r>
          </w:p>
        </w:tc>
      </w:tr>
      <w:tr w:rsidR="00F8599A" w:rsidRPr="009F0C73" w14:paraId="655BF24B" w14:textId="77777777" w:rsidTr="00FA1FEE">
        <w:tc>
          <w:tcPr>
            <w:tcW w:w="5066" w:type="dxa"/>
          </w:tcPr>
          <w:p w14:paraId="7F384CAC" w14:textId="033BE04F" w:rsidR="00F8599A" w:rsidRPr="009F0C73" w:rsidRDefault="00F8599A" w:rsidP="00F8599A">
            <w:pPr>
              <w:pStyle w:val="DHHStabletext"/>
            </w:pPr>
            <w:r w:rsidRPr="009F0C73">
              <w:t>Total estimated residential population in Victoria (based on mental health area) (</w:t>
            </w:r>
            <w:r w:rsidR="006D6687">
              <w:t>‘000</w:t>
            </w:r>
            <w:r w:rsidRPr="009F0C73">
              <w:t>)</w:t>
            </w:r>
          </w:p>
        </w:tc>
        <w:tc>
          <w:tcPr>
            <w:tcW w:w="1372" w:type="dxa"/>
          </w:tcPr>
          <w:p w14:paraId="2DE264B6" w14:textId="66287E23" w:rsidR="00F8599A" w:rsidRPr="00CA3CF5" w:rsidRDefault="00F8599A" w:rsidP="00CA3CF5">
            <w:pPr>
              <w:pStyle w:val="DHHStabletext"/>
            </w:pPr>
            <w:r w:rsidRPr="00CA3CF5">
              <w:t>6,049</w:t>
            </w:r>
          </w:p>
        </w:tc>
        <w:tc>
          <w:tcPr>
            <w:tcW w:w="1373" w:type="dxa"/>
          </w:tcPr>
          <w:p w14:paraId="613E6844" w14:textId="406E58B8" w:rsidR="00F8599A" w:rsidRPr="00CA3CF5" w:rsidRDefault="00F8599A" w:rsidP="00CA3CF5">
            <w:pPr>
              <w:pStyle w:val="DHHStabletext"/>
            </w:pPr>
            <w:r w:rsidRPr="00CA3CF5">
              <w:t>6,158</w:t>
            </w:r>
          </w:p>
        </w:tc>
        <w:tc>
          <w:tcPr>
            <w:tcW w:w="1373" w:type="dxa"/>
          </w:tcPr>
          <w:p w14:paraId="3232E3DA" w14:textId="2E56E0CD" w:rsidR="00F8599A" w:rsidRPr="00CA3CF5" w:rsidRDefault="00F8599A" w:rsidP="00CA3CF5">
            <w:pPr>
              <w:pStyle w:val="DHHStabletext"/>
            </w:pPr>
            <w:r w:rsidRPr="00CA3CF5">
              <w:t>6,266</w:t>
            </w:r>
          </w:p>
        </w:tc>
      </w:tr>
    </w:tbl>
    <w:p w14:paraId="136B07C2" w14:textId="77777777" w:rsidR="00FA1FEE" w:rsidRPr="009F0C73" w:rsidRDefault="00FA1FEE" w:rsidP="00FA1FEE">
      <w:pPr>
        <w:pStyle w:val="DHHStablecaption"/>
      </w:pPr>
      <w:r w:rsidRPr="009F0C73">
        <w:t>People accessing mental health services</w:t>
      </w: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5067"/>
        <w:gridCol w:w="1373"/>
        <w:gridCol w:w="1372"/>
        <w:gridCol w:w="1372"/>
      </w:tblGrid>
      <w:tr w:rsidR="00F8599A" w:rsidRPr="009F0C73" w14:paraId="6AB9610B" w14:textId="77777777" w:rsidTr="00FA1FEE">
        <w:trPr>
          <w:tblHeader/>
        </w:trPr>
        <w:tc>
          <w:tcPr>
            <w:tcW w:w="5067" w:type="dxa"/>
          </w:tcPr>
          <w:p w14:paraId="0C154F28" w14:textId="77777777" w:rsidR="00F8599A" w:rsidRPr="009F0C73" w:rsidRDefault="00F8599A" w:rsidP="00F8599A">
            <w:pPr>
              <w:pStyle w:val="DHHStablecolhead"/>
            </w:pPr>
            <w:r w:rsidRPr="009F0C73">
              <w:t>Measure</w:t>
            </w:r>
          </w:p>
        </w:tc>
        <w:tc>
          <w:tcPr>
            <w:tcW w:w="1373" w:type="dxa"/>
          </w:tcPr>
          <w:p w14:paraId="288A756B" w14:textId="7E3262A4" w:rsidR="00F8599A" w:rsidRPr="009F0C73" w:rsidRDefault="00F8599A" w:rsidP="00F8599A">
            <w:pPr>
              <w:pStyle w:val="DHHStablecolhead"/>
            </w:pPr>
            <w:r w:rsidRPr="009F0C73">
              <w:t>2015–16</w:t>
            </w:r>
          </w:p>
        </w:tc>
        <w:tc>
          <w:tcPr>
            <w:tcW w:w="1372" w:type="dxa"/>
          </w:tcPr>
          <w:p w14:paraId="62C75313" w14:textId="714166C3" w:rsidR="00F8599A" w:rsidRPr="009F0C73" w:rsidRDefault="00F8599A" w:rsidP="00F8599A">
            <w:pPr>
              <w:pStyle w:val="DHHStablecolhead"/>
            </w:pPr>
            <w:r w:rsidRPr="009F0C73">
              <w:t>201</w:t>
            </w:r>
            <w:r>
              <w:t>6</w:t>
            </w:r>
            <w:r w:rsidRPr="009F0C73">
              <w:t>–1</w:t>
            </w:r>
            <w:r>
              <w:t>7</w:t>
            </w:r>
          </w:p>
        </w:tc>
        <w:tc>
          <w:tcPr>
            <w:tcW w:w="1372" w:type="dxa"/>
          </w:tcPr>
          <w:p w14:paraId="13CAEB81" w14:textId="0C4E8513" w:rsidR="00F8599A" w:rsidRPr="009F0C73" w:rsidRDefault="00F8599A" w:rsidP="00F8599A">
            <w:pPr>
              <w:pStyle w:val="DHHStablecolhead"/>
            </w:pPr>
            <w:r w:rsidRPr="009F0C73">
              <w:t>201</w:t>
            </w:r>
            <w:r>
              <w:t>7</w:t>
            </w:r>
            <w:r w:rsidRPr="009F0C73">
              <w:t>–1</w:t>
            </w:r>
            <w:r>
              <w:t>8</w:t>
            </w:r>
          </w:p>
        </w:tc>
      </w:tr>
      <w:tr w:rsidR="00F8599A" w:rsidRPr="009F0C73" w14:paraId="6578907B" w14:textId="77777777" w:rsidTr="00FA1FEE">
        <w:tc>
          <w:tcPr>
            <w:tcW w:w="5067" w:type="dxa"/>
          </w:tcPr>
          <w:p w14:paraId="64CCD124" w14:textId="77777777" w:rsidR="00F8599A" w:rsidRPr="009F0C73" w:rsidRDefault="00F8599A" w:rsidP="00F8599A">
            <w:pPr>
              <w:pStyle w:val="DHHStabletext"/>
            </w:pPr>
            <w:r w:rsidRPr="009F0C73">
              <w:t>Mental health-related emergency department presentations</w:t>
            </w:r>
          </w:p>
        </w:tc>
        <w:tc>
          <w:tcPr>
            <w:tcW w:w="1373" w:type="dxa"/>
          </w:tcPr>
          <w:p w14:paraId="20802C5E" w14:textId="004B7F99" w:rsidR="00F8599A" w:rsidRPr="00CA3CF5" w:rsidRDefault="00F8599A" w:rsidP="00CA3CF5">
            <w:pPr>
              <w:pStyle w:val="DHHStabletext"/>
            </w:pPr>
            <w:r w:rsidRPr="00CA3CF5">
              <w:t>83,024</w:t>
            </w:r>
          </w:p>
        </w:tc>
        <w:tc>
          <w:tcPr>
            <w:tcW w:w="1372" w:type="dxa"/>
          </w:tcPr>
          <w:p w14:paraId="7032E744" w14:textId="795ACBD8" w:rsidR="00F8599A" w:rsidRPr="00CA3CF5" w:rsidRDefault="00F8599A" w:rsidP="00CA3CF5">
            <w:pPr>
              <w:pStyle w:val="DHHStabletext"/>
            </w:pPr>
            <w:r w:rsidRPr="00CA3CF5">
              <w:t>87,197</w:t>
            </w:r>
          </w:p>
        </w:tc>
        <w:tc>
          <w:tcPr>
            <w:tcW w:w="1372" w:type="dxa"/>
          </w:tcPr>
          <w:p w14:paraId="6BDF02BA" w14:textId="7B736497" w:rsidR="00F8599A" w:rsidRPr="00CA3CF5" w:rsidRDefault="00F8599A" w:rsidP="00CA3CF5">
            <w:pPr>
              <w:pStyle w:val="DHHStabletext"/>
            </w:pPr>
            <w:r w:rsidRPr="00CA3CF5">
              <w:t>92,610</w:t>
            </w:r>
          </w:p>
        </w:tc>
      </w:tr>
      <w:tr w:rsidR="00F8599A" w:rsidRPr="009F0C73" w14:paraId="1E9C2848" w14:textId="77777777" w:rsidTr="00FA1FEE">
        <w:tc>
          <w:tcPr>
            <w:tcW w:w="5067" w:type="dxa"/>
          </w:tcPr>
          <w:p w14:paraId="5D4BA2B6" w14:textId="77777777" w:rsidR="00F8599A" w:rsidRPr="009F0C73" w:rsidRDefault="00F8599A" w:rsidP="00F8599A">
            <w:pPr>
              <w:pStyle w:val="DHHStabletext"/>
            </w:pPr>
            <w:r w:rsidRPr="009F0C73">
              <w:t>Emergency department presentations that were mental health-related (%)</w:t>
            </w:r>
          </w:p>
        </w:tc>
        <w:tc>
          <w:tcPr>
            <w:tcW w:w="1373" w:type="dxa"/>
          </w:tcPr>
          <w:p w14:paraId="39AE0CC4" w14:textId="340E2CBB" w:rsidR="00F8599A" w:rsidRPr="00CA3CF5" w:rsidRDefault="00F8599A" w:rsidP="00CA3CF5">
            <w:pPr>
              <w:pStyle w:val="DHHStabletext"/>
            </w:pPr>
            <w:r w:rsidRPr="00CA3CF5">
              <w:t>5.04%</w:t>
            </w:r>
          </w:p>
        </w:tc>
        <w:tc>
          <w:tcPr>
            <w:tcW w:w="1372" w:type="dxa"/>
          </w:tcPr>
          <w:p w14:paraId="652C7D37" w14:textId="2F4BB474" w:rsidR="00F8599A" w:rsidRPr="00CA3CF5" w:rsidRDefault="00F8599A" w:rsidP="00CA3CF5">
            <w:pPr>
              <w:pStyle w:val="DHHStabletext"/>
            </w:pPr>
            <w:r w:rsidRPr="00CA3CF5">
              <w:t>5.14%</w:t>
            </w:r>
          </w:p>
        </w:tc>
        <w:tc>
          <w:tcPr>
            <w:tcW w:w="1372" w:type="dxa"/>
          </w:tcPr>
          <w:p w14:paraId="76CC81CA" w14:textId="4019C1D6" w:rsidR="00F8599A" w:rsidRPr="00CA3CF5" w:rsidRDefault="00F8599A" w:rsidP="00CA3CF5">
            <w:pPr>
              <w:pStyle w:val="DHHStabletext"/>
            </w:pPr>
            <w:r w:rsidRPr="00CA3CF5">
              <w:t>5.27%</w:t>
            </w:r>
          </w:p>
        </w:tc>
      </w:tr>
    </w:tbl>
    <w:p w14:paraId="67C21C68" w14:textId="77777777" w:rsidR="00FA1FEE" w:rsidRPr="009F0C73" w:rsidRDefault="00FA1FEE" w:rsidP="00FA1FEE">
      <w:pPr>
        <w:pStyle w:val="DHHStablecaption"/>
      </w:pPr>
      <w:r w:rsidRPr="009F0C73">
        <w:t>People accessing clinical mental health services</w:t>
      </w: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5064"/>
        <w:gridCol w:w="1374"/>
        <w:gridCol w:w="1373"/>
        <w:gridCol w:w="1373"/>
      </w:tblGrid>
      <w:tr w:rsidR="00F8599A" w:rsidRPr="009F0C73" w14:paraId="57A9978A" w14:textId="77777777" w:rsidTr="00FA1FEE">
        <w:trPr>
          <w:tblHeader/>
        </w:trPr>
        <w:tc>
          <w:tcPr>
            <w:tcW w:w="5064" w:type="dxa"/>
          </w:tcPr>
          <w:p w14:paraId="1CC8C236" w14:textId="2B18EB73" w:rsidR="00F8599A" w:rsidRPr="009F0C73" w:rsidRDefault="006D6687" w:rsidP="00F8599A">
            <w:pPr>
              <w:pStyle w:val="DHHStablecolhead"/>
            </w:pPr>
            <w:r>
              <w:t>Consumers</w:t>
            </w:r>
          </w:p>
        </w:tc>
        <w:tc>
          <w:tcPr>
            <w:tcW w:w="1374" w:type="dxa"/>
          </w:tcPr>
          <w:p w14:paraId="5CCF51D4" w14:textId="3F1340C1" w:rsidR="00F8599A" w:rsidRPr="009F0C73" w:rsidRDefault="00F8599A" w:rsidP="00F8599A">
            <w:pPr>
              <w:pStyle w:val="DHHStablecolhead"/>
            </w:pPr>
            <w:r w:rsidRPr="009F0C73">
              <w:t>2015–16</w:t>
            </w:r>
          </w:p>
        </w:tc>
        <w:tc>
          <w:tcPr>
            <w:tcW w:w="1373" w:type="dxa"/>
          </w:tcPr>
          <w:p w14:paraId="18832568" w14:textId="27F0BF36" w:rsidR="00F8599A" w:rsidRPr="009F0C73" w:rsidRDefault="00F8599A" w:rsidP="00F8599A">
            <w:pPr>
              <w:pStyle w:val="DHHStablecolhead"/>
            </w:pPr>
            <w:r w:rsidRPr="009F0C73">
              <w:t>201</w:t>
            </w:r>
            <w:r>
              <w:t>6</w:t>
            </w:r>
            <w:r w:rsidRPr="009F0C73">
              <w:t>–1</w:t>
            </w:r>
            <w:r>
              <w:t>7</w:t>
            </w:r>
          </w:p>
        </w:tc>
        <w:tc>
          <w:tcPr>
            <w:tcW w:w="1373" w:type="dxa"/>
          </w:tcPr>
          <w:p w14:paraId="7A3ED621" w14:textId="26CB26B7" w:rsidR="00F8599A" w:rsidRPr="009F0C73" w:rsidRDefault="00F8599A" w:rsidP="00F8599A">
            <w:pPr>
              <w:pStyle w:val="DHHStablecolhead"/>
            </w:pPr>
            <w:r w:rsidRPr="009F0C73">
              <w:t>201</w:t>
            </w:r>
            <w:r>
              <w:t>7</w:t>
            </w:r>
            <w:r w:rsidRPr="009F0C73">
              <w:t>–1</w:t>
            </w:r>
            <w:r>
              <w:t>8</w:t>
            </w:r>
          </w:p>
        </w:tc>
      </w:tr>
      <w:tr w:rsidR="00F8599A" w:rsidRPr="009F0C73" w14:paraId="56FBC0E3" w14:textId="77777777" w:rsidTr="00FA1FEE">
        <w:tc>
          <w:tcPr>
            <w:tcW w:w="5064" w:type="dxa"/>
          </w:tcPr>
          <w:p w14:paraId="2027642C" w14:textId="760D6FD2" w:rsidR="00F8599A" w:rsidRPr="009F0C73" w:rsidRDefault="006D6687" w:rsidP="00F8599A">
            <w:pPr>
              <w:pStyle w:val="DHHStabletext"/>
            </w:pPr>
            <w:r>
              <w:t xml:space="preserve">Consumers </w:t>
            </w:r>
            <w:r w:rsidR="00F8599A" w:rsidRPr="009F0C73">
              <w:t>accessing clinical mental health services*</w:t>
            </w:r>
          </w:p>
        </w:tc>
        <w:tc>
          <w:tcPr>
            <w:tcW w:w="1374" w:type="dxa"/>
          </w:tcPr>
          <w:p w14:paraId="223ABA10" w14:textId="4F28C24A" w:rsidR="00F8599A" w:rsidRPr="00CA3CF5" w:rsidRDefault="00F8599A" w:rsidP="00CA3CF5">
            <w:pPr>
              <w:pStyle w:val="DHHStabletext"/>
            </w:pPr>
            <w:r w:rsidRPr="00CA3CF5">
              <w:t>67,559</w:t>
            </w:r>
          </w:p>
        </w:tc>
        <w:tc>
          <w:tcPr>
            <w:tcW w:w="1373" w:type="dxa"/>
          </w:tcPr>
          <w:p w14:paraId="4200B5A1" w14:textId="7B171F80" w:rsidR="00F8599A" w:rsidRPr="00CA3CF5" w:rsidRDefault="00F8599A" w:rsidP="00CA3CF5">
            <w:pPr>
              <w:pStyle w:val="DHHStabletext"/>
            </w:pPr>
            <w:r w:rsidRPr="00CA3CF5">
              <w:t>66,487</w:t>
            </w:r>
          </w:p>
        </w:tc>
        <w:tc>
          <w:tcPr>
            <w:tcW w:w="1373" w:type="dxa"/>
          </w:tcPr>
          <w:p w14:paraId="3044B5B5" w14:textId="1197BC18" w:rsidR="00F8599A" w:rsidRPr="00CA3CF5" w:rsidRDefault="00F8599A" w:rsidP="00CA3CF5">
            <w:pPr>
              <w:pStyle w:val="DHHStabletext"/>
            </w:pPr>
            <w:r w:rsidRPr="00CA3CF5">
              <w:t>72,859</w:t>
            </w:r>
          </w:p>
        </w:tc>
      </w:tr>
      <w:tr w:rsidR="00F8599A" w:rsidRPr="009F0C73" w14:paraId="6E4D47DD" w14:textId="77777777" w:rsidTr="00FA1FEE">
        <w:tc>
          <w:tcPr>
            <w:tcW w:w="5064" w:type="dxa"/>
          </w:tcPr>
          <w:p w14:paraId="1323A008" w14:textId="77777777" w:rsidR="00F8599A" w:rsidRPr="009F0C73" w:rsidRDefault="00F8599A" w:rsidP="00F8599A">
            <w:pPr>
              <w:pStyle w:val="DHHStabletext"/>
            </w:pPr>
            <w:r w:rsidRPr="009F0C73">
              <w:t>Proportion of population receiving clinical care (%)</w:t>
            </w:r>
          </w:p>
        </w:tc>
        <w:tc>
          <w:tcPr>
            <w:tcW w:w="1374" w:type="dxa"/>
          </w:tcPr>
          <w:p w14:paraId="58BF0508" w14:textId="756765A2" w:rsidR="00F8599A" w:rsidRPr="00CA3CF5" w:rsidRDefault="00F8599A" w:rsidP="00CA3CF5">
            <w:pPr>
              <w:pStyle w:val="DHHStabletext"/>
            </w:pPr>
            <w:r w:rsidRPr="00CA3CF5">
              <w:t>1.12 %</w:t>
            </w:r>
          </w:p>
        </w:tc>
        <w:tc>
          <w:tcPr>
            <w:tcW w:w="1373" w:type="dxa"/>
          </w:tcPr>
          <w:p w14:paraId="3330F19A" w14:textId="5FD1982C" w:rsidR="00F8599A" w:rsidRPr="00CA3CF5" w:rsidRDefault="00F8599A" w:rsidP="00CA3CF5">
            <w:pPr>
              <w:pStyle w:val="DHHStabletext"/>
            </w:pPr>
            <w:r w:rsidRPr="00CA3CF5">
              <w:t>1.08%</w:t>
            </w:r>
          </w:p>
        </w:tc>
        <w:tc>
          <w:tcPr>
            <w:tcW w:w="1373" w:type="dxa"/>
          </w:tcPr>
          <w:p w14:paraId="77B177C9" w14:textId="374BD87C" w:rsidR="00F8599A" w:rsidRPr="00CA3CF5" w:rsidRDefault="00F8599A" w:rsidP="00CA3CF5">
            <w:pPr>
              <w:pStyle w:val="DHHStabletext"/>
            </w:pPr>
            <w:r w:rsidRPr="00CA3CF5">
              <w:t>1.16%</w:t>
            </w:r>
          </w:p>
        </w:tc>
      </w:tr>
    </w:tbl>
    <w:p w14:paraId="25CACE37" w14:textId="77777777" w:rsidR="00FA1FEE" w:rsidRPr="009F0C73" w:rsidRDefault="00FA1FEE" w:rsidP="00FA1FEE">
      <w:pPr>
        <w:pStyle w:val="DHHSbody"/>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3814"/>
        <w:gridCol w:w="1594"/>
        <w:gridCol w:w="1258"/>
        <w:gridCol w:w="1259"/>
        <w:gridCol w:w="1259"/>
      </w:tblGrid>
      <w:tr w:rsidR="00F8599A" w:rsidRPr="009F0C73" w14:paraId="71C8108A" w14:textId="77777777" w:rsidTr="00FA1FEE">
        <w:trPr>
          <w:tblHeader/>
        </w:trPr>
        <w:tc>
          <w:tcPr>
            <w:tcW w:w="3814" w:type="dxa"/>
          </w:tcPr>
          <w:p w14:paraId="7055E13B" w14:textId="7C87C259" w:rsidR="00F8599A" w:rsidRPr="009F0C73" w:rsidRDefault="006D6687" w:rsidP="00F8599A">
            <w:pPr>
              <w:pStyle w:val="DHHStablecolhead"/>
            </w:pPr>
            <w:r>
              <w:t>Consumer</w:t>
            </w:r>
            <w:r w:rsidRPr="009F0C73">
              <w:t xml:space="preserve"> </w:t>
            </w:r>
            <w:r w:rsidR="00F8599A" w:rsidRPr="009F0C73">
              <w:t>location</w:t>
            </w:r>
          </w:p>
        </w:tc>
        <w:tc>
          <w:tcPr>
            <w:tcW w:w="1594" w:type="dxa"/>
          </w:tcPr>
          <w:p w14:paraId="29AE78B0" w14:textId="77777777" w:rsidR="00F8599A" w:rsidRPr="009F0C73" w:rsidRDefault="00F8599A" w:rsidP="00F8599A">
            <w:pPr>
              <w:pStyle w:val="DHHStablecolhead"/>
            </w:pPr>
            <w:r w:rsidRPr="009F0C73">
              <w:t>Location</w:t>
            </w:r>
          </w:p>
        </w:tc>
        <w:tc>
          <w:tcPr>
            <w:tcW w:w="1258" w:type="dxa"/>
          </w:tcPr>
          <w:p w14:paraId="2558D347" w14:textId="4D30A114" w:rsidR="00F8599A" w:rsidRPr="009F0C73" w:rsidRDefault="00F8599A" w:rsidP="00F8599A">
            <w:pPr>
              <w:pStyle w:val="DHHStablecolhead"/>
            </w:pPr>
            <w:r w:rsidRPr="009F0C73">
              <w:t>2015–16</w:t>
            </w:r>
          </w:p>
        </w:tc>
        <w:tc>
          <w:tcPr>
            <w:tcW w:w="1259" w:type="dxa"/>
          </w:tcPr>
          <w:p w14:paraId="5BAE0E60" w14:textId="6BDD526D" w:rsidR="00F8599A" w:rsidRPr="009F0C73" w:rsidRDefault="00F8599A" w:rsidP="00F8599A">
            <w:pPr>
              <w:pStyle w:val="DHHStablecolhead"/>
            </w:pPr>
            <w:r w:rsidRPr="009F0C73">
              <w:t>201</w:t>
            </w:r>
            <w:r>
              <w:t>6</w:t>
            </w:r>
            <w:r w:rsidRPr="009F0C73">
              <w:t>–1</w:t>
            </w:r>
            <w:r>
              <w:t>7</w:t>
            </w:r>
          </w:p>
        </w:tc>
        <w:tc>
          <w:tcPr>
            <w:tcW w:w="1259" w:type="dxa"/>
          </w:tcPr>
          <w:p w14:paraId="3F6A72EF" w14:textId="10B2F066" w:rsidR="00F8599A" w:rsidRPr="009F0C73" w:rsidRDefault="00F8599A" w:rsidP="00F8599A">
            <w:pPr>
              <w:pStyle w:val="DHHStablecolhead"/>
            </w:pPr>
            <w:r w:rsidRPr="009F0C73">
              <w:t>201</w:t>
            </w:r>
            <w:r>
              <w:t>7</w:t>
            </w:r>
            <w:r w:rsidRPr="009F0C73">
              <w:t>–1</w:t>
            </w:r>
            <w:r>
              <w:t>8</w:t>
            </w:r>
          </w:p>
        </w:tc>
      </w:tr>
      <w:tr w:rsidR="00F8599A" w:rsidRPr="009F0C73" w14:paraId="7F318F80" w14:textId="77777777" w:rsidTr="00FA1FEE">
        <w:tc>
          <w:tcPr>
            <w:tcW w:w="3814" w:type="dxa"/>
            <w:vMerge w:val="restart"/>
          </w:tcPr>
          <w:p w14:paraId="232F768B" w14:textId="7F37C24B" w:rsidR="00F8599A" w:rsidRPr="009F0C73" w:rsidRDefault="006D6687" w:rsidP="00F8599A">
            <w:pPr>
              <w:pStyle w:val="DHHStabletext"/>
            </w:pPr>
            <w:r>
              <w:t xml:space="preserve">Consumer </w:t>
            </w:r>
            <w:r w:rsidR="00F8599A" w:rsidRPr="009F0C73">
              <w:t>residential location (%)</w:t>
            </w:r>
          </w:p>
        </w:tc>
        <w:tc>
          <w:tcPr>
            <w:tcW w:w="1594" w:type="dxa"/>
          </w:tcPr>
          <w:p w14:paraId="6EE38870" w14:textId="77777777" w:rsidR="00F8599A" w:rsidRPr="009F0C73" w:rsidRDefault="00F8599A" w:rsidP="00F8599A">
            <w:pPr>
              <w:pStyle w:val="DHHStabletext"/>
            </w:pPr>
            <w:r w:rsidRPr="009F0C73">
              <w:t>Metro</w:t>
            </w:r>
          </w:p>
        </w:tc>
        <w:tc>
          <w:tcPr>
            <w:tcW w:w="1258" w:type="dxa"/>
          </w:tcPr>
          <w:p w14:paraId="29F617A4" w14:textId="31290E34" w:rsidR="00F8599A" w:rsidRPr="00CA3CF5" w:rsidRDefault="00F8599A" w:rsidP="00CA3CF5">
            <w:pPr>
              <w:pStyle w:val="DHHStabletext"/>
            </w:pPr>
            <w:r w:rsidRPr="00CA3CF5">
              <w:t>62.7%</w:t>
            </w:r>
          </w:p>
        </w:tc>
        <w:tc>
          <w:tcPr>
            <w:tcW w:w="1259" w:type="dxa"/>
          </w:tcPr>
          <w:p w14:paraId="60F5B83B" w14:textId="59DAC8E7" w:rsidR="00F8599A" w:rsidRPr="00CA3CF5" w:rsidRDefault="00F8599A" w:rsidP="00CA3CF5">
            <w:pPr>
              <w:pStyle w:val="DHHStabletext"/>
            </w:pPr>
            <w:r w:rsidRPr="00CA3CF5">
              <w:t>64.4%</w:t>
            </w:r>
          </w:p>
        </w:tc>
        <w:tc>
          <w:tcPr>
            <w:tcW w:w="1259" w:type="dxa"/>
          </w:tcPr>
          <w:p w14:paraId="4DA99E7A" w14:textId="516A282F" w:rsidR="00F8599A" w:rsidRPr="00CA3CF5" w:rsidRDefault="00F8599A" w:rsidP="00CA3CF5">
            <w:pPr>
              <w:pStyle w:val="DHHStabletext"/>
            </w:pPr>
            <w:r w:rsidRPr="00CA3CF5">
              <w:t>64.2%</w:t>
            </w:r>
          </w:p>
        </w:tc>
      </w:tr>
      <w:tr w:rsidR="00F8599A" w:rsidRPr="009F0C73" w14:paraId="5D8C1341" w14:textId="77777777" w:rsidTr="00FA1FEE">
        <w:tc>
          <w:tcPr>
            <w:tcW w:w="3814" w:type="dxa"/>
            <w:vMerge/>
          </w:tcPr>
          <w:p w14:paraId="2B5B11E5" w14:textId="77777777" w:rsidR="00F8599A" w:rsidRPr="009F0C73" w:rsidRDefault="00F8599A" w:rsidP="00F8599A">
            <w:pPr>
              <w:pStyle w:val="DHHStabletext"/>
            </w:pPr>
          </w:p>
        </w:tc>
        <w:tc>
          <w:tcPr>
            <w:tcW w:w="1594" w:type="dxa"/>
          </w:tcPr>
          <w:p w14:paraId="5FCA4359" w14:textId="77777777" w:rsidR="00F8599A" w:rsidRPr="009F0C73" w:rsidRDefault="00F8599A" w:rsidP="00F8599A">
            <w:pPr>
              <w:pStyle w:val="DHHStabletext"/>
            </w:pPr>
            <w:r w:rsidRPr="009F0C73">
              <w:t>Rural</w:t>
            </w:r>
          </w:p>
        </w:tc>
        <w:tc>
          <w:tcPr>
            <w:tcW w:w="1258" w:type="dxa"/>
          </w:tcPr>
          <w:p w14:paraId="6D86A045" w14:textId="0842E8C5" w:rsidR="00F8599A" w:rsidRPr="00CA3CF5" w:rsidRDefault="00F8599A" w:rsidP="00CA3CF5">
            <w:pPr>
              <w:pStyle w:val="DHHStabletext"/>
            </w:pPr>
            <w:r w:rsidRPr="00CA3CF5">
              <w:t>34.8%</w:t>
            </w:r>
          </w:p>
        </w:tc>
        <w:tc>
          <w:tcPr>
            <w:tcW w:w="1259" w:type="dxa"/>
          </w:tcPr>
          <w:p w14:paraId="60BF6955" w14:textId="39C7BC5B" w:rsidR="00F8599A" w:rsidRPr="00CA3CF5" w:rsidRDefault="00F8599A" w:rsidP="00CA3CF5">
            <w:pPr>
              <w:pStyle w:val="DHHStabletext"/>
            </w:pPr>
            <w:r w:rsidRPr="00CA3CF5">
              <w:t>32.6%</w:t>
            </w:r>
          </w:p>
        </w:tc>
        <w:tc>
          <w:tcPr>
            <w:tcW w:w="1259" w:type="dxa"/>
          </w:tcPr>
          <w:p w14:paraId="2A38BBDF" w14:textId="78A43EEF" w:rsidR="00F8599A" w:rsidRPr="00CA3CF5" w:rsidRDefault="00F8599A" w:rsidP="00CA3CF5">
            <w:pPr>
              <w:pStyle w:val="DHHStabletext"/>
            </w:pPr>
            <w:r w:rsidRPr="00CA3CF5">
              <w:t>32.9%</w:t>
            </w:r>
          </w:p>
        </w:tc>
      </w:tr>
      <w:tr w:rsidR="00F8599A" w:rsidRPr="009F0C73" w14:paraId="3CA4B56C" w14:textId="77777777" w:rsidTr="00FA1FEE">
        <w:tc>
          <w:tcPr>
            <w:tcW w:w="3814" w:type="dxa"/>
            <w:vMerge/>
          </w:tcPr>
          <w:p w14:paraId="61CB9C1F" w14:textId="77777777" w:rsidR="00F8599A" w:rsidRPr="009F0C73" w:rsidRDefault="00F8599A" w:rsidP="00F8599A">
            <w:pPr>
              <w:pStyle w:val="DHHStabletext"/>
            </w:pPr>
          </w:p>
        </w:tc>
        <w:tc>
          <w:tcPr>
            <w:tcW w:w="1594" w:type="dxa"/>
          </w:tcPr>
          <w:p w14:paraId="5B314699" w14:textId="77777777" w:rsidR="00F8599A" w:rsidRPr="009F0C73" w:rsidRDefault="00F8599A" w:rsidP="00F8599A">
            <w:pPr>
              <w:pStyle w:val="DHHStabletext"/>
            </w:pPr>
            <w:r w:rsidRPr="009F0C73">
              <w:t>Unknown/other</w:t>
            </w:r>
          </w:p>
        </w:tc>
        <w:tc>
          <w:tcPr>
            <w:tcW w:w="1258" w:type="dxa"/>
          </w:tcPr>
          <w:p w14:paraId="0C6E46A8" w14:textId="73F2A2AC" w:rsidR="00F8599A" w:rsidRPr="00CA3CF5" w:rsidRDefault="00F8599A" w:rsidP="00CA3CF5">
            <w:pPr>
              <w:pStyle w:val="DHHStabletext"/>
            </w:pPr>
            <w:r w:rsidRPr="00CA3CF5">
              <w:t>2.5%</w:t>
            </w:r>
          </w:p>
        </w:tc>
        <w:tc>
          <w:tcPr>
            <w:tcW w:w="1259" w:type="dxa"/>
          </w:tcPr>
          <w:p w14:paraId="7D996428" w14:textId="401E8FE4" w:rsidR="00F8599A" w:rsidRPr="00CA3CF5" w:rsidRDefault="00F8599A" w:rsidP="00CA3CF5">
            <w:pPr>
              <w:pStyle w:val="DHHStabletext"/>
            </w:pPr>
            <w:r w:rsidRPr="00CA3CF5">
              <w:t>2.9%</w:t>
            </w:r>
          </w:p>
        </w:tc>
        <w:tc>
          <w:tcPr>
            <w:tcW w:w="1259" w:type="dxa"/>
          </w:tcPr>
          <w:p w14:paraId="00A45D87" w14:textId="1094B394" w:rsidR="00F8599A" w:rsidRPr="00CA3CF5" w:rsidRDefault="00F8599A" w:rsidP="00CA3CF5">
            <w:pPr>
              <w:pStyle w:val="DHHStabletext"/>
            </w:pPr>
            <w:r w:rsidRPr="00CA3CF5">
              <w:t>2.9%</w:t>
            </w:r>
          </w:p>
        </w:tc>
      </w:tr>
    </w:tbl>
    <w:p w14:paraId="15D0BE9D" w14:textId="77777777" w:rsidR="00FA1FEE" w:rsidRPr="009F0C73" w:rsidRDefault="00FA1FEE" w:rsidP="00FA1FEE">
      <w:pPr>
        <w:pStyle w:val="DHHSbody"/>
        <w:sectPr w:rsidR="00FA1FEE" w:rsidRPr="009F0C73" w:rsidSect="00521F5C">
          <w:type w:val="continuous"/>
          <w:pgSz w:w="11910" w:h="16840"/>
          <w:pgMar w:top="1701" w:right="1304" w:bottom="1134" w:left="1304" w:header="720" w:footer="720" w:gutter="0"/>
          <w:pgNumType w:start="1"/>
          <w:cols w:space="720"/>
        </w:sectPr>
      </w:pPr>
    </w:p>
    <w:tbl>
      <w:tblPr>
        <w:tblpPr w:leftFromText="180" w:rightFromText="180" w:vertAnchor="text" w:horzAnchor="margin" w:tblpY="129"/>
        <w:tblW w:w="9918"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3911"/>
        <w:gridCol w:w="2324"/>
        <w:gridCol w:w="1243"/>
        <w:gridCol w:w="1243"/>
        <w:gridCol w:w="1197"/>
      </w:tblGrid>
      <w:tr w:rsidR="00F8599A" w14:paraId="11E4BE3A" w14:textId="77777777" w:rsidTr="00235E13">
        <w:trPr>
          <w:trHeight w:val="340"/>
          <w:tblHeader/>
        </w:trPr>
        <w:tc>
          <w:tcPr>
            <w:tcW w:w="3911" w:type="dxa"/>
            <w:shd w:val="clear" w:color="auto" w:fill="auto"/>
            <w:hideMark/>
          </w:tcPr>
          <w:p w14:paraId="7A48AA4F" w14:textId="77777777" w:rsidR="00F8599A" w:rsidRPr="009C2EFA" w:rsidRDefault="00F8599A" w:rsidP="00F8599A">
            <w:pPr>
              <w:pStyle w:val="DHHStablecolhead"/>
            </w:pPr>
            <w:r w:rsidRPr="009C2EFA">
              <w:lastRenderedPageBreak/>
              <w:t>Client demographics</w:t>
            </w:r>
          </w:p>
        </w:tc>
        <w:tc>
          <w:tcPr>
            <w:tcW w:w="2324" w:type="dxa"/>
            <w:shd w:val="clear" w:color="auto" w:fill="auto"/>
          </w:tcPr>
          <w:p w14:paraId="50BA9F58" w14:textId="77777777" w:rsidR="00F8599A" w:rsidRPr="009C2EFA" w:rsidRDefault="00F8599A" w:rsidP="00F8599A">
            <w:pPr>
              <w:pStyle w:val="DHHStablecolhead"/>
            </w:pPr>
          </w:p>
        </w:tc>
        <w:tc>
          <w:tcPr>
            <w:tcW w:w="1243" w:type="dxa"/>
            <w:shd w:val="clear" w:color="auto" w:fill="auto"/>
            <w:hideMark/>
          </w:tcPr>
          <w:p w14:paraId="227FDC8B" w14:textId="2C201CD5" w:rsidR="00F8599A" w:rsidRPr="009C2EFA" w:rsidRDefault="00F8599A" w:rsidP="00F8599A">
            <w:pPr>
              <w:pStyle w:val="DHHStablecolhead"/>
            </w:pPr>
            <w:r w:rsidRPr="009F0C73">
              <w:t>2015–16</w:t>
            </w:r>
          </w:p>
        </w:tc>
        <w:tc>
          <w:tcPr>
            <w:tcW w:w="1243" w:type="dxa"/>
            <w:shd w:val="clear" w:color="auto" w:fill="auto"/>
            <w:hideMark/>
          </w:tcPr>
          <w:p w14:paraId="1E3C97B7" w14:textId="5CBDEB6C" w:rsidR="00F8599A" w:rsidRPr="009C2EFA" w:rsidRDefault="00F8599A" w:rsidP="00F8599A">
            <w:pPr>
              <w:pStyle w:val="DHHStablecolhead"/>
            </w:pPr>
            <w:r w:rsidRPr="009F0C73">
              <w:t>201</w:t>
            </w:r>
            <w:r>
              <w:t>6</w:t>
            </w:r>
            <w:r w:rsidRPr="009F0C73">
              <w:t>–1</w:t>
            </w:r>
            <w:r>
              <w:t>7</w:t>
            </w:r>
          </w:p>
        </w:tc>
        <w:tc>
          <w:tcPr>
            <w:tcW w:w="1197" w:type="dxa"/>
            <w:shd w:val="clear" w:color="auto" w:fill="auto"/>
            <w:hideMark/>
          </w:tcPr>
          <w:p w14:paraId="15950B71" w14:textId="20635484" w:rsidR="00F8599A" w:rsidRPr="009C2EFA" w:rsidRDefault="00F8599A" w:rsidP="00F8599A">
            <w:pPr>
              <w:pStyle w:val="DHHStablecolhead"/>
            </w:pPr>
            <w:r w:rsidRPr="009F0C73">
              <w:t>201</w:t>
            </w:r>
            <w:r>
              <w:t>7</w:t>
            </w:r>
            <w:r w:rsidRPr="009F0C73">
              <w:t>–1</w:t>
            </w:r>
            <w:r>
              <w:t>8</w:t>
            </w:r>
          </w:p>
        </w:tc>
      </w:tr>
      <w:tr w:rsidR="00F8599A" w14:paraId="5192F996" w14:textId="77777777" w:rsidTr="00235E13">
        <w:trPr>
          <w:trHeight w:val="288"/>
        </w:trPr>
        <w:tc>
          <w:tcPr>
            <w:tcW w:w="3911" w:type="dxa"/>
            <w:vMerge w:val="restart"/>
            <w:hideMark/>
          </w:tcPr>
          <w:p w14:paraId="0F627830" w14:textId="77777777" w:rsidR="00F8599A" w:rsidRPr="009C2EFA" w:rsidRDefault="00F8599A" w:rsidP="00F8599A">
            <w:pPr>
              <w:pStyle w:val="DHHStabletext"/>
            </w:pPr>
            <w:r w:rsidRPr="009C2EFA">
              <w:t>Gender (%)</w:t>
            </w:r>
          </w:p>
        </w:tc>
        <w:tc>
          <w:tcPr>
            <w:tcW w:w="2324" w:type="dxa"/>
            <w:hideMark/>
          </w:tcPr>
          <w:p w14:paraId="4FA976FE" w14:textId="77777777" w:rsidR="00F8599A" w:rsidRPr="009C2EFA" w:rsidRDefault="00F8599A" w:rsidP="00CA3CF5">
            <w:pPr>
              <w:pStyle w:val="DHHStabletext"/>
            </w:pPr>
            <w:r w:rsidRPr="009C2EFA">
              <w:t>Female</w:t>
            </w:r>
          </w:p>
        </w:tc>
        <w:tc>
          <w:tcPr>
            <w:tcW w:w="1243" w:type="dxa"/>
            <w:hideMark/>
          </w:tcPr>
          <w:p w14:paraId="3346D8E6" w14:textId="49DD3EE3" w:rsidR="00F8599A" w:rsidRPr="00CA3CF5" w:rsidRDefault="00F8599A" w:rsidP="00CA3CF5">
            <w:pPr>
              <w:pStyle w:val="DHHStabletext"/>
            </w:pPr>
            <w:r w:rsidRPr="00CA3CF5">
              <w:t>50.4%</w:t>
            </w:r>
          </w:p>
        </w:tc>
        <w:tc>
          <w:tcPr>
            <w:tcW w:w="1243" w:type="dxa"/>
            <w:hideMark/>
          </w:tcPr>
          <w:p w14:paraId="3FFBB53D" w14:textId="07F3717C" w:rsidR="00F8599A" w:rsidRPr="00CA3CF5" w:rsidRDefault="00F8599A" w:rsidP="00CA3CF5">
            <w:pPr>
              <w:pStyle w:val="DHHStabletext"/>
            </w:pPr>
            <w:r w:rsidRPr="00CA3CF5">
              <w:t>50.4%</w:t>
            </w:r>
          </w:p>
        </w:tc>
        <w:tc>
          <w:tcPr>
            <w:tcW w:w="1197" w:type="dxa"/>
            <w:hideMark/>
          </w:tcPr>
          <w:p w14:paraId="3664BC27" w14:textId="630F1838" w:rsidR="00F8599A" w:rsidRPr="00CA3CF5" w:rsidRDefault="00F8599A" w:rsidP="00CA3CF5">
            <w:pPr>
              <w:pStyle w:val="DHHStabletext"/>
            </w:pPr>
            <w:r w:rsidRPr="00CA3CF5">
              <w:t>50.3%</w:t>
            </w:r>
          </w:p>
        </w:tc>
      </w:tr>
      <w:tr w:rsidR="00F8599A" w14:paraId="42D12D54" w14:textId="77777777" w:rsidTr="00235E13">
        <w:trPr>
          <w:trHeight w:val="288"/>
        </w:trPr>
        <w:tc>
          <w:tcPr>
            <w:tcW w:w="3911" w:type="dxa"/>
            <w:vMerge/>
            <w:vAlign w:val="center"/>
            <w:hideMark/>
          </w:tcPr>
          <w:p w14:paraId="0E7DCC08"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0B090EE6" w14:textId="77777777" w:rsidR="00F8599A" w:rsidRPr="009C2EFA" w:rsidRDefault="00F8599A" w:rsidP="00CA3CF5">
            <w:pPr>
              <w:pStyle w:val="DHHStabletext"/>
            </w:pPr>
            <w:r w:rsidRPr="009C2EFA">
              <w:t>Male</w:t>
            </w:r>
          </w:p>
        </w:tc>
        <w:tc>
          <w:tcPr>
            <w:tcW w:w="1243" w:type="dxa"/>
            <w:hideMark/>
          </w:tcPr>
          <w:p w14:paraId="758D45AC" w14:textId="6EFB3EF0" w:rsidR="00F8599A" w:rsidRPr="00CA3CF5" w:rsidRDefault="00F8599A" w:rsidP="00CA3CF5">
            <w:pPr>
              <w:pStyle w:val="DHHStabletext"/>
            </w:pPr>
            <w:r w:rsidRPr="00CA3CF5">
              <w:t>49.5%</w:t>
            </w:r>
          </w:p>
        </w:tc>
        <w:tc>
          <w:tcPr>
            <w:tcW w:w="1243" w:type="dxa"/>
            <w:hideMark/>
          </w:tcPr>
          <w:p w14:paraId="47B6D98F" w14:textId="21FB1E1D" w:rsidR="00F8599A" w:rsidRPr="00CA3CF5" w:rsidRDefault="00F8599A" w:rsidP="00CA3CF5">
            <w:pPr>
              <w:pStyle w:val="DHHStabletext"/>
            </w:pPr>
            <w:r w:rsidRPr="00CA3CF5">
              <w:t>49.5%</w:t>
            </w:r>
          </w:p>
        </w:tc>
        <w:tc>
          <w:tcPr>
            <w:tcW w:w="1197" w:type="dxa"/>
            <w:hideMark/>
          </w:tcPr>
          <w:p w14:paraId="4CC52960" w14:textId="727E9366" w:rsidR="00F8599A" w:rsidRPr="00CA3CF5" w:rsidRDefault="00F8599A" w:rsidP="00CA3CF5">
            <w:pPr>
              <w:pStyle w:val="DHHStabletext"/>
            </w:pPr>
            <w:r w:rsidRPr="00CA3CF5">
              <w:t>49.6%</w:t>
            </w:r>
          </w:p>
        </w:tc>
      </w:tr>
      <w:tr w:rsidR="00F8599A" w14:paraId="7B475B0E" w14:textId="77777777" w:rsidTr="00235E13">
        <w:trPr>
          <w:trHeight w:val="288"/>
        </w:trPr>
        <w:tc>
          <w:tcPr>
            <w:tcW w:w="3911" w:type="dxa"/>
            <w:vMerge/>
            <w:vAlign w:val="center"/>
            <w:hideMark/>
          </w:tcPr>
          <w:p w14:paraId="6DC4C71B"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31173D9D" w14:textId="77777777" w:rsidR="00F8599A" w:rsidRPr="009C2EFA" w:rsidRDefault="00F8599A" w:rsidP="00CA3CF5">
            <w:pPr>
              <w:pStyle w:val="DHHStabletext"/>
            </w:pPr>
            <w:r w:rsidRPr="009C2EFA">
              <w:t>Other/unknown</w:t>
            </w:r>
          </w:p>
        </w:tc>
        <w:tc>
          <w:tcPr>
            <w:tcW w:w="1243" w:type="dxa"/>
            <w:hideMark/>
          </w:tcPr>
          <w:p w14:paraId="63A36B9A" w14:textId="2A471ABB" w:rsidR="00F8599A" w:rsidRPr="00CA3CF5" w:rsidRDefault="00F8599A" w:rsidP="00CA3CF5">
            <w:pPr>
              <w:pStyle w:val="DHHStabletext"/>
            </w:pPr>
            <w:r w:rsidRPr="00CA3CF5">
              <w:t>0.1%</w:t>
            </w:r>
          </w:p>
        </w:tc>
        <w:tc>
          <w:tcPr>
            <w:tcW w:w="1243" w:type="dxa"/>
            <w:hideMark/>
          </w:tcPr>
          <w:p w14:paraId="0F63DC4C" w14:textId="1D430BB6" w:rsidR="00F8599A" w:rsidRPr="00CA3CF5" w:rsidRDefault="00F8599A" w:rsidP="00CA3CF5">
            <w:pPr>
              <w:pStyle w:val="DHHStabletext"/>
            </w:pPr>
            <w:r w:rsidRPr="00CA3CF5">
              <w:t>0.1%</w:t>
            </w:r>
          </w:p>
        </w:tc>
        <w:tc>
          <w:tcPr>
            <w:tcW w:w="1197" w:type="dxa"/>
            <w:hideMark/>
          </w:tcPr>
          <w:p w14:paraId="050711ED" w14:textId="18305090" w:rsidR="00F8599A" w:rsidRPr="00CA3CF5" w:rsidRDefault="00F8599A" w:rsidP="00CA3CF5">
            <w:pPr>
              <w:pStyle w:val="DHHStabletext"/>
            </w:pPr>
            <w:r w:rsidRPr="00CA3CF5">
              <w:t>0.1%</w:t>
            </w:r>
          </w:p>
        </w:tc>
      </w:tr>
      <w:tr w:rsidR="00F8599A" w14:paraId="16841E8F" w14:textId="77777777" w:rsidTr="00235E13">
        <w:trPr>
          <w:trHeight w:val="288"/>
        </w:trPr>
        <w:tc>
          <w:tcPr>
            <w:tcW w:w="3911" w:type="dxa"/>
            <w:vMerge w:val="restart"/>
            <w:hideMark/>
          </w:tcPr>
          <w:p w14:paraId="7B7D1D7F" w14:textId="77777777" w:rsidR="00F8599A" w:rsidRPr="009C2EFA" w:rsidRDefault="00F8599A" w:rsidP="00F8599A">
            <w:pPr>
              <w:pStyle w:val="DHHStabletext"/>
            </w:pPr>
            <w:r w:rsidRPr="009C2EFA">
              <w:t>Age group (%)</w:t>
            </w:r>
          </w:p>
        </w:tc>
        <w:tc>
          <w:tcPr>
            <w:tcW w:w="2324" w:type="dxa"/>
            <w:hideMark/>
          </w:tcPr>
          <w:p w14:paraId="09E18342" w14:textId="77777777" w:rsidR="00F8599A" w:rsidRPr="009C2EFA" w:rsidRDefault="00F8599A" w:rsidP="00CA3CF5">
            <w:pPr>
              <w:pStyle w:val="DHHStabletext"/>
            </w:pPr>
            <w:r w:rsidRPr="009C2EFA">
              <w:t>0–4</w:t>
            </w:r>
          </w:p>
        </w:tc>
        <w:tc>
          <w:tcPr>
            <w:tcW w:w="1243" w:type="dxa"/>
            <w:hideMark/>
          </w:tcPr>
          <w:p w14:paraId="2B7520AB" w14:textId="66EB2942" w:rsidR="00F8599A" w:rsidRPr="00CA3CF5" w:rsidRDefault="00F8599A" w:rsidP="00CA3CF5">
            <w:pPr>
              <w:pStyle w:val="DHHStabletext"/>
            </w:pPr>
            <w:r w:rsidRPr="00CA3CF5">
              <w:t>0.8%</w:t>
            </w:r>
          </w:p>
        </w:tc>
        <w:tc>
          <w:tcPr>
            <w:tcW w:w="1243" w:type="dxa"/>
            <w:hideMark/>
          </w:tcPr>
          <w:p w14:paraId="4773019C" w14:textId="59531055" w:rsidR="00F8599A" w:rsidRPr="00CA3CF5" w:rsidRDefault="00F8599A" w:rsidP="00CA3CF5">
            <w:pPr>
              <w:pStyle w:val="DHHStabletext"/>
            </w:pPr>
            <w:r w:rsidRPr="00CA3CF5">
              <w:t>0.9%</w:t>
            </w:r>
          </w:p>
        </w:tc>
        <w:tc>
          <w:tcPr>
            <w:tcW w:w="1197" w:type="dxa"/>
            <w:hideMark/>
          </w:tcPr>
          <w:p w14:paraId="22118E12" w14:textId="26FE58A7" w:rsidR="00F8599A" w:rsidRPr="00CA3CF5" w:rsidRDefault="00F8599A" w:rsidP="00CA3CF5">
            <w:pPr>
              <w:pStyle w:val="DHHStabletext"/>
            </w:pPr>
            <w:r w:rsidRPr="00CA3CF5">
              <w:t>0.9%</w:t>
            </w:r>
          </w:p>
        </w:tc>
      </w:tr>
      <w:tr w:rsidR="00F8599A" w14:paraId="5DEBEBEA" w14:textId="77777777" w:rsidTr="00235E13">
        <w:trPr>
          <w:trHeight w:val="288"/>
        </w:trPr>
        <w:tc>
          <w:tcPr>
            <w:tcW w:w="3911" w:type="dxa"/>
            <w:vMerge/>
            <w:vAlign w:val="center"/>
            <w:hideMark/>
          </w:tcPr>
          <w:p w14:paraId="65951B81"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244D0F9D" w14:textId="77777777" w:rsidR="00F8599A" w:rsidRPr="009C2EFA" w:rsidRDefault="00F8599A" w:rsidP="00CA3CF5">
            <w:pPr>
              <w:pStyle w:val="DHHStabletext"/>
            </w:pPr>
            <w:r w:rsidRPr="009C2EFA">
              <w:t>5–14</w:t>
            </w:r>
          </w:p>
        </w:tc>
        <w:tc>
          <w:tcPr>
            <w:tcW w:w="1243" w:type="dxa"/>
            <w:hideMark/>
          </w:tcPr>
          <w:p w14:paraId="3B5CB527" w14:textId="20F3A5C0" w:rsidR="00F8599A" w:rsidRPr="00CA3CF5" w:rsidRDefault="00F8599A" w:rsidP="00CA3CF5">
            <w:pPr>
              <w:pStyle w:val="DHHStabletext"/>
            </w:pPr>
            <w:r w:rsidRPr="00CA3CF5">
              <w:t>7.5%</w:t>
            </w:r>
          </w:p>
        </w:tc>
        <w:tc>
          <w:tcPr>
            <w:tcW w:w="1243" w:type="dxa"/>
            <w:hideMark/>
          </w:tcPr>
          <w:p w14:paraId="6E9E7F11" w14:textId="7DCC72A2" w:rsidR="00F8599A" w:rsidRPr="00CA3CF5" w:rsidRDefault="00F8599A" w:rsidP="00CA3CF5">
            <w:pPr>
              <w:pStyle w:val="DHHStabletext"/>
            </w:pPr>
            <w:r w:rsidRPr="00CA3CF5">
              <w:t>8.2%</w:t>
            </w:r>
          </w:p>
        </w:tc>
        <w:tc>
          <w:tcPr>
            <w:tcW w:w="1197" w:type="dxa"/>
            <w:hideMark/>
          </w:tcPr>
          <w:p w14:paraId="517DB094" w14:textId="43887B32" w:rsidR="00F8599A" w:rsidRPr="00CA3CF5" w:rsidRDefault="00F8599A" w:rsidP="00CA3CF5">
            <w:pPr>
              <w:pStyle w:val="DHHStabletext"/>
            </w:pPr>
            <w:r w:rsidRPr="00CA3CF5">
              <w:t>8.2%</w:t>
            </w:r>
          </w:p>
        </w:tc>
      </w:tr>
      <w:tr w:rsidR="00F8599A" w14:paraId="37EE0E70" w14:textId="77777777" w:rsidTr="00235E13">
        <w:trPr>
          <w:trHeight w:val="288"/>
        </w:trPr>
        <w:tc>
          <w:tcPr>
            <w:tcW w:w="3911" w:type="dxa"/>
            <w:vMerge/>
            <w:vAlign w:val="center"/>
            <w:hideMark/>
          </w:tcPr>
          <w:p w14:paraId="3EC65B28"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5AA3DDA1" w14:textId="77777777" w:rsidR="00F8599A" w:rsidRPr="009C2EFA" w:rsidRDefault="00F8599A" w:rsidP="00CA3CF5">
            <w:pPr>
              <w:pStyle w:val="DHHStabletext"/>
            </w:pPr>
            <w:r w:rsidRPr="009C2EFA">
              <w:t>15–24</w:t>
            </w:r>
          </w:p>
        </w:tc>
        <w:tc>
          <w:tcPr>
            <w:tcW w:w="1243" w:type="dxa"/>
            <w:hideMark/>
          </w:tcPr>
          <w:p w14:paraId="5B7A49FF" w14:textId="0441E57F" w:rsidR="00F8599A" w:rsidRPr="00CA3CF5" w:rsidRDefault="00F8599A" w:rsidP="00CA3CF5">
            <w:pPr>
              <w:pStyle w:val="DHHStabletext"/>
            </w:pPr>
            <w:r w:rsidRPr="00CA3CF5">
              <w:t>19.0%</w:t>
            </w:r>
          </w:p>
        </w:tc>
        <w:tc>
          <w:tcPr>
            <w:tcW w:w="1243" w:type="dxa"/>
            <w:hideMark/>
          </w:tcPr>
          <w:p w14:paraId="7D7593AD" w14:textId="046632C5" w:rsidR="00F8599A" w:rsidRPr="00CA3CF5" w:rsidRDefault="00F8599A" w:rsidP="00CA3CF5">
            <w:pPr>
              <w:pStyle w:val="DHHStabletext"/>
            </w:pPr>
            <w:r w:rsidRPr="00CA3CF5">
              <w:t>19.1%</w:t>
            </w:r>
          </w:p>
        </w:tc>
        <w:tc>
          <w:tcPr>
            <w:tcW w:w="1197" w:type="dxa"/>
            <w:hideMark/>
          </w:tcPr>
          <w:p w14:paraId="22AF3E19" w14:textId="75301593" w:rsidR="00F8599A" w:rsidRPr="00CA3CF5" w:rsidRDefault="00F8599A" w:rsidP="00CA3CF5">
            <w:pPr>
              <w:pStyle w:val="DHHStabletext"/>
            </w:pPr>
            <w:r w:rsidRPr="00CA3CF5">
              <w:t>19.3%</w:t>
            </w:r>
          </w:p>
        </w:tc>
      </w:tr>
      <w:tr w:rsidR="00F8599A" w14:paraId="75FAAB4F" w14:textId="77777777" w:rsidTr="00235E13">
        <w:trPr>
          <w:trHeight w:val="285"/>
        </w:trPr>
        <w:tc>
          <w:tcPr>
            <w:tcW w:w="3911" w:type="dxa"/>
            <w:vMerge/>
            <w:vAlign w:val="center"/>
            <w:hideMark/>
          </w:tcPr>
          <w:p w14:paraId="42ACB1DC"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76301039" w14:textId="77777777" w:rsidR="00F8599A" w:rsidRPr="009C2EFA" w:rsidRDefault="00F8599A" w:rsidP="00CA3CF5">
            <w:pPr>
              <w:pStyle w:val="DHHStabletext"/>
            </w:pPr>
            <w:r w:rsidRPr="009C2EFA">
              <w:t>25–34</w:t>
            </w:r>
          </w:p>
        </w:tc>
        <w:tc>
          <w:tcPr>
            <w:tcW w:w="1243" w:type="dxa"/>
            <w:hideMark/>
          </w:tcPr>
          <w:p w14:paraId="2CEB499A" w14:textId="58038A3A" w:rsidR="00F8599A" w:rsidRPr="00CA3CF5" w:rsidRDefault="00F8599A" w:rsidP="00CA3CF5">
            <w:pPr>
              <w:pStyle w:val="DHHStabletext"/>
            </w:pPr>
            <w:r w:rsidRPr="00CA3CF5">
              <w:t>17.8%</w:t>
            </w:r>
          </w:p>
        </w:tc>
        <w:tc>
          <w:tcPr>
            <w:tcW w:w="1243" w:type="dxa"/>
            <w:hideMark/>
          </w:tcPr>
          <w:p w14:paraId="59736C30" w14:textId="5230D7ED" w:rsidR="00F8599A" w:rsidRPr="00CA3CF5" w:rsidRDefault="00F8599A" w:rsidP="00CA3CF5">
            <w:pPr>
              <w:pStyle w:val="DHHStabletext"/>
            </w:pPr>
            <w:r w:rsidRPr="00CA3CF5">
              <w:t>17.9%</w:t>
            </w:r>
          </w:p>
        </w:tc>
        <w:tc>
          <w:tcPr>
            <w:tcW w:w="1197" w:type="dxa"/>
            <w:hideMark/>
          </w:tcPr>
          <w:p w14:paraId="3C0A6613" w14:textId="2D7894C3" w:rsidR="00F8599A" w:rsidRPr="00CA3CF5" w:rsidRDefault="00F8599A" w:rsidP="00CA3CF5">
            <w:pPr>
              <w:pStyle w:val="DHHStabletext"/>
            </w:pPr>
            <w:r w:rsidRPr="00CA3CF5">
              <w:t>17.6%</w:t>
            </w:r>
          </w:p>
        </w:tc>
      </w:tr>
      <w:tr w:rsidR="00F8599A" w14:paraId="77718E9F" w14:textId="77777777" w:rsidTr="00235E13">
        <w:trPr>
          <w:trHeight w:val="285"/>
        </w:trPr>
        <w:tc>
          <w:tcPr>
            <w:tcW w:w="3911" w:type="dxa"/>
            <w:vMerge/>
            <w:vAlign w:val="center"/>
            <w:hideMark/>
          </w:tcPr>
          <w:p w14:paraId="2C8AEFAF"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6919DB52" w14:textId="77777777" w:rsidR="00F8599A" w:rsidRPr="009C2EFA" w:rsidRDefault="00F8599A" w:rsidP="00CA3CF5">
            <w:pPr>
              <w:pStyle w:val="DHHStabletext"/>
            </w:pPr>
            <w:r w:rsidRPr="009C2EFA">
              <w:t>35–44</w:t>
            </w:r>
          </w:p>
        </w:tc>
        <w:tc>
          <w:tcPr>
            <w:tcW w:w="1243" w:type="dxa"/>
            <w:hideMark/>
          </w:tcPr>
          <w:p w14:paraId="1FFFD552" w14:textId="5959ED6E" w:rsidR="00F8599A" w:rsidRPr="00CA3CF5" w:rsidRDefault="00F8599A" w:rsidP="00CA3CF5">
            <w:pPr>
              <w:pStyle w:val="DHHStabletext"/>
            </w:pPr>
            <w:r w:rsidRPr="00CA3CF5">
              <w:t>18.6%</w:t>
            </w:r>
          </w:p>
        </w:tc>
        <w:tc>
          <w:tcPr>
            <w:tcW w:w="1243" w:type="dxa"/>
            <w:hideMark/>
          </w:tcPr>
          <w:p w14:paraId="34A78049" w14:textId="2FEB4A4A" w:rsidR="00F8599A" w:rsidRPr="00CA3CF5" w:rsidRDefault="00F8599A" w:rsidP="00CA3CF5">
            <w:pPr>
              <w:pStyle w:val="DHHStabletext"/>
            </w:pPr>
            <w:r w:rsidRPr="00CA3CF5">
              <w:t>18.2%</w:t>
            </w:r>
          </w:p>
        </w:tc>
        <w:tc>
          <w:tcPr>
            <w:tcW w:w="1197" w:type="dxa"/>
            <w:hideMark/>
          </w:tcPr>
          <w:p w14:paraId="18F12DAA" w14:textId="0AE57FE0" w:rsidR="00F8599A" w:rsidRPr="00CA3CF5" w:rsidRDefault="00F8599A" w:rsidP="00CA3CF5">
            <w:pPr>
              <w:pStyle w:val="DHHStabletext"/>
            </w:pPr>
            <w:r w:rsidRPr="00CA3CF5">
              <w:t>18.1%</w:t>
            </w:r>
          </w:p>
        </w:tc>
      </w:tr>
      <w:tr w:rsidR="00F8599A" w14:paraId="630877EC" w14:textId="77777777" w:rsidTr="00235E13">
        <w:trPr>
          <w:trHeight w:val="288"/>
        </w:trPr>
        <w:tc>
          <w:tcPr>
            <w:tcW w:w="3911" w:type="dxa"/>
            <w:vMerge/>
            <w:vAlign w:val="center"/>
            <w:hideMark/>
          </w:tcPr>
          <w:p w14:paraId="5A796EFC"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7FA391E2" w14:textId="77777777" w:rsidR="00F8599A" w:rsidRPr="009C2EFA" w:rsidRDefault="00F8599A" w:rsidP="00CA3CF5">
            <w:pPr>
              <w:pStyle w:val="DHHStabletext"/>
            </w:pPr>
            <w:r w:rsidRPr="009C2EFA">
              <w:t>45–54</w:t>
            </w:r>
          </w:p>
        </w:tc>
        <w:tc>
          <w:tcPr>
            <w:tcW w:w="1243" w:type="dxa"/>
            <w:hideMark/>
          </w:tcPr>
          <w:p w14:paraId="41209139" w14:textId="17BA1FDA" w:rsidR="00F8599A" w:rsidRPr="00CA3CF5" w:rsidRDefault="00F8599A" w:rsidP="00CA3CF5">
            <w:pPr>
              <w:pStyle w:val="DHHStabletext"/>
            </w:pPr>
            <w:r w:rsidRPr="00CA3CF5">
              <w:t>14.5%</w:t>
            </w:r>
          </w:p>
        </w:tc>
        <w:tc>
          <w:tcPr>
            <w:tcW w:w="1243" w:type="dxa"/>
            <w:hideMark/>
          </w:tcPr>
          <w:p w14:paraId="197016F2" w14:textId="637DFF6D" w:rsidR="00F8599A" w:rsidRPr="00CA3CF5" w:rsidRDefault="00F8599A" w:rsidP="00CA3CF5">
            <w:pPr>
              <w:pStyle w:val="DHHStabletext"/>
            </w:pPr>
            <w:r w:rsidRPr="00CA3CF5">
              <w:t>14.6%</w:t>
            </w:r>
          </w:p>
        </w:tc>
        <w:tc>
          <w:tcPr>
            <w:tcW w:w="1197" w:type="dxa"/>
            <w:hideMark/>
          </w:tcPr>
          <w:p w14:paraId="7C2CF037" w14:textId="334B6606" w:rsidR="00F8599A" w:rsidRPr="00CA3CF5" w:rsidRDefault="00F8599A" w:rsidP="00CA3CF5">
            <w:pPr>
              <w:pStyle w:val="DHHStabletext"/>
            </w:pPr>
            <w:r w:rsidRPr="00CA3CF5">
              <w:t>14.8%</w:t>
            </w:r>
          </w:p>
        </w:tc>
      </w:tr>
      <w:tr w:rsidR="00F8599A" w14:paraId="1AD01B96" w14:textId="77777777" w:rsidTr="00235E13">
        <w:trPr>
          <w:trHeight w:val="288"/>
        </w:trPr>
        <w:tc>
          <w:tcPr>
            <w:tcW w:w="3911" w:type="dxa"/>
            <w:vMerge/>
            <w:vAlign w:val="center"/>
            <w:hideMark/>
          </w:tcPr>
          <w:p w14:paraId="56ED8202"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70A1686E" w14:textId="77777777" w:rsidR="00F8599A" w:rsidRPr="009C2EFA" w:rsidRDefault="00F8599A" w:rsidP="00CA3CF5">
            <w:pPr>
              <w:pStyle w:val="DHHStabletext"/>
            </w:pPr>
            <w:r w:rsidRPr="009C2EFA">
              <w:t>55–64</w:t>
            </w:r>
          </w:p>
        </w:tc>
        <w:tc>
          <w:tcPr>
            <w:tcW w:w="1243" w:type="dxa"/>
            <w:hideMark/>
          </w:tcPr>
          <w:p w14:paraId="7B303EC4" w14:textId="0543D986" w:rsidR="00F8599A" w:rsidRPr="00CA3CF5" w:rsidRDefault="00F8599A" w:rsidP="00CA3CF5">
            <w:pPr>
              <w:pStyle w:val="DHHStabletext"/>
            </w:pPr>
            <w:r w:rsidRPr="00CA3CF5">
              <w:t>8.7%</w:t>
            </w:r>
          </w:p>
        </w:tc>
        <w:tc>
          <w:tcPr>
            <w:tcW w:w="1243" w:type="dxa"/>
            <w:hideMark/>
          </w:tcPr>
          <w:p w14:paraId="04E4DA52" w14:textId="7664BF56" w:rsidR="00F8599A" w:rsidRPr="00CA3CF5" w:rsidRDefault="00F8599A" w:rsidP="00CA3CF5">
            <w:pPr>
              <w:pStyle w:val="DHHStabletext"/>
            </w:pPr>
            <w:r w:rsidRPr="00CA3CF5">
              <w:t>8.8%</w:t>
            </w:r>
          </w:p>
        </w:tc>
        <w:tc>
          <w:tcPr>
            <w:tcW w:w="1197" w:type="dxa"/>
            <w:hideMark/>
          </w:tcPr>
          <w:p w14:paraId="5A982BAB" w14:textId="1F7A3603" w:rsidR="00F8599A" w:rsidRPr="00CA3CF5" w:rsidRDefault="00F8599A" w:rsidP="00CA3CF5">
            <w:pPr>
              <w:pStyle w:val="DHHStabletext"/>
            </w:pPr>
            <w:r w:rsidRPr="00CA3CF5">
              <w:t>8.7%</w:t>
            </w:r>
          </w:p>
        </w:tc>
      </w:tr>
      <w:tr w:rsidR="00F8599A" w14:paraId="32175D6B" w14:textId="77777777" w:rsidTr="00235E13">
        <w:trPr>
          <w:trHeight w:val="288"/>
        </w:trPr>
        <w:tc>
          <w:tcPr>
            <w:tcW w:w="3911" w:type="dxa"/>
            <w:vMerge/>
            <w:vAlign w:val="center"/>
            <w:hideMark/>
          </w:tcPr>
          <w:p w14:paraId="3CBF0283"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06D03E33" w14:textId="77777777" w:rsidR="00F8599A" w:rsidRPr="009C2EFA" w:rsidRDefault="00F8599A" w:rsidP="00CA3CF5">
            <w:pPr>
              <w:pStyle w:val="DHHStabletext"/>
            </w:pPr>
            <w:r w:rsidRPr="009C2EFA">
              <w:t>65–74</w:t>
            </w:r>
          </w:p>
        </w:tc>
        <w:tc>
          <w:tcPr>
            <w:tcW w:w="1243" w:type="dxa"/>
            <w:hideMark/>
          </w:tcPr>
          <w:p w14:paraId="7DEEDF80" w14:textId="1FFD8238" w:rsidR="00F8599A" w:rsidRPr="00CA3CF5" w:rsidRDefault="00F8599A" w:rsidP="00CA3CF5">
            <w:pPr>
              <w:pStyle w:val="DHHStabletext"/>
            </w:pPr>
            <w:r w:rsidRPr="00CA3CF5">
              <w:t>6.1%</w:t>
            </w:r>
          </w:p>
        </w:tc>
        <w:tc>
          <w:tcPr>
            <w:tcW w:w="1243" w:type="dxa"/>
            <w:hideMark/>
          </w:tcPr>
          <w:p w14:paraId="50011B73" w14:textId="580859AD" w:rsidR="00F8599A" w:rsidRPr="00CA3CF5" w:rsidRDefault="00F8599A" w:rsidP="00CA3CF5">
            <w:pPr>
              <w:pStyle w:val="DHHStabletext"/>
            </w:pPr>
            <w:r w:rsidRPr="00CA3CF5">
              <w:t>6.1%</w:t>
            </w:r>
          </w:p>
        </w:tc>
        <w:tc>
          <w:tcPr>
            <w:tcW w:w="1197" w:type="dxa"/>
            <w:hideMark/>
          </w:tcPr>
          <w:p w14:paraId="5586DE9F" w14:textId="6A4B5071" w:rsidR="00F8599A" w:rsidRPr="00CA3CF5" w:rsidRDefault="00F8599A" w:rsidP="00CA3CF5">
            <w:pPr>
              <w:pStyle w:val="DHHStabletext"/>
            </w:pPr>
            <w:r w:rsidRPr="00CA3CF5">
              <w:t>6.2%</w:t>
            </w:r>
          </w:p>
        </w:tc>
      </w:tr>
      <w:tr w:rsidR="00F8599A" w14:paraId="26A7A698" w14:textId="77777777" w:rsidTr="00235E13">
        <w:trPr>
          <w:trHeight w:val="288"/>
        </w:trPr>
        <w:tc>
          <w:tcPr>
            <w:tcW w:w="3911" w:type="dxa"/>
            <w:vMerge/>
            <w:vAlign w:val="center"/>
            <w:hideMark/>
          </w:tcPr>
          <w:p w14:paraId="45679BAD"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32CC1277" w14:textId="77777777" w:rsidR="00F8599A" w:rsidRPr="009C2EFA" w:rsidRDefault="00F8599A" w:rsidP="00CA3CF5">
            <w:pPr>
              <w:pStyle w:val="DHHStabletext"/>
            </w:pPr>
            <w:r w:rsidRPr="009C2EFA">
              <w:t>75–84</w:t>
            </w:r>
          </w:p>
        </w:tc>
        <w:tc>
          <w:tcPr>
            <w:tcW w:w="1243" w:type="dxa"/>
            <w:hideMark/>
          </w:tcPr>
          <w:p w14:paraId="59ED382B" w14:textId="231B6F63" w:rsidR="00F8599A" w:rsidRPr="00CA3CF5" w:rsidRDefault="00F8599A" w:rsidP="00CA3CF5">
            <w:pPr>
              <w:pStyle w:val="DHHStabletext"/>
            </w:pPr>
            <w:r w:rsidRPr="00CA3CF5">
              <w:t>4.6%</w:t>
            </w:r>
          </w:p>
        </w:tc>
        <w:tc>
          <w:tcPr>
            <w:tcW w:w="1243" w:type="dxa"/>
            <w:hideMark/>
          </w:tcPr>
          <w:p w14:paraId="7C90BAC2" w14:textId="2DDA8240" w:rsidR="00F8599A" w:rsidRPr="00CA3CF5" w:rsidRDefault="00F8599A" w:rsidP="00CA3CF5">
            <w:pPr>
              <w:pStyle w:val="DHHStabletext"/>
            </w:pPr>
            <w:r w:rsidRPr="00CA3CF5">
              <w:t>4.3%</w:t>
            </w:r>
          </w:p>
        </w:tc>
        <w:tc>
          <w:tcPr>
            <w:tcW w:w="1197" w:type="dxa"/>
            <w:hideMark/>
          </w:tcPr>
          <w:p w14:paraId="5759AF51" w14:textId="1371121B" w:rsidR="00F8599A" w:rsidRPr="00CA3CF5" w:rsidRDefault="00F8599A" w:rsidP="00CA3CF5">
            <w:pPr>
              <w:pStyle w:val="DHHStabletext"/>
            </w:pPr>
            <w:r w:rsidRPr="00CA3CF5">
              <w:t>4.2%</w:t>
            </w:r>
          </w:p>
        </w:tc>
      </w:tr>
      <w:tr w:rsidR="00F8599A" w14:paraId="00E5ECCA" w14:textId="77777777" w:rsidTr="00235E13">
        <w:trPr>
          <w:trHeight w:val="288"/>
        </w:trPr>
        <w:tc>
          <w:tcPr>
            <w:tcW w:w="3911" w:type="dxa"/>
            <w:vMerge/>
            <w:vAlign w:val="center"/>
            <w:hideMark/>
          </w:tcPr>
          <w:p w14:paraId="08AEEBD7"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399A49AF" w14:textId="77777777" w:rsidR="00F8599A" w:rsidRPr="009C2EFA" w:rsidRDefault="00F8599A" w:rsidP="00CA3CF5">
            <w:pPr>
              <w:pStyle w:val="DHHStabletext"/>
            </w:pPr>
            <w:r w:rsidRPr="009C2EFA">
              <w:t>85–94</w:t>
            </w:r>
          </w:p>
        </w:tc>
        <w:tc>
          <w:tcPr>
            <w:tcW w:w="1243" w:type="dxa"/>
            <w:hideMark/>
          </w:tcPr>
          <w:p w14:paraId="6F09895A" w14:textId="191C813F" w:rsidR="00F8599A" w:rsidRPr="00CA3CF5" w:rsidRDefault="00F8599A" w:rsidP="00CA3CF5">
            <w:pPr>
              <w:pStyle w:val="DHHStabletext"/>
            </w:pPr>
            <w:r w:rsidRPr="00CA3CF5">
              <w:t>2.3%</w:t>
            </w:r>
          </w:p>
        </w:tc>
        <w:tc>
          <w:tcPr>
            <w:tcW w:w="1243" w:type="dxa"/>
            <w:hideMark/>
          </w:tcPr>
          <w:p w14:paraId="5BE7262C" w14:textId="3D611B5B" w:rsidR="00F8599A" w:rsidRPr="00CA3CF5" w:rsidRDefault="00F8599A" w:rsidP="00CA3CF5">
            <w:pPr>
              <w:pStyle w:val="DHHStabletext"/>
            </w:pPr>
            <w:r w:rsidRPr="00CA3CF5">
              <w:t>1.9%</w:t>
            </w:r>
          </w:p>
        </w:tc>
        <w:tc>
          <w:tcPr>
            <w:tcW w:w="1197" w:type="dxa"/>
            <w:hideMark/>
          </w:tcPr>
          <w:p w14:paraId="4DB05627" w14:textId="66052F06" w:rsidR="00F8599A" w:rsidRPr="00CA3CF5" w:rsidRDefault="00F8599A" w:rsidP="00CA3CF5">
            <w:pPr>
              <w:pStyle w:val="DHHStabletext"/>
            </w:pPr>
            <w:r w:rsidRPr="00CA3CF5">
              <w:t>1.9%</w:t>
            </w:r>
          </w:p>
        </w:tc>
      </w:tr>
      <w:tr w:rsidR="00F8599A" w14:paraId="233C1DF2" w14:textId="77777777" w:rsidTr="00235E13">
        <w:trPr>
          <w:trHeight w:val="288"/>
        </w:trPr>
        <w:tc>
          <w:tcPr>
            <w:tcW w:w="3911" w:type="dxa"/>
            <w:vMerge/>
            <w:vAlign w:val="center"/>
            <w:hideMark/>
          </w:tcPr>
          <w:p w14:paraId="0FB9B3F6"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6239AF25" w14:textId="77777777" w:rsidR="00F8599A" w:rsidRPr="009C2EFA" w:rsidRDefault="00F8599A" w:rsidP="00CA3CF5">
            <w:pPr>
              <w:pStyle w:val="DHHStabletext"/>
            </w:pPr>
            <w:r w:rsidRPr="009C2EFA">
              <w:t>95+</w:t>
            </w:r>
          </w:p>
        </w:tc>
        <w:tc>
          <w:tcPr>
            <w:tcW w:w="1243" w:type="dxa"/>
            <w:hideMark/>
          </w:tcPr>
          <w:p w14:paraId="5A010E6C" w14:textId="798D6A42" w:rsidR="00F8599A" w:rsidRPr="00CA3CF5" w:rsidRDefault="00F8599A" w:rsidP="00CA3CF5">
            <w:pPr>
              <w:pStyle w:val="DHHStabletext"/>
            </w:pPr>
            <w:r w:rsidRPr="00CA3CF5">
              <w:t>0.2%</w:t>
            </w:r>
          </w:p>
        </w:tc>
        <w:tc>
          <w:tcPr>
            <w:tcW w:w="1243" w:type="dxa"/>
            <w:hideMark/>
          </w:tcPr>
          <w:p w14:paraId="75931DA6" w14:textId="4683B914" w:rsidR="00F8599A" w:rsidRPr="00CA3CF5" w:rsidRDefault="00F8599A" w:rsidP="00CA3CF5">
            <w:pPr>
              <w:pStyle w:val="DHHStabletext"/>
            </w:pPr>
            <w:r w:rsidRPr="00CA3CF5">
              <w:t>0.2%</w:t>
            </w:r>
          </w:p>
        </w:tc>
        <w:tc>
          <w:tcPr>
            <w:tcW w:w="1197" w:type="dxa"/>
            <w:hideMark/>
          </w:tcPr>
          <w:p w14:paraId="27E55008" w14:textId="6C69263B" w:rsidR="00F8599A" w:rsidRPr="00CA3CF5" w:rsidRDefault="00F8599A" w:rsidP="00CA3CF5">
            <w:pPr>
              <w:pStyle w:val="DHHStabletext"/>
            </w:pPr>
            <w:r w:rsidRPr="00CA3CF5">
              <w:t>0.2%</w:t>
            </w:r>
          </w:p>
        </w:tc>
      </w:tr>
      <w:tr w:rsidR="00F8599A" w14:paraId="6D34D238" w14:textId="77777777" w:rsidTr="00235E13">
        <w:trPr>
          <w:trHeight w:val="724"/>
        </w:trPr>
        <w:tc>
          <w:tcPr>
            <w:tcW w:w="3911" w:type="dxa"/>
            <w:hideMark/>
          </w:tcPr>
          <w:p w14:paraId="54559AFD" w14:textId="1925C217" w:rsidR="00F8599A" w:rsidRPr="009C2EFA" w:rsidRDefault="00F8599A" w:rsidP="00F8599A">
            <w:pPr>
              <w:pStyle w:val="DHHStabletext"/>
            </w:pPr>
            <w:r w:rsidRPr="009C2EFA">
              <w:t>Clients of culturally diverse backgrounds (%)</w:t>
            </w:r>
          </w:p>
        </w:tc>
        <w:tc>
          <w:tcPr>
            <w:tcW w:w="2324" w:type="dxa"/>
          </w:tcPr>
          <w:p w14:paraId="57010693" w14:textId="5893B629" w:rsidR="00F8599A" w:rsidRPr="00CA3CF5" w:rsidRDefault="00E66A2D" w:rsidP="00CA3CF5">
            <w:pPr>
              <w:pStyle w:val="DHHStabletext"/>
            </w:pPr>
            <w:r>
              <w:t>CALD</w:t>
            </w:r>
            <w:r w:rsidR="00F8599A" w:rsidRPr="00CA3CF5">
              <w:t>CALD</w:t>
            </w:r>
          </w:p>
        </w:tc>
        <w:tc>
          <w:tcPr>
            <w:tcW w:w="1243" w:type="dxa"/>
          </w:tcPr>
          <w:p w14:paraId="30550455" w14:textId="5232B33C" w:rsidR="00F8599A" w:rsidRPr="00CA3CF5" w:rsidRDefault="00F8599A" w:rsidP="00CA3CF5">
            <w:pPr>
              <w:pStyle w:val="DHHStabletext"/>
            </w:pPr>
            <w:r w:rsidRPr="00CA3CF5">
              <w:t>13.9%</w:t>
            </w:r>
          </w:p>
        </w:tc>
        <w:tc>
          <w:tcPr>
            <w:tcW w:w="1243" w:type="dxa"/>
          </w:tcPr>
          <w:p w14:paraId="723848D7" w14:textId="20CAB8C6" w:rsidR="00F8599A" w:rsidRPr="00CA3CF5" w:rsidRDefault="00F8599A" w:rsidP="00CA3CF5">
            <w:pPr>
              <w:pStyle w:val="DHHStabletext"/>
            </w:pPr>
            <w:r w:rsidRPr="00CA3CF5">
              <w:t>13.5%</w:t>
            </w:r>
          </w:p>
        </w:tc>
        <w:tc>
          <w:tcPr>
            <w:tcW w:w="1197" w:type="dxa"/>
          </w:tcPr>
          <w:p w14:paraId="23BB8D9F" w14:textId="605F4B05" w:rsidR="00F8599A" w:rsidRPr="00CA3CF5" w:rsidRDefault="00F8599A" w:rsidP="00CA3CF5">
            <w:pPr>
              <w:pStyle w:val="DHHStabletext"/>
            </w:pPr>
            <w:r w:rsidRPr="00CA3CF5">
              <w:t>13.7%</w:t>
            </w:r>
          </w:p>
        </w:tc>
      </w:tr>
      <w:tr w:rsidR="00F8599A" w14:paraId="69D547EC" w14:textId="77777777" w:rsidTr="00235E13">
        <w:trPr>
          <w:trHeight w:val="670"/>
        </w:trPr>
        <w:tc>
          <w:tcPr>
            <w:tcW w:w="3911" w:type="dxa"/>
            <w:hideMark/>
          </w:tcPr>
          <w:p w14:paraId="1E7196CC" w14:textId="77777777" w:rsidR="00F8599A" w:rsidRPr="009C2EFA" w:rsidRDefault="00F8599A" w:rsidP="00F8599A">
            <w:pPr>
              <w:pStyle w:val="DHHStabletext"/>
            </w:pPr>
            <w:r w:rsidRPr="009C2EFA">
              <w:t>Aboriginal or Torres Strait Islander status (%)</w:t>
            </w:r>
          </w:p>
        </w:tc>
        <w:tc>
          <w:tcPr>
            <w:tcW w:w="2324" w:type="dxa"/>
          </w:tcPr>
          <w:p w14:paraId="143C9533" w14:textId="6F65951D" w:rsidR="00F8599A" w:rsidRPr="00CA3CF5" w:rsidRDefault="00F8599A" w:rsidP="00CA3CF5">
            <w:pPr>
              <w:pStyle w:val="DHHStabletext"/>
            </w:pPr>
            <w:r w:rsidRPr="00CA3CF5">
              <w:t>Indigenous</w:t>
            </w:r>
          </w:p>
        </w:tc>
        <w:tc>
          <w:tcPr>
            <w:tcW w:w="1243" w:type="dxa"/>
          </w:tcPr>
          <w:p w14:paraId="414C136E" w14:textId="1FE24C1B" w:rsidR="00F8599A" w:rsidRPr="00CA3CF5" w:rsidRDefault="00F8599A" w:rsidP="00CA3CF5">
            <w:pPr>
              <w:pStyle w:val="DHHStabletext"/>
            </w:pPr>
            <w:r w:rsidRPr="00CA3CF5">
              <w:t>2.5%</w:t>
            </w:r>
          </w:p>
        </w:tc>
        <w:tc>
          <w:tcPr>
            <w:tcW w:w="1243" w:type="dxa"/>
          </w:tcPr>
          <w:p w14:paraId="699568C4" w14:textId="3CEBDEB3" w:rsidR="00F8599A" w:rsidRPr="00CA3CF5" w:rsidRDefault="00F8599A" w:rsidP="00CA3CF5">
            <w:pPr>
              <w:pStyle w:val="DHHStabletext"/>
            </w:pPr>
            <w:r w:rsidRPr="00CA3CF5">
              <w:t>2.6%</w:t>
            </w:r>
          </w:p>
        </w:tc>
        <w:tc>
          <w:tcPr>
            <w:tcW w:w="1197" w:type="dxa"/>
          </w:tcPr>
          <w:p w14:paraId="0C927669" w14:textId="7411D905" w:rsidR="00F8599A" w:rsidRPr="00CA3CF5" w:rsidRDefault="00F8599A" w:rsidP="00CA3CF5">
            <w:pPr>
              <w:pStyle w:val="DHHStabletext"/>
            </w:pPr>
            <w:r w:rsidRPr="00CA3CF5">
              <w:t>2.6%</w:t>
            </w:r>
          </w:p>
        </w:tc>
      </w:tr>
      <w:tr w:rsidR="00F8599A" w14:paraId="4E2DA0E8" w14:textId="77777777" w:rsidTr="00235E13">
        <w:trPr>
          <w:trHeight w:val="285"/>
        </w:trPr>
        <w:tc>
          <w:tcPr>
            <w:tcW w:w="3911" w:type="dxa"/>
            <w:vMerge w:val="restart"/>
            <w:hideMark/>
          </w:tcPr>
          <w:p w14:paraId="36352843" w14:textId="77777777" w:rsidR="00F8599A" w:rsidRPr="009C2EFA" w:rsidRDefault="00F8599A" w:rsidP="00F8599A">
            <w:pPr>
              <w:pStyle w:val="DHHStabletext"/>
            </w:pPr>
            <w:r w:rsidRPr="009C2EFA">
              <w:t>Country of birth (top 10 non-English speaking) (%)</w:t>
            </w:r>
          </w:p>
        </w:tc>
        <w:tc>
          <w:tcPr>
            <w:tcW w:w="2324" w:type="dxa"/>
            <w:hideMark/>
          </w:tcPr>
          <w:p w14:paraId="30567206" w14:textId="2CED735C" w:rsidR="00F8599A" w:rsidRPr="00CA3CF5" w:rsidRDefault="00F8599A" w:rsidP="00CA3CF5">
            <w:pPr>
              <w:pStyle w:val="DHHStabletext"/>
            </w:pPr>
            <w:r w:rsidRPr="00CA3CF5">
              <w:t>Italy</w:t>
            </w:r>
          </w:p>
        </w:tc>
        <w:tc>
          <w:tcPr>
            <w:tcW w:w="1243" w:type="dxa"/>
            <w:hideMark/>
          </w:tcPr>
          <w:p w14:paraId="7F61284B" w14:textId="469A7D0D" w:rsidR="00F8599A" w:rsidRPr="00CA3CF5" w:rsidRDefault="00F8599A" w:rsidP="00CA3CF5">
            <w:pPr>
              <w:pStyle w:val="DHHStabletext"/>
            </w:pPr>
            <w:r w:rsidRPr="00CA3CF5">
              <w:t>1.1%</w:t>
            </w:r>
          </w:p>
        </w:tc>
        <w:tc>
          <w:tcPr>
            <w:tcW w:w="1243" w:type="dxa"/>
            <w:hideMark/>
          </w:tcPr>
          <w:p w14:paraId="4D53B676" w14:textId="610C763E" w:rsidR="00F8599A" w:rsidRPr="00CA3CF5" w:rsidRDefault="00F8599A" w:rsidP="00CA3CF5">
            <w:pPr>
              <w:pStyle w:val="DHHStabletext"/>
            </w:pPr>
            <w:r w:rsidRPr="00CA3CF5">
              <w:t>1.0%</w:t>
            </w:r>
          </w:p>
        </w:tc>
        <w:tc>
          <w:tcPr>
            <w:tcW w:w="1197" w:type="dxa"/>
            <w:hideMark/>
          </w:tcPr>
          <w:p w14:paraId="1F8BB864" w14:textId="2F35CF7D" w:rsidR="00F8599A" w:rsidRPr="00CA3CF5" w:rsidRDefault="00F8599A" w:rsidP="00CA3CF5">
            <w:pPr>
              <w:pStyle w:val="DHHStabletext"/>
            </w:pPr>
            <w:r w:rsidRPr="00CA3CF5">
              <w:t>1.0%</w:t>
            </w:r>
          </w:p>
        </w:tc>
      </w:tr>
      <w:tr w:rsidR="00F8599A" w14:paraId="01108900" w14:textId="77777777" w:rsidTr="00235E13">
        <w:trPr>
          <w:trHeight w:val="288"/>
        </w:trPr>
        <w:tc>
          <w:tcPr>
            <w:tcW w:w="3911" w:type="dxa"/>
            <w:vMerge/>
            <w:vAlign w:val="center"/>
            <w:hideMark/>
          </w:tcPr>
          <w:p w14:paraId="4782B02F"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7BADD4FC" w14:textId="5EAC745B" w:rsidR="00F8599A" w:rsidRPr="00CA3CF5" w:rsidRDefault="00F8599A" w:rsidP="00CA3CF5">
            <w:pPr>
              <w:pStyle w:val="DHHStabletext"/>
            </w:pPr>
            <w:r w:rsidRPr="00CA3CF5">
              <w:t>Vietnam</w:t>
            </w:r>
          </w:p>
        </w:tc>
        <w:tc>
          <w:tcPr>
            <w:tcW w:w="1243" w:type="dxa"/>
            <w:hideMark/>
          </w:tcPr>
          <w:p w14:paraId="56D0C68D" w14:textId="17AE4D4C" w:rsidR="00F8599A" w:rsidRPr="00CA3CF5" w:rsidRDefault="00F8599A" w:rsidP="00CA3CF5">
            <w:pPr>
              <w:pStyle w:val="DHHStabletext"/>
            </w:pPr>
            <w:r w:rsidRPr="00CA3CF5">
              <w:t>0.9%</w:t>
            </w:r>
          </w:p>
        </w:tc>
        <w:tc>
          <w:tcPr>
            <w:tcW w:w="1243" w:type="dxa"/>
            <w:hideMark/>
          </w:tcPr>
          <w:p w14:paraId="225DE491" w14:textId="3EB1BBE4" w:rsidR="00F8599A" w:rsidRPr="00CA3CF5" w:rsidRDefault="00F8599A" w:rsidP="00CA3CF5">
            <w:pPr>
              <w:pStyle w:val="DHHStabletext"/>
            </w:pPr>
            <w:r w:rsidRPr="00CA3CF5">
              <w:t>0.8%</w:t>
            </w:r>
          </w:p>
        </w:tc>
        <w:tc>
          <w:tcPr>
            <w:tcW w:w="1197" w:type="dxa"/>
            <w:hideMark/>
          </w:tcPr>
          <w:p w14:paraId="0716643F" w14:textId="6A4E45B9" w:rsidR="00F8599A" w:rsidRPr="00CA3CF5" w:rsidRDefault="00F8599A" w:rsidP="00CA3CF5">
            <w:pPr>
              <w:pStyle w:val="DHHStabletext"/>
            </w:pPr>
            <w:r w:rsidRPr="00CA3CF5">
              <w:t>0.9%</w:t>
            </w:r>
          </w:p>
        </w:tc>
      </w:tr>
      <w:tr w:rsidR="00F8599A" w14:paraId="07BE8B0D" w14:textId="77777777" w:rsidTr="00235E13">
        <w:trPr>
          <w:trHeight w:val="288"/>
        </w:trPr>
        <w:tc>
          <w:tcPr>
            <w:tcW w:w="3911" w:type="dxa"/>
            <w:vMerge/>
            <w:vAlign w:val="center"/>
            <w:hideMark/>
          </w:tcPr>
          <w:p w14:paraId="72647CBE"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14128AA0" w14:textId="3E3641AA" w:rsidR="00F8599A" w:rsidRPr="00CA3CF5" w:rsidRDefault="00F8599A" w:rsidP="00CA3CF5">
            <w:pPr>
              <w:pStyle w:val="DHHStabletext"/>
            </w:pPr>
            <w:r w:rsidRPr="00CA3CF5">
              <w:t>Greece</w:t>
            </w:r>
          </w:p>
        </w:tc>
        <w:tc>
          <w:tcPr>
            <w:tcW w:w="1243" w:type="dxa"/>
            <w:hideMark/>
          </w:tcPr>
          <w:p w14:paraId="265CD60C" w14:textId="0CE3FBAC" w:rsidR="00F8599A" w:rsidRPr="00CA3CF5" w:rsidRDefault="00F8599A" w:rsidP="00CA3CF5">
            <w:pPr>
              <w:pStyle w:val="DHHStabletext"/>
            </w:pPr>
            <w:r w:rsidRPr="00CA3CF5">
              <w:t>0.8%</w:t>
            </w:r>
          </w:p>
        </w:tc>
        <w:tc>
          <w:tcPr>
            <w:tcW w:w="1243" w:type="dxa"/>
            <w:hideMark/>
          </w:tcPr>
          <w:p w14:paraId="528C4D7F" w14:textId="642B631F" w:rsidR="00F8599A" w:rsidRPr="00CA3CF5" w:rsidRDefault="00F8599A" w:rsidP="00CA3CF5">
            <w:pPr>
              <w:pStyle w:val="DHHStabletext"/>
            </w:pPr>
            <w:r w:rsidRPr="00CA3CF5">
              <w:t>0.8%</w:t>
            </w:r>
          </w:p>
        </w:tc>
        <w:tc>
          <w:tcPr>
            <w:tcW w:w="1197" w:type="dxa"/>
            <w:hideMark/>
          </w:tcPr>
          <w:p w14:paraId="6B85D162" w14:textId="16FCF7A2" w:rsidR="00F8599A" w:rsidRPr="00CA3CF5" w:rsidRDefault="00F8599A" w:rsidP="00CA3CF5">
            <w:pPr>
              <w:pStyle w:val="DHHStabletext"/>
            </w:pPr>
            <w:r w:rsidRPr="00CA3CF5">
              <w:t>0.8%</w:t>
            </w:r>
          </w:p>
        </w:tc>
      </w:tr>
      <w:tr w:rsidR="00F8599A" w14:paraId="0A745993" w14:textId="77777777" w:rsidTr="00235E13">
        <w:trPr>
          <w:trHeight w:val="288"/>
        </w:trPr>
        <w:tc>
          <w:tcPr>
            <w:tcW w:w="3911" w:type="dxa"/>
            <w:vMerge/>
            <w:vAlign w:val="center"/>
            <w:hideMark/>
          </w:tcPr>
          <w:p w14:paraId="33E91B4F"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10C97846" w14:textId="0F7D0815" w:rsidR="00F8599A" w:rsidRPr="00CA3CF5" w:rsidRDefault="00F8599A" w:rsidP="00CA3CF5">
            <w:pPr>
              <w:pStyle w:val="DHHStabletext"/>
            </w:pPr>
            <w:r w:rsidRPr="00CA3CF5">
              <w:t>India</w:t>
            </w:r>
          </w:p>
        </w:tc>
        <w:tc>
          <w:tcPr>
            <w:tcW w:w="1243" w:type="dxa"/>
            <w:hideMark/>
          </w:tcPr>
          <w:p w14:paraId="1C17CF5A" w14:textId="3CEAB127" w:rsidR="00F8599A" w:rsidRPr="00CA3CF5" w:rsidRDefault="00F8599A" w:rsidP="00CA3CF5">
            <w:pPr>
              <w:pStyle w:val="DHHStabletext"/>
            </w:pPr>
            <w:r w:rsidRPr="00CA3CF5">
              <w:t>0.6%</w:t>
            </w:r>
          </w:p>
        </w:tc>
        <w:tc>
          <w:tcPr>
            <w:tcW w:w="1243" w:type="dxa"/>
            <w:hideMark/>
          </w:tcPr>
          <w:p w14:paraId="587A72D4" w14:textId="5E9D6840" w:rsidR="00F8599A" w:rsidRPr="00CA3CF5" w:rsidRDefault="00F8599A" w:rsidP="00CA3CF5">
            <w:pPr>
              <w:pStyle w:val="DHHStabletext"/>
            </w:pPr>
            <w:r w:rsidRPr="00CA3CF5">
              <w:t>0.7%</w:t>
            </w:r>
          </w:p>
        </w:tc>
        <w:tc>
          <w:tcPr>
            <w:tcW w:w="1197" w:type="dxa"/>
            <w:hideMark/>
          </w:tcPr>
          <w:p w14:paraId="6C9425A0" w14:textId="62472BE4" w:rsidR="00F8599A" w:rsidRPr="00CA3CF5" w:rsidRDefault="00F8599A" w:rsidP="00CA3CF5">
            <w:pPr>
              <w:pStyle w:val="DHHStabletext"/>
            </w:pPr>
            <w:r w:rsidRPr="00CA3CF5">
              <w:t>0.7%</w:t>
            </w:r>
          </w:p>
        </w:tc>
      </w:tr>
      <w:tr w:rsidR="00F8599A" w14:paraId="19A064A8" w14:textId="77777777" w:rsidTr="00235E13">
        <w:trPr>
          <w:trHeight w:val="525"/>
        </w:trPr>
        <w:tc>
          <w:tcPr>
            <w:tcW w:w="3911" w:type="dxa"/>
            <w:vMerge/>
            <w:vAlign w:val="center"/>
            <w:hideMark/>
          </w:tcPr>
          <w:p w14:paraId="2C9D05FD"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1EFB8D7C" w14:textId="424FA7D1" w:rsidR="00F8599A" w:rsidRPr="00CA3CF5" w:rsidRDefault="00F8599A" w:rsidP="00CA3CF5">
            <w:pPr>
              <w:pStyle w:val="DHHStabletext"/>
            </w:pPr>
            <w:r w:rsidRPr="00CA3CF5">
              <w:t>China (excludes SARs and Taiwan)</w:t>
            </w:r>
          </w:p>
        </w:tc>
        <w:tc>
          <w:tcPr>
            <w:tcW w:w="1243" w:type="dxa"/>
            <w:hideMark/>
          </w:tcPr>
          <w:p w14:paraId="336F87F8" w14:textId="7E19E9A4" w:rsidR="00F8599A" w:rsidRPr="00CA3CF5" w:rsidRDefault="00F8599A" w:rsidP="00CA3CF5">
            <w:pPr>
              <w:pStyle w:val="DHHStabletext"/>
            </w:pPr>
            <w:r w:rsidRPr="00CA3CF5">
              <w:t>0.6%</w:t>
            </w:r>
          </w:p>
        </w:tc>
        <w:tc>
          <w:tcPr>
            <w:tcW w:w="1243" w:type="dxa"/>
            <w:hideMark/>
          </w:tcPr>
          <w:p w14:paraId="58BFF83A" w14:textId="074AB39C" w:rsidR="00F8599A" w:rsidRPr="00CA3CF5" w:rsidRDefault="00F8599A" w:rsidP="00CA3CF5">
            <w:pPr>
              <w:pStyle w:val="DHHStabletext"/>
            </w:pPr>
            <w:r w:rsidRPr="00CA3CF5">
              <w:t>0.6%</w:t>
            </w:r>
          </w:p>
        </w:tc>
        <w:tc>
          <w:tcPr>
            <w:tcW w:w="1197" w:type="dxa"/>
            <w:hideMark/>
          </w:tcPr>
          <w:p w14:paraId="57A2BFAE" w14:textId="3EF0729B" w:rsidR="00F8599A" w:rsidRPr="00CA3CF5" w:rsidRDefault="00F8599A" w:rsidP="00CA3CF5">
            <w:pPr>
              <w:pStyle w:val="DHHStabletext"/>
            </w:pPr>
            <w:r w:rsidRPr="00CA3CF5">
              <w:t>0.7%</w:t>
            </w:r>
          </w:p>
        </w:tc>
      </w:tr>
      <w:tr w:rsidR="00F8599A" w14:paraId="1790D412" w14:textId="77777777" w:rsidTr="00235E13">
        <w:trPr>
          <w:trHeight w:val="285"/>
        </w:trPr>
        <w:tc>
          <w:tcPr>
            <w:tcW w:w="3911" w:type="dxa"/>
            <w:vMerge/>
            <w:vAlign w:val="center"/>
            <w:hideMark/>
          </w:tcPr>
          <w:p w14:paraId="394250D5"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4023C003" w14:textId="4FA62324" w:rsidR="00F8599A" w:rsidRPr="00CA3CF5" w:rsidRDefault="00F8599A" w:rsidP="00CA3CF5">
            <w:pPr>
              <w:pStyle w:val="DHHStabletext"/>
            </w:pPr>
            <w:r w:rsidRPr="00CA3CF5">
              <w:t>Sri Lanka</w:t>
            </w:r>
          </w:p>
        </w:tc>
        <w:tc>
          <w:tcPr>
            <w:tcW w:w="1243" w:type="dxa"/>
            <w:hideMark/>
          </w:tcPr>
          <w:p w14:paraId="368A1B9E" w14:textId="72B7BC46" w:rsidR="00F8599A" w:rsidRPr="00CA3CF5" w:rsidRDefault="00F8599A" w:rsidP="00CA3CF5">
            <w:pPr>
              <w:pStyle w:val="DHHStabletext"/>
            </w:pPr>
            <w:r w:rsidRPr="00CA3CF5">
              <w:t>0.4%</w:t>
            </w:r>
          </w:p>
        </w:tc>
        <w:tc>
          <w:tcPr>
            <w:tcW w:w="1243" w:type="dxa"/>
            <w:hideMark/>
          </w:tcPr>
          <w:p w14:paraId="6B523EC8" w14:textId="6C107499" w:rsidR="00F8599A" w:rsidRPr="00CA3CF5" w:rsidRDefault="00F8599A" w:rsidP="00CA3CF5">
            <w:pPr>
              <w:pStyle w:val="DHHStabletext"/>
            </w:pPr>
            <w:r w:rsidRPr="00CA3CF5">
              <w:t>0.5%</w:t>
            </w:r>
          </w:p>
        </w:tc>
        <w:tc>
          <w:tcPr>
            <w:tcW w:w="1197" w:type="dxa"/>
            <w:hideMark/>
          </w:tcPr>
          <w:p w14:paraId="4D3F7C4F" w14:textId="548559E7" w:rsidR="00F8599A" w:rsidRPr="00CA3CF5" w:rsidRDefault="00F8599A" w:rsidP="00CA3CF5">
            <w:pPr>
              <w:pStyle w:val="DHHStabletext"/>
            </w:pPr>
            <w:r w:rsidRPr="00CA3CF5">
              <w:t>0.5%</w:t>
            </w:r>
          </w:p>
        </w:tc>
      </w:tr>
      <w:tr w:rsidR="00F8599A" w14:paraId="754B4238" w14:textId="77777777" w:rsidTr="00235E13">
        <w:trPr>
          <w:trHeight w:val="285"/>
        </w:trPr>
        <w:tc>
          <w:tcPr>
            <w:tcW w:w="3911" w:type="dxa"/>
            <w:vMerge/>
            <w:vAlign w:val="center"/>
            <w:hideMark/>
          </w:tcPr>
          <w:p w14:paraId="2A246333"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50FE58E5" w14:textId="4148744F" w:rsidR="00F8599A" w:rsidRPr="00CA3CF5" w:rsidRDefault="00F8599A" w:rsidP="00CA3CF5">
            <w:pPr>
              <w:pStyle w:val="DHHStabletext"/>
            </w:pPr>
            <w:r w:rsidRPr="00CA3CF5">
              <w:t>Philippines</w:t>
            </w:r>
          </w:p>
        </w:tc>
        <w:tc>
          <w:tcPr>
            <w:tcW w:w="1243" w:type="dxa"/>
            <w:hideMark/>
          </w:tcPr>
          <w:p w14:paraId="48A519F7" w14:textId="664B0020" w:rsidR="00F8599A" w:rsidRPr="00CA3CF5" w:rsidRDefault="00F8599A" w:rsidP="00CA3CF5">
            <w:pPr>
              <w:pStyle w:val="DHHStabletext"/>
            </w:pPr>
            <w:r w:rsidRPr="00CA3CF5">
              <w:t>0.4%</w:t>
            </w:r>
          </w:p>
        </w:tc>
        <w:tc>
          <w:tcPr>
            <w:tcW w:w="1243" w:type="dxa"/>
            <w:hideMark/>
          </w:tcPr>
          <w:p w14:paraId="00E1EB3B" w14:textId="41DC95E4" w:rsidR="00F8599A" w:rsidRPr="00CA3CF5" w:rsidRDefault="00F8599A" w:rsidP="00CA3CF5">
            <w:pPr>
              <w:pStyle w:val="DHHStabletext"/>
            </w:pPr>
            <w:r w:rsidRPr="00CA3CF5">
              <w:t>0.4%</w:t>
            </w:r>
          </w:p>
        </w:tc>
        <w:tc>
          <w:tcPr>
            <w:tcW w:w="1197" w:type="dxa"/>
            <w:hideMark/>
          </w:tcPr>
          <w:p w14:paraId="7609E962" w14:textId="2F80D441" w:rsidR="00F8599A" w:rsidRPr="00CA3CF5" w:rsidRDefault="00F8599A" w:rsidP="00CA3CF5">
            <w:pPr>
              <w:pStyle w:val="DHHStabletext"/>
            </w:pPr>
            <w:r w:rsidRPr="00CA3CF5">
              <w:t>0.5%</w:t>
            </w:r>
          </w:p>
        </w:tc>
      </w:tr>
      <w:tr w:rsidR="00F8599A" w14:paraId="2C8CE3ED" w14:textId="77777777" w:rsidTr="00235E13">
        <w:trPr>
          <w:trHeight w:val="285"/>
        </w:trPr>
        <w:tc>
          <w:tcPr>
            <w:tcW w:w="3911" w:type="dxa"/>
            <w:vMerge/>
            <w:vAlign w:val="center"/>
            <w:hideMark/>
          </w:tcPr>
          <w:p w14:paraId="63386031"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04CF2FC4" w14:textId="5E794491" w:rsidR="00F8599A" w:rsidRPr="00CA3CF5" w:rsidRDefault="00F8599A" w:rsidP="00CA3CF5">
            <w:pPr>
              <w:pStyle w:val="DHHStabletext"/>
            </w:pPr>
            <w:r w:rsidRPr="00CA3CF5">
              <w:t>Turkey</w:t>
            </w:r>
          </w:p>
        </w:tc>
        <w:tc>
          <w:tcPr>
            <w:tcW w:w="1243" w:type="dxa"/>
            <w:hideMark/>
          </w:tcPr>
          <w:p w14:paraId="1B681E43" w14:textId="093AFFD1" w:rsidR="00F8599A" w:rsidRPr="00CA3CF5" w:rsidRDefault="00F8599A" w:rsidP="00CA3CF5">
            <w:pPr>
              <w:pStyle w:val="DHHStabletext"/>
            </w:pPr>
            <w:r w:rsidRPr="00CA3CF5">
              <w:t>0.4%</w:t>
            </w:r>
          </w:p>
        </w:tc>
        <w:tc>
          <w:tcPr>
            <w:tcW w:w="1243" w:type="dxa"/>
            <w:hideMark/>
          </w:tcPr>
          <w:p w14:paraId="045DC2B1" w14:textId="14362905" w:rsidR="00F8599A" w:rsidRPr="00CA3CF5" w:rsidRDefault="00F8599A" w:rsidP="00CA3CF5">
            <w:pPr>
              <w:pStyle w:val="DHHStabletext"/>
            </w:pPr>
            <w:r w:rsidRPr="00CA3CF5">
              <w:t>0.4%</w:t>
            </w:r>
          </w:p>
        </w:tc>
        <w:tc>
          <w:tcPr>
            <w:tcW w:w="1197" w:type="dxa"/>
            <w:hideMark/>
          </w:tcPr>
          <w:p w14:paraId="1C02A551" w14:textId="61D7AFE5" w:rsidR="00F8599A" w:rsidRPr="00CA3CF5" w:rsidRDefault="00F8599A" w:rsidP="00CA3CF5">
            <w:pPr>
              <w:pStyle w:val="DHHStabletext"/>
            </w:pPr>
            <w:r w:rsidRPr="00CA3CF5">
              <w:t>0.4%</w:t>
            </w:r>
          </w:p>
        </w:tc>
      </w:tr>
      <w:tr w:rsidR="00F8599A" w14:paraId="2AC46FF2" w14:textId="77777777" w:rsidTr="00235E13">
        <w:trPr>
          <w:trHeight w:val="285"/>
        </w:trPr>
        <w:tc>
          <w:tcPr>
            <w:tcW w:w="3911" w:type="dxa"/>
            <w:vMerge/>
            <w:vAlign w:val="center"/>
            <w:hideMark/>
          </w:tcPr>
          <w:p w14:paraId="3410CA39"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032ABF5B" w14:textId="201A5129" w:rsidR="00F8599A" w:rsidRPr="00CA3CF5" w:rsidRDefault="00F8599A" w:rsidP="00CA3CF5">
            <w:pPr>
              <w:pStyle w:val="DHHStabletext"/>
            </w:pPr>
            <w:r w:rsidRPr="00CA3CF5">
              <w:t>Iran</w:t>
            </w:r>
          </w:p>
        </w:tc>
        <w:tc>
          <w:tcPr>
            <w:tcW w:w="1243" w:type="dxa"/>
            <w:hideMark/>
          </w:tcPr>
          <w:p w14:paraId="19FBC6F3" w14:textId="50294BC9" w:rsidR="00F8599A" w:rsidRPr="00CA3CF5" w:rsidRDefault="00F8599A" w:rsidP="00CA3CF5">
            <w:pPr>
              <w:pStyle w:val="DHHStabletext"/>
            </w:pPr>
            <w:r w:rsidRPr="00CA3CF5">
              <w:t>0.4%</w:t>
            </w:r>
          </w:p>
        </w:tc>
        <w:tc>
          <w:tcPr>
            <w:tcW w:w="1243" w:type="dxa"/>
            <w:hideMark/>
          </w:tcPr>
          <w:p w14:paraId="6B0C174B" w14:textId="3BACCCDF" w:rsidR="00F8599A" w:rsidRPr="00CA3CF5" w:rsidRDefault="00F8599A" w:rsidP="00CA3CF5">
            <w:pPr>
              <w:pStyle w:val="DHHStabletext"/>
            </w:pPr>
            <w:r w:rsidRPr="00CA3CF5">
              <w:t>0.4%</w:t>
            </w:r>
          </w:p>
        </w:tc>
        <w:tc>
          <w:tcPr>
            <w:tcW w:w="1197" w:type="dxa"/>
            <w:hideMark/>
          </w:tcPr>
          <w:p w14:paraId="49E67FDF" w14:textId="799325EB" w:rsidR="00F8599A" w:rsidRPr="00CA3CF5" w:rsidRDefault="00F8599A" w:rsidP="00CA3CF5">
            <w:pPr>
              <w:pStyle w:val="DHHStabletext"/>
            </w:pPr>
            <w:r w:rsidRPr="00CA3CF5">
              <w:t>0.4%</w:t>
            </w:r>
          </w:p>
        </w:tc>
      </w:tr>
      <w:tr w:rsidR="00F8599A" w14:paraId="06655D38" w14:textId="77777777" w:rsidTr="00235E13">
        <w:trPr>
          <w:trHeight w:val="285"/>
        </w:trPr>
        <w:tc>
          <w:tcPr>
            <w:tcW w:w="3911" w:type="dxa"/>
            <w:vMerge/>
            <w:vAlign w:val="center"/>
            <w:hideMark/>
          </w:tcPr>
          <w:p w14:paraId="4D0759E6"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2E10B53B" w14:textId="52D581BD" w:rsidR="00F8599A" w:rsidRPr="00CA3CF5" w:rsidRDefault="00F8599A" w:rsidP="00CA3CF5">
            <w:pPr>
              <w:pStyle w:val="DHHStabletext"/>
            </w:pPr>
            <w:r w:rsidRPr="00CA3CF5">
              <w:t>Sudan</w:t>
            </w:r>
          </w:p>
        </w:tc>
        <w:tc>
          <w:tcPr>
            <w:tcW w:w="1243" w:type="dxa"/>
            <w:hideMark/>
          </w:tcPr>
          <w:p w14:paraId="520568C2" w14:textId="7FDDD543" w:rsidR="00F8599A" w:rsidRPr="00CA3CF5" w:rsidRDefault="00F8599A" w:rsidP="00CA3CF5">
            <w:pPr>
              <w:pStyle w:val="DHHStabletext"/>
            </w:pPr>
            <w:r w:rsidRPr="00CA3CF5">
              <w:t>0.3%</w:t>
            </w:r>
          </w:p>
        </w:tc>
        <w:tc>
          <w:tcPr>
            <w:tcW w:w="1243" w:type="dxa"/>
            <w:hideMark/>
          </w:tcPr>
          <w:p w14:paraId="3490A987" w14:textId="731EF40A" w:rsidR="00F8599A" w:rsidRPr="00CA3CF5" w:rsidRDefault="00F8599A" w:rsidP="00CA3CF5">
            <w:pPr>
              <w:pStyle w:val="DHHStabletext"/>
            </w:pPr>
            <w:r w:rsidRPr="00CA3CF5">
              <w:t>0.3%</w:t>
            </w:r>
          </w:p>
        </w:tc>
        <w:tc>
          <w:tcPr>
            <w:tcW w:w="1197" w:type="dxa"/>
            <w:hideMark/>
          </w:tcPr>
          <w:p w14:paraId="2CC46BB9" w14:textId="5BF6C5F1" w:rsidR="00F8599A" w:rsidRPr="00CA3CF5" w:rsidRDefault="00F8599A" w:rsidP="00CA3CF5">
            <w:pPr>
              <w:pStyle w:val="DHHStabletext"/>
            </w:pPr>
            <w:r w:rsidRPr="00CA3CF5">
              <w:t>0.4%</w:t>
            </w:r>
          </w:p>
        </w:tc>
      </w:tr>
      <w:tr w:rsidR="00F8599A" w14:paraId="636490AE" w14:textId="77777777" w:rsidTr="00235E13">
        <w:trPr>
          <w:trHeight w:val="288"/>
        </w:trPr>
        <w:tc>
          <w:tcPr>
            <w:tcW w:w="3911" w:type="dxa"/>
            <w:vMerge w:val="restart"/>
            <w:hideMark/>
          </w:tcPr>
          <w:p w14:paraId="79B5EBFB" w14:textId="77777777" w:rsidR="00F8599A" w:rsidRPr="009C2EFA" w:rsidRDefault="00F8599A" w:rsidP="00F8599A">
            <w:pPr>
              <w:pStyle w:val="DHHStabletext"/>
            </w:pPr>
            <w:r w:rsidRPr="009C2EFA">
              <w:t>Preferred language other than English (top 10) (%)</w:t>
            </w:r>
          </w:p>
        </w:tc>
        <w:tc>
          <w:tcPr>
            <w:tcW w:w="2324" w:type="dxa"/>
            <w:hideMark/>
          </w:tcPr>
          <w:p w14:paraId="532AF6B1" w14:textId="2145448B" w:rsidR="00F8599A" w:rsidRPr="00CA3CF5" w:rsidRDefault="00F8599A" w:rsidP="00CA3CF5">
            <w:pPr>
              <w:pStyle w:val="DHHStabletext"/>
            </w:pPr>
            <w:r w:rsidRPr="00CA3CF5">
              <w:t>Vietnamese</w:t>
            </w:r>
          </w:p>
        </w:tc>
        <w:tc>
          <w:tcPr>
            <w:tcW w:w="1243" w:type="dxa"/>
            <w:hideMark/>
          </w:tcPr>
          <w:p w14:paraId="3246BD8B" w14:textId="71CC50ED" w:rsidR="00F8599A" w:rsidRPr="00CA3CF5" w:rsidRDefault="00F8599A" w:rsidP="00CA3CF5">
            <w:pPr>
              <w:pStyle w:val="DHHStabletext"/>
            </w:pPr>
            <w:r w:rsidRPr="00CA3CF5">
              <w:t>0.6%</w:t>
            </w:r>
          </w:p>
        </w:tc>
        <w:tc>
          <w:tcPr>
            <w:tcW w:w="1243" w:type="dxa"/>
            <w:hideMark/>
          </w:tcPr>
          <w:p w14:paraId="5EE23DC8" w14:textId="0B6FD1E7" w:rsidR="00F8599A" w:rsidRPr="00CA3CF5" w:rsidRDefault="00F8599A" w:rsidP="00CA3CF5">
            <w:pPr>
              <w:pStyle w:val="DHHStabletext"/>
            </w:pPr>
            <w:r w:rsidRPr="00CA3CF5">
              <w:t>0.5%</w:t>
            </w:r>
          </w:p>
        </w:tc>
        <w:tc>
          <w:tcPr>
            <w:tcW w:w="1197" w:type="dxa"/>
            <w:hideMark/>
          </w:tcPr>
          <w:p w14:paraId="28691C04" w14:textId="778D2451" w:rsidR="00F8599A" w:rsidRPr="00CA3CF5" w:rsidRDefault="00F8599A" w:rsidP="00CA3CF5">
            <w:pPr>
              <w:pStyle w:val="DHHStabletext"/>
            </w:pPr>
            <w:r w:rsidRPr="00CA3CF5">
              <w:t>0.5%</w:t>
            </w:r>
          </w:p>
        </w:tc>
      </w:tr>
      <w:tr w:rsidR="00F8599A" w14:paraId="55829257" w14:textId="77777777" w:rsidTr="00235E13">
        <w:trPr>
          <w:trHeight w:val="285"/>
        </w:trPr>
        <w:tc>
          <w:tcPr>
            <w:tcW w:w="3911" w:type="dxa"/>
            <w:vMerge/>
            <w:vAlign w:val="center"/>
            <w:hideMark/>
          </w:tcPr>
          <w:p w14:paraId="240F4B23"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79C25514" w14:textId="1D5C3BF6" w:rsidR="00F8599A" w:rsidRPr="00CA3CF5" w:rsidRDefault="00F8599A" w:rsidP="00CA3CF5">
            <w:pPr>
              <w:pStyle w:val="DHHStabletext"/>
            </w:pPr>
            <w:r w:rsidRPr="00CA3CF5">
              <w:t>Greek</w:t>
            </w:r>
          </w:p>
        </w:tc>
        <w:tc>
          <w:tcPr>
            <w:tcW w:w="1243" w:type="dxa"/>
            <w:hideMark/>
          </w:tcPr>
          <w:p w14:paraId="2F46D887" w14:textId="0592A496" w:rsidR="00F8599A" w:rsidRPr="00CA3CF5" w:rsidRDefault="00F8599A" w:rsidP="00CA3CF5">
            <w:pPr>
              <w:pStyle w:val="DHHStabletext"/>
            </w:pPr>
            <w:r w:rsidRPr="00CA3CF5">
              <w:t>0.5%</w:t>
            </w:r>
          </w:p>
        </w:tc>
        <w:tc>
          <w:tcPr>
            <w:tcW w:w="1243" w:type="dxa"/>
            <w:hideMark/>
          </w:tcPr>
          <w:p w14:paraId="4BED7B0C" w14:textId="30B5838F" w:rsidR="00F8599A" w:rsidRPr="00CA3CF5" w:rsidRDefault="00F8599A" w:rsidP="00CA3CF5">
            <w:pPr>
              <w:pStyle w:val="DHHStabletext"/>
            </w:pPr>
            <w:r w:rsidRPr="00CA3CF5">
              <w:t>0.4%</w:t>
            </w:r>
          </w:p>
        </w:tc>
        <w:tc>
          <w:tcPr>
            <w:tcW w:w="1197" w:type="dxa"/>
            <w:hideMark/>
          </w:tcPr>
          <w:p w14:paraId="70966A8D" w14:textId="06C626B4" w:rsidR="00F8599A" w:rsidRPr="00CA3CF5" w:rsidRDefault="00F8599A" w:rsidP="00CA3CF5">
            <w:pPr>
              <w:pStyle w:val="DHHStabletext"/>
            </w:pPr>
            <w:r w:rsidRPr="00CA3CF5">
              <w:t>0.5%</w:t>
            </w:r>
          </w:p>
        </w:tc>
      </w:tr>
      <w:tr w:rsidR="00F8599A" w14:paraId="17E9ADA8" w14:textId="77777777" w:rsidTr="00235E13">
        <w:trPr>
          <w:trHeight w:val="285"/>
        </w:trPr>
        <w:tc>
          <w:tcPr>
            <w:tcW w:w="3911" w:type="dxa"/>
            <w:vMerge/>
            <w:vAlign w:val="center"/>
            <w:hideMark/>
          </w:tcPr>
          <w:p w14:paraId="0D34FBD6"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44ADE741" w14:textId="4F548441" w:rsidR="00F8599A" w:rsidRPr="00CA3CF5" w:rsidRDefault="00F8599A" w:rsidP="00CA3CF5">
            <w:pPr>
              <w:pStyle w:val="DHHStabletext"/>
            </w:pPr>
            <w:r w:rsidRPr="00CA3CF5">
              <w:t>Italian</w:t>
            </w:r>
          </w:p>
        </w:tc>
        <w:tc>
          <w:tcPr>
            <w:tcW w:w="1243" w:type="dxa"/>
            <w:hideMark/>
          </w:tcPr>
          <w:p w14:paraId="5E8D9063" w14:textId="78AC25E0" w:rsidR="00F8599A" w:rsidRPr="00CA3CF5" w:rsidRDefault="00F8599A" w:rsidP="00CA3CF5">
            <w:pPr>
              <w:pStyle w:val="DHHStabletext"/>
            </w:pPr>
            <w:r w:rsidRPr="00CA3CF5">
              <w:t>0.6%</w:t>
            </w:r>
          </w:p>
        </w:tc>
        <w:tc>
          <w:tcPr>
            <w:tcW w:w="1243" w:type="dxa"/>
            <w:hideMark/>
          </w:tcPr>
          <w:p w14:paraId="77E915C1" w14:textId="577DA8F5" w:rsidR="00F8599A" w:rsidRPr="00CA3CF5" w:rsidRDefault="00F8599A" w:rsidP="00CA3CF5">
            <w:pPr>
              <w:pStyle w:val="DHHStabletext"/>
            </w:pPr>
            <w:r w:rsidRPr="00CA3CF5">
              <w:t>0.5%</w:t>
            </w:r>
          </w:p>
        </w:tc>
        <w:tc>
          <w:tcPr>
            <w:tcW w:w="1197" w:type="dxa"/>
            <w:hideMark/>
          </w:tcPr>
          <w:p w14:paraId="43F48D9E" w14:textId="28AC4C35" w:rsidR="00F8599A" w:rsidRPr="00CA3CF5" w:rsidRDefault="00F8599A" w:rsidP="00CA3CF5">
            <w:pPr>
              <w:pStyle w:val="DHHStabletext"/>
            </w:pPr>
            <w:r w:rsidRPr="00CA3CF5">
              <w:t>0.4%</w:t>
            </w:r>
          </w:p>
        </w:tc>
      </w:tr>
      <w:tr w:rsidR="00F8599A" w14:paraId="1F01F1FE" w14:textId="77777777" w:rsidTr="00235E13">
        <w:trPr>
          <w:trHeight w:val="288"/>
        </w:trPr>
        <w:tc>
          <w:tcPr>
            <w:tcW w:w="3911" w:type="dxa"/>
            <w:vMerge/>
            <w:vAlign w:val="center"/>
            <w:hideMark/>
          </w:tcPr>
          <w:p w14:paraId="7AB7D5E7"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7995F0E1" w14:textId="5DE7A39D" w:rsidR="00F8599A" w:rsidRPr="00CA3CF5" w:rsidRDefault="00F8599A" w:rsidP="00CA3CF5">
            <w:pPr>
              <w:pStyle w:val="DHHStabletext"/>
            </w:pPr>
            <w:r w:rsidRPr="00CA3CF5">
              <w:t>Mandarin</w:t>
            </w:r>
          </w:p>
        </w:tc>
        <w:tc>
          <w:tcPr>
            <w:tcW w:w="1243" w:type="dxa"/>
            <w:hideMark/>
          </w:tcPr>
          <w:p w14:paraId="0846F296" w14:textId="3D7B88C4" w:rsidR="00F8599A" w:rsidRPr="00CA3CF5" w:rsidRDefault="00F8599A" w:rsidP="00CA3CF5">
            <w:pPr>
              <w:pStyle w:val="DHHStabletext"/>
            </w:pPr>
            <w:r w:rsidRPr="00CA3CF5">
              <w:t>0.3%</w:t>
            </w:r>
          </w:p>
        </w:tc>
        <w:tc>
          <w:tcPr>
            <w:tcW w:w="1243" w:type="dxa"/>
            <w:hideMark/>
          </w:tcPr>
          <w:p w14:paraId="24D507EF" w14:textId="2DB44684" w:rsidR="00F8599A" w:rsidRPr="00CA3CF5" w:rsidRDefault="00F8599A" w:rsidP="00CA3CF5">
            <w:pPr>
              <w:pStyle w:val="DHHStabletext"/>
            </w:pPr>
            <w:r w:rsidRPr="00CA3CF5">
              <w:t>0.3%</w:t>
            </w:r>
          </w:p>
        </w:tc>
        <w:tc>
          <w:tcPr>
            <w:tcW w:w="1197" w:type="dxa"/>
            <w:hideMark/>
          </w:tcPr>
          <w:p w14:paraId="1B9E3272" w14:textId="0110BCD6" w:rsidR="00F8599A" w:rsidRPr="00CA3CF5" w:rsidRDefault="00F8599A" w:rsidP="00CA3CF5">
            <w:pPr>
              <w:pStyle w:val="DHHStabletext"/>
            </w:pPr>
            <w:r w:rsidRPr="00CA3CF5">
              <w:t>0.3%</w:t>
            </w:r>
          </w:p>
        </w:tc>
      </w:tr>
      <w:tr w:rsidR="00F8599A" w14:paraId="63D7FEA8" w14:textId="77777777" w:rsidTr="00235E13">
        <w:trPr>
          <w:trHeight w:val="285"/>
        </w:trPr>
        <w:tc>
          <w:tcPr>
            <w:tcW w:w="3911" w:type="dxa"/>
            <w:vMerge/>
            <w:vAlign w:val="center"/>
            <w:hideMark/>
          </w:tcPr>
          <w:p w14:paraId="28AD680E"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1F7D9F34" w14:textId="1646CED8" w:rsidR="00F8599A" w:rsidRPr="00CA3CF5" w:rsidRDefault="00F8599A" w:rsidP="00CA3CF5">
            <w:pPr>
              <w:pStyle w:val="DHHStabletext"/>
            </w:pPr>
            <w:r w:rsidRPr="00CA3CF5">
              <w:t>Arabic</w:t>
            </w:r>
          </w:p>
        </w:tc>
        <w:tc>
          <w:tcPr>
            <w:tcW w:w="1243" w:type="dxa"/>
            <w:hideMark/>
          </w:tcPr>
          <w:p w14:paraId="3151579F" w14:textId="23D1DD69" w:rsidR="00F8599A" w:rsidRPr="00CA3CF5" w:rsidRDefault="00F8599A" w:rsidP="00CA3CF5">
            <w:pPr>
              <w:pStyle w:val="DHHStabletext"/>
            </w:pPr>
            <w:r w:rsidRPr="00CA3CF5">
              <w:t>0.3%</w:t>
            </w:r>
          </w:p>
        </w:tc>
        <w:tc>
          <w:tcPr>
            <w:tcW w:w="1243" w:type="dxa"/>
            <w:hideMark/>
          </w:tcPr>
          <w:p w14:paraId="189B3E6A" w14:textId="244F0A7B" w:rsidR="00F8599A" w:rsidRPr="00CA3CF5" w:rsidRDefault="00F8599A" w:rsidP="00CA3CF5">
            <w:pPr>
              <w:pStyle w:val="DHHStabletext"/>
            </w:pPr>
            <w:r w:rsidRPr="00CA3CF5">
              <w:t>0.3%</w:t>
            </w:r>
          </w:p>
        </w:tc>
        <w:tc>
          <w:tcPr>
            <w:tcW w:w="1197" w:type="dxa"/>
            <w:hideMark/>
          </w:tcPr>
          <w:p w14:paraId="16B61F35" w14:textId="6AB07E98" w:rsidR="00F8599A" w:rsidRPr="00CA3CF5" w:rsidRDefault="00F8599A" w:rsidP="00CA3CF5">
            <w:pPr>
              <w:pStyle w:val="DHHStabletext"/>
            </w:pPr>
            <w:r w:rsidRPr="00CA3CF5">
              <w:t>0.3%</w:t>
            </w:r>
          </w:p>
        </w:tc>
      </w:tr>
      <w:tr w:rsidR="00F8599A" w14:paraId="50B802DD" w14:textId="77777777" w:rsidTr="00235E13">
        <w:trPr>
          <w:trHeight w:val="285"/>
        </w:trPr>
        <w:tc>
          <w:tcPr>
            <w:tcW w:w="3911" w:type="dxa"/>
            <w:vMerge/>
            <w:vAlign w:val="center"/>
            <w:hideMark/>
          </w:tcPr>
          <w:p w14:paraId="70515B07" w14:textId="77777777" w:rsidR="00F8599A" w:rsidRPr="009C2EFA" w:rsidRDefault="00F8599A" w:rsidP="00F8599A">
            <w:pPr>
              <w:pStyle w:val="DHHStabletext"/>
              <w:rPr>
                <w:rFonts w:ascii="Trebuchet MS" w:eastAsia="Trebuchet MS" w:hAnsi="Trebuchet MS" w:cs="Trebuchet MS"/>
                <w:szCs w:val="22"/>
                <w:lang w:val="en-US"/>
              </w:rPr>
            </w:pPr>
          </w:p>
        </w:tc>
        <w:tc>
          <w:tcPr>
            <w:tcW w:w="2324" w:type="dxa"/>
            <w:hideMark/>
          </w:tcPr>
          <w:p w14:paraId="7C1E203D" w14:textId="572B9D57" w:rsidR="00F8599A" w:rsidRPr="00CA3CF5" w:rsidRDefault="00F8599A" w:rsidP="00CA3CF5">
            <w:pPr>
              <w:pStyle w:val="DHHStabletext"/>
            </w:pPr>
            <w:r w:rsidRPr="00CA3CF5">
              <w:t>Persian (excluding Dari)</w:t>
            </w:r>
          </w:p>
        </w:tc>
        <w:tc>
          <w:tcPr>
            <w:tcW w:w="1243" w:type="dxa"/>
            <w:hideMark/>
          </w:tcPr>
          <w:p w14:paraId="2AC7B860" w14:textId="14CB8728" w:rsidR="00F8599A" w:rsidRPr="00CA3CF5" w:rsidRDefault="00F8599A" w:rsidP="00CA3CF5">
            <w:pPr>
              <w:pStyle w:val="DHHStabletext"/>
            </w:pPr>
            <w:r w:rsidRPr="00CA3CF5">
              <w:t>0.2%</w:t>
            </w:r>
          </w:p>
        </w:tc>
        <w:tc>
          <w:tcPr>
            <w:tcW w:w="1243" w:type="dxa"/>
            <w:hideMark/>
          </w:tcPr>
          <w:p w14:paraId="4AF90A39" w14:textId="057F95A1" w:rsidR="00F8599A" w:rsidRPr="00CA3CF5" w:rsidRDefault="00F8599A" w:rsidP="00CA3CF5">
            <w:pPr>
              <w:pStyle w:val="DHHStabletext"/>
            </w:pPr>
            <w:r w:rsidRPr="00CA3CF5">
              <w:t>0.2%</w:t>
            </w:r>
          </w:p>
        </w:tc>
        <w:tc>
          <w:tcPr>
            <w:tcW w:w="1197" w:type="dxa"/>
            <w:hideMark/>
          </w:tcPr>
          <w:p w14:paraId="4F0A1442" w14:textId="1AF20656" w:rsidR="00F8599A" w:rsidRPr="00CA3CF5" w:rsidRDefault="00F8599A" w:rsidP="00CA3CF5">
            <w:pPr>
              <w:pStyle w:val="DHHStabletext"/>
            </w:pPr>
            <w:r w:rsidRPr="00CA3CF5">
              <w:t>0.2%</w:t>
            </w:r>
          </w:p>
        </w:tc>
      </w:tr>
      <w:tr w:rsidR="00F8599A" w14:paraId="47FC87D1" w14:textId="77777777" w:rsidTr="00235E13">
        <w:trPr>
          <w:trHeight w:val="285"/>
        </w:trPr>
        <w:tc>
          <w:tcPr>
            <w:tcW w:w="3911" w:type="dxa"/>
            <w:vMerge/>
            <w:vAlign w:val="center"/>
            <w:hideMark/>
          </w:tcPr>
          <w:p w14:paraId="3E52BECA" w14:textId="77777777" w:rsidR="00F8599A" w:rsidRDefault="00F8599A" w:rsidP="00F8599A">
            <w:pPr>
              <w:pStyle w:val="DHHStabletext"/>
              <w:rPr>
                <w:rFonts w:ascii="Trebuchet MS" w:eastAsia="Trebuchet MS" w:hAnsi="Trebuchet MS" w:cs="Trebuchet MS"/>
                <w:szCs w:val="22"/>
                <w:lang w:val="en-US"/>
              </w:rPr>
            </w:pPr>
          </w:p>
        </w:tc>
        <w:tc>
          <w:tcPr>
            <w:tcW w:w="2324" w:type="dxa"/>
            <w:hideMark/>
          </w:tcPr>
          <w:p w14:paraId="076E1172" w14:textId="145FA827" w:rsidR="00F8599A" w:rsidRDefault="00F8599A" w:rsidP="00CA3CF5">
            <w:pPr>
              <w:pStyle w:val="DHHStabletext"/>
            </w:pPr>
            <w:r w:rsidRPr="00CA3CF5">
              <w:t>Turkish</w:t>
            </w:r>
          </w:p>
        </w:tc>
        <w:tc>
          <w:tcPr>
            <w:tcW w:w="1243" w:type="dxa"/>
            <w:hideMark/>
          </w:tcPr>
          <w:p w14:paraId="249FEF86" w14:textId="2692FF08" w:rsidR="00F8599A" w:rsidRPr="00CA3CF5" w:rsidRDefault="00F8599A" w:rsidP="00CA3CF5">
            <w:pPr>
              <w:pStyle w:val="DHHStabletext"/>
            </w:pPr>
            <w:r w:rsidRPr="00CA3CF5">
              <w:t>0.2%</w:t>
            </w:r>
          </w:p>
        </w:tc>
        <w:tc>
          <w:tcPr>
            <w:tcW w:w="1243" w:type="dxa"/>
            <w:hideMark/>
          </w:tcPr>
          <w:p w14:paraId="26B4A87F" w14:textId="11B3F25C" w:rsidR="00F8599A" w:rsidRPr="00CA3CF5" w:rsidRDefault="00F8599A" w:rsidP="00CA3CF5">
            <w:pPr>
              <w:pStyle w:val="DHHStabletext"/>
            </w:pPr>
            <w:r w:rsidRPr="00CA3CF5">
              <w:t>0.2%</w:t>
            </w:r>
          </w:p>
        </w:tc>
        <w:tc>
          <w:tcPr>
            <w:tcW w:w="1197" w:type="dxa"/>
            <w:hideMark/>
          </w:tcPr>
          <w:p w14:paraId="7BB0C82E" w14:textId="32B8B9BE" w:rsidR="00F8599A" w:rsidRPr="00CA3CF5" w:rsidRDefault="00F8599A" w:rsidP="00CA3CF5">
            <w:pPr>
              <w:pStyle w:val="DHHStabletext"/>
            </w:pPr>
            <w:r w:rsidRPr="00CA3CF5">
              <w:t>0.2%</w:t>
            </w:r>
          </w:p>
        </w:tc>
      </w:tr>
      <w:tr w:rsidR="00F8599A" w14:paraId="2A702381" w14:textId="77777777" w:rsidTr="00235E13">
        <w:trPr>
          <w:trHeight w:val="285"/>
        </w:trPr>
        <w:tc>
          <w:tcPr>
            <w:tcW w:w="3911" w:type="dxa"/>
            <w:vMerge/>
            <w:vAlign w:val="center"/>
            <w:hideMark/>
          </w:tcPr>
          <w:p w14:paraId="3DF3478D" w14:textId="77777777" w:rsidR="00F8599A" w:rsidRDefault="00F8599A" w:rsidP="00F8599A">
            <w:pPr>
              <w:pStyle w:val="DHHStabletext"/>
              <w:rPr>
                <w:rFonts w:ascii="Trebuchet MS" w:eastAsia="Trebuchet MS" w:hAnsi="Trebuchet MS" w:cs="Trebuchet MS"/>
                <w:szCs w:val="22"/>
                <w:lang w:val="en-US"/>
              </w:rPr>
            </w:pPr>
          </w:p>
        </w:tc>
        <w:tc>
          <w:tcPr>
            <w:tcW w:w="2324" w:type="dxa"/>
            <w:hideMark/>
          </w:tcPr>
          <w:p w14:paraId="390CB1E8" w14:textId="53155C52" w:rsidR="00F8599A" w:rsidRPr="00CA3CF5" w:rsidRDefault="00F8599A" w:rsidP="00CA3CF5">
            <w:pPr>
              <w:pStyle w:val="DHHStabletext"/>
            </w:pPr>
            <w:r w:rsidRPr="00CA3CF5">
              <w:t>Macedonian</w:t>
            </w:r>
          </w:p>
        </w:tc>
        <w:tc>
          <w:tcPr>
            <w:tcW w:w="1243" w:type="dxa"/>
            <w:hideMark/>
          </w:tcPr>
          <w:p w14:paraId="3711E846" w14:textId="5734B69A" w:rsidR="00F8599A" w:rsidRPr="00CA3CF5" w:rsidRDefault="00F8599A" w:rsidP="00CA3CF5">
            <w:pPr>
              <w:pStyle w:val="DHHStabletext"/>
            </w:pPr>
            <w:r w:rsidRPr="00CA3CF5">
              <w:t>0.1%</w:t>
            </w:r>
          </w:p>
        </w:tc>
        <w:tc>
          <w:tcPr>
            <w:tcW w:w="1243" w:type="dxa"/>
            <w:hideMark/>
          </w:tcPr>
          <w:p w14:paraId="45089AD9" w14:textId="7AFE5A7B" w:rsidR="00F8599A" w:rsidRPr="00CA3CF5" w:rsidRDefault="00F8599A" w:rsidP="00CA3CF5">
            <w:pPr>
              <w:pStyle w:val="DHHStabletext"/>
            </w:pPr>
            <w:r w:rsidRPr="00CA3CF5">
              <w:t>0.1%</w:t>
            </w:r>
          </w:p>
        </w:tc>
        <w:tc>
          <w:tcPr>
            <w:tcW w:w="1197" w:type="dxa"/>
            <w:hideMark/>
          </w:tcPr>
          <w:p w14:paraId="7629535E" w14:textId="1C76DFDB" w:rsidR="00F8599A" w:rsidRPr="00CA3CF5" w:rsidRDefault="00F8599A" w:rsidP="00CA3CF5">
            <w:pPr>
              <w:pStyle w:val="DHHStabletext"/>
            </w:pPr>
            <w:r w:rsidRPr="00CA3CF5">
              <w:t>0.1%</w:t>
            </w:r>
          </w:p>
        </w:tc>
      </w:tr>
      <w:tr w:rsidR="00F8599A" w14:paraId="3A802073" w14:textId="77777777" w:rsidTr="00235E13">
        <w:trPr>
          <w:trHeight w:val="288"/>
        </w:trPr>
        <w:tc>
          <w:tcPr>
            <w:tcW w:w="3911" w:type="dxa"/>
            <w:vMerge/>
            <w:vAlign w:val="center"/>
            <w:hideMark/>
          </w:tcPr>
          <w:p w14:paraId="2B0EC423" w14:textId="77777777" w:rsidR="00F8599A" w:rsidRDefault="00F8599A" w:rsidP="00F8599A">
            <w:pPr>
              <w:pStyle w:val="DHHStabletext"/>
              <w:rPr>
                <w:rFonts w:ascii="Trebuchet MS" w:eastAsia="Trebuchet MS" w:hAnsi="Trebuchet MS" w:cs="Trebuchet MS"/>
                <w:szCs w:val="22"/>
                <w:lang w:val="en-US"/>
              </w:rPr>
            </w:pPr>
          </w:p>
        </w:tc>
        <w:tc>
          <w:tcPr>
            <w:tcW w:w="2324" w:type="dxa"/>
            <w:hideMark/>
          </w:tcPr>
          <w:p w14:paraId="708735FF" w14:textId="3DABC0A2" w:rsidR="00F8599A" w:rsidRPr="00CA3CF5" w:rsidRDefault="00F8599A" w:rsidP="00CA3CF5">
            <w:pPr>
              <w:pStyle w:val="DHHStabletext"/>
            </w:pPr>
            <w:r w:rsidRPr="00CA3CF5">
              <w:t>Cantonese</w:t>
            </w:r>
          </w:p>
        </w:tc>
        <w:tc>
          <w:tcPr>
            <w:tcW w:w="1243" w:type="dxa"/>
            <w:hideMark/>
          </w:tcPr>
          <w:p w14:paraId="0E2F7C30" w14:textId="7425CAA6" w:rsidR="00F8599A" w:rsidRPr="00CA3CF5" w:rsidRDefault="00F8599A" w:rsidP="00CA3CF5">
            <w:pPr>
              <w:pStyle w:val="DHHStabletext"/>
            </w:pPr>
            <w:r w:rsidRPr="00CA3CF5">
              <w:t>0.2%</w:t>
            </w:r>
          </w:p>
        </w:tc>
        <w:tc>
          <w:tcPr>
            <w:tcW w:w="1243" w:type="dxa"/>
            <w:hideMark/>
          </w:tcPr>
          <w:p w14:paraId="4EBBFD5A" w14:textId="6480377B" w:rsidR="00F8599A" w:rsidRPr="00CA3CF5" w:rsidRDefault="00F8599A" w:rsidP="00CA3CF5">
            <w:pPr>
              <w:pStyle w:val="DHHStabletext"/>
            </w:pPr>
            <w:r w:rsidRPr="00CA3CF5">
              <w:t>0.1%</w:t>
            </w:r>
          </w:p>
        </w:tc>
        <w:tc>
          <w:tcPr>
            <w:tcW w:w="1197" w:type="dxa"/>
            <w:hideMark/>
          </w:tcPr>
          <w:p w14:paraId="1CF33D37" w14:textId="35519365" w:rsidR="00F8599A" w:rsidRPr="00CA3CF5" w:rsidRDefault="00F8599A" w:rsidP="00CA3CF5">
            <w:pPr>
              <w:pStyle w:val="DHHStabletext"/>
            </w:pPr>
            <w:r w:rsidRPr="00CA3CF5">
              <w:t>0.1%</w:t>
            </w:r>
          </w:p>
        </w:tc>
      </w:tr>
      <w:tr w:rsidR="00F8599A" w14:paraId="6919BA07" w14:textId="77777777" w:rsidTr="00235E13">
        <w:trPr>
          <w:trHeight w:val="288"/>
        </w:trPr>
        <w:tc>
          <w:tcPr>
            <w:tcW w:w="3911" w:type="dxa"/>
            <w:vMerge/>
            <w:vAlign w:val="center"/>
            <w:hideMark/>
          </w:tcPr>
          <w:p w14:paraId="6069C1D4" w14:textId="77777777" w:rsidR="00F8599A" w:rsidRDefault="00F8599A" w:rsidP="00F8599A">
            <w:pPr>
              <w:pStyle w:val="DHHStabletext"/>
              <w:rPr>
                <w:rFonts w:ascii="Trebuchet MS" w:eastAsia="Trebuchet MS" w:hAnsi="Trebuchet MS" w:cs="Trebuchet MS"/>
                <w:szCs w:val="22"/>
                <w:lang w:val="en-US"/>
              </w:rPr>
            </w:pPr>
          </w:p>
        </w:tc>
        <w:tc>
          <w:tcPr>
            <w:tcW w:w="2324" w:type="dxa"/>
            <w:hideMark/>
          </w:tcPr>
          <w:p w14:paraId="543DCAFD" w14:textId="5DA65CD4" w:rsidR="00F8599A" w:rsidRPr="00CA3CF5" w:rsidRDefault="00F8599A" w:rsidP="00CA3CF5">
            <w:pPr>
              <w:pStyle w:val="DHHStabletext"/>
            </w:pPr>
            <w:r w:rsidRPr="00CA3CF5">
              <w:t>Croatian</w:t>
            </w:r>
          </w:p>
        </w:tc>
        <w:tc>
          <w:tcPr>
            <w:tcW w:w="1243" w:type="dxa"/>
            <w:hideMark/>
          </w:tcPr>
          <w:p w14:paraId="61A1381B" w14:textId="1A9FFFDC" w:rsidR="00F8599A" w:rsidRPr="00CA3CF5" w:rsidRDefault="00F8599A" w:rsidP="00CA3CF5">
            <w:pPr>
              <w:pStyle w:val="DHHStabletext"/>
            </w:pPr>
            <w:r w:rsidRPr="00CA3CF5">
              <w:t>0.1%</w:t>
            </w:r>
          </w:p>
        </w:tc>
        <w:tc>
          <w:tcPr>
            <w:tcW w:w="1243" w:type="dxa"/>
            <w:hideMark/>
          </w:tcPr>
          <w:p w14:paraId="00F248BE" w14:textId="09A4147B" w:rsidR="00F8599A" w:rsidRPr="00CA3CF5" w:rsidRDefault="00F8599A" w:rsidP="00CA3CF5">
            <w:pPr>
              <w:pStyle w:val="DHHStabletext"/>
            </w:pPr>
            <w:r w:rsidRPr="00CA3CF5">
              <w:t>0.1%</w:t>
            </w:r>
          </w:p>
        </w:tc>
        <w:tc>
          <w:tcPr>
            <w:tcW w:w="1197" w:type="dxa"/>
            <w:hideMark/>
          </w:tcPr>
          <w:p w14:paraId="69DD47D6" w14:textId="359E5DB7" w:rsidR="00F8599A" w:rsidRPr="00CA3CF5" w:rsidRDefault="00F8599A" w:rsidP="00CA3CF5">
            <w:pPr>
              <w:pStyle w:val="DHHStabletext"/>
            </w:pPr>
            <w:r w:rsidRPr="00CA3CF5">
              <w:t>0.1%</w:t>
            </w:r>
          </w:p>
        </w:tc>
      </w:tr>
    </w:tbl>
    <w:p w14:paraId="05827ED7" w14:textId="77777777" w:rsidR="004E24F2" w:rsidRDefault="004E24F2" w:rsidP="00985332">
      <w:pPr>
        <w:pStyle w:val="DHHSbody"/>
      </w:pPr>
    </w:p>
    <w:tbl>
      <w:tblPr>
        <w:tblpPr w:leftFromText="180" w:rightFromText="180" w:horzAnchor="margin" w:tblpY="216"/>
        <w:tblW w:w="9936"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3203"/>
        <w:gridCol w:w="3047"/>
        <w:gridCol w:w="1244"/>
        <w:gridCol w:w="1244"/>
        <w:gridCol w:w="1198"/>
      </w:tblGrid>
      <w:tr w:rsidR="00F8599A" w14:paraId="1D6D663A" w14:textId="77777777" w:rsidTr="00235E13">
        <w:trPr>
          <w:trHeight w:val="340"/>
          <w:tblHeader/>
        </w:trPr>
        <w:tc>
          <w:tcPr>
            <w:tcW w:w="3203" w:type="dxa"/>
            <w:shd w:val="clear" w:color="auto" w:fill="auto"/>
            <w:hideMark/>
          </w:tcPr>
          <w:p w14:paraId="2ED2276E" w14:textId="77777777" w:rsidR="00F8599A" w:rsidRDefault="00F8599A" w:rsidP="00F8599A">
            <w:pPr>
              <w:pStyle w:val="DHHStablecolhead"/>
              <w:rPr>
                <w:rFonts w:ascii="Trebuchet MS"/>
              </w:rPr>
            </w:pPr>
            <w:r>
              <w:rPr>
                <w:w w:val="105"/>
              </w:rPr>
              <w:lastRenderedPageBreak/>
              <w:t>Treatment</w:t>
            </w:r>
          </w:p>
        </w:tc>
        <w:tc>
          <w:tcPr>
            <w:tcW w:w="3047" w:type="dxa"/>
            <w:shd w:val="clear" w:color="auto" w:fill="auto"/>
          </w:tcPr>
          <w:p w14:paraId="4F3F73D6" w14:textId="2625271C" w:rsidR="00F8599A" w:rsidRDefault="00F8599A" w:rsidP="00F8599A">
            <w:pPr>
              <w:pStyle w:val="DHHStablecolhead"/>
            </w:pPr>
            <w:r w:rsidRPr="00EE31F2">
              <w:t>Measure</w:t>
            </w:r>
          </w:p>
        </w:tc>
        <w:tc>
          <w:tcPr>
            <w:tcW w:w="1244" w:type="dxa"/>
            <w:shd w:val="clear" w:color="auto" w:fill="auto"/>
            <w:hideMark/>
          </w:tcPr>
          <w:p w14:paraId="504BC084" w14:textId="44D2B507" w:rsidR="00F8599A" w:rsidRDefault="00F8599A" w:rsidP="00F8599A">
            <w:pPr>
              <w:pStyle w:val="DHHStablecolhead"/>
              <w:rPr>
                <w:rFonts w:ascii="Trebuchet MS"/>
              </w:rPr>
            </w:pPr>
            <w:r w:rsidRPr="009F0C73">
              <w:t>2015–16</w:t>
            </w:r>
          </w:p>
        </w:tc>
        <w:tc>
          <w:tcPr>
            <w:tcW w:w="1244" w:type="dxa"/>
            <w:shd w:val="clear" w:color="auto" w:fill="auto"/>
            <w:hideMark/>
          </w:tcPr>
          <w:p w14:paraId="052577C0" w14:textId="209CEBF6" w:rsidR="00F8599A" w:rsidRDefault="00F8599A" w:rsidP="00F8599A">
            <w:pPr>
              <w:pStyle w:val="DHHStablecolhead"/>
            </w:pPr>
            <w:r w:rsidRPr="009F0C73">
              <w:t>201</w:t>
            </w:r>
            <w:r>
              <w:t>6</w:t>
            </w:r>
            <w:r w:rsidRPr="009F0C73">
              <w:t>–1</w:t>
            </w:r>
            <w:r>
              <w:t>7</w:t>
            </w:r>
          </w:p>
        </w:tc>
        <w:tc>
          <w:tcPr>
            <w:tcW w:w="1198" w:type="dxa"/>
            <w:shd w:val="clear" w:color="auto" w:fill="auto"/>
            <w:hideMark/>
          </w:tcPr>
          <w:p w14:paraId="096FB487" w14:textId="23054ED7" w:rsidR="00F8599A" w:rsidRDefault="00F8599A" w:rsidP="00F8599A">
            <w:pPr>
              <w:pStyle w:val="DHHStablecolhead"/>
            </w:pPr>
            <w:r w:rsidRPr="009F0C73">
              <w:t>201</w:t>
            </w:r>
            <w:r>
              <w:t>7</w:t>
            </w:r>
            <w:r w:rsidRPr="009F0C73">
              <w:t>–1</w:t>
            </w:r>
            <w:r>
              <w:t>8</w:t>
            </w:r>
          </w:p>
        </w:tc>
      </w:tr>
      <w:tr w:rsidR="00F8599A" w14:paraId="2BFC4FAD" w14:textId="77777777" w:rsidTr="00235E13">
        <w:trPr>
          <w:trHeight w:val="335"/>
        </w:trPr>
        <w:tc>
          <w:tcPr>
            <w:tcW w:w="3203" w:type="dxa"/>
            <w:vMerge w:val="restart"/>
            <w:hideMark/>
          </w:tcPr>
          <w:p w14:paraId="08F787FB" w14:textId="35C01983" w:rsidR="00F8599A" w:rsidRPr="008A08FD" w:rsidRDefault="00E66A2D" w:rsidP="00F8599A">
            <w:pPr>
              <w:pStyle w:val="DHHStabletext"/>
            </w:pPr>
            <w:r>
              <w:t xml:space="preserve">Consumers </w:t>
            </w:r>
            <w:r w:rsidR="00F8599A" w:rsidRPr="008A08FD">
              <w:t>accessing clinical mental health services**#</w:t>
            </w:r>
          </w:p>
        </w:tc>
        <w:tc>
          <w:tcPr>
            <w:tcW w:w="3047" w:type="dxa"/>
            <w:hideMark/>
          </w:tcPr>
          <w:p w14:paraId="1B28518C" w14:textId="36538CDA" w:rsidR="00F8599A" w:rsidRPr="00AF2C3F" w:rsidRDefault="00F8599A" w:rsidP="00AF2C3F">
            <w:pPr>
              <w:pStyle w:val="DHHStabletext"/>
            </w:pPr>
            <w:r w:rsidRPr="00AF2C3F">
              <w:t>Adult</w:t>
            </w:r>
          </w:p>
        </w:tc>
        <w:tc>
          <w:tcPr>
            <w:tcW w:w="1244" w:type="dxa"/>
            <w:hideMark/>
          </w:tcPr>
          <w:p w14:paraId="74CD2586" w14:textId="0225B7AB" w:rsidR="00F8599A" w:rsidRPr="00AF2C3F" w:rsidRDefault="00F8599A" w:rsidP="00AF2C3F">
            <w:pPr>
              <w:pStyle w:val="DHHStabletext"/>
            </w:pPr>
            <w:r w:rsidRPr="00AF2C3F">
              <w:t>52,724</w:t>
            </w:r>
          </w:p>
        </w:tc>
        <w:tc>
          <w:tcPr>
            <w:tcW w:w="1244" w:type="dxa"/>
            <w:hideMark/>
          </w:tcPr>
          <w:p w14:paraId="7D257253" w14:textId="36F48DF5" w:rsidR="00F8599A" w:rsidRPr="00AF2C3F" w:rsidRDefault="00F8599A" w:rsidP="00AF2C3F">
            <w:pPr>
              <w:pStyle w:val="DHHStabletext"/>
            </w:pPr>
            <w:r w:rsidRPr="00AF2C3F">
              <w:t>51,788</w:t>
            </w:r>
          </w:p>
        </w:tc>
        <w:tc>
          <w:tcPr>
            <w:tcW w:w="1198" w:type="dxa"/>
            <w:hideMark/>
          </w:tcPr>
          <w:p w14:paraId="209FC2AE" w14:textId="3D456E28" w:rsidR="00F8599A" w:rsidRPr="00AF2C3F" w:rsidRDefault="00F8599A" w:rsidP="00AF2C3F">
            <w:pPr>
              <w:pStyle w:val="DHHStabletext"/>
            </w:pPr>
            <w:r w:rsidRPr="00AF2C3F">
              <w:t>57,501</w:t>
            </w:r>
          </w:p>
        </w:tc>
      </w:tr>
      <w:tr w:rsidR="00F8599A" w14:paraId="6FAA7852" w14:textId="77777777" w:rsidTr="00235E13">
        <w:trPr>
          <w:trHeight w:val="330"/>
        </w:trPr>
        <w:tc>
          <w:tcPr>
            <w:tcW w:w="3203" w:type="dxa"/>
            <w:vMerge/>
            <w:vAlign w:val="center"/>
            <w:hideMark/>
          </w:tcPr>
          <w:p w14:paraId="098957BF" w14:textId="77777777" w:rsidR="00F8599A" w:rsidRPr="008A08FD" w:rsidRDefault="00F8599A" w:rsidP="00F8599A">
            <w:pPr>
              <w:pStyle w:val="DHHStabletext"/>
              <w:rPr>
                <w:rFonts w:eastAsia="Trebuchet MS"/>
              </w:rPr>
            </w:pPr>
          </w:p>
        </w:tc>
        <w:tc>
          <w:tcPr>
            <w:tcW w:w="3047" w:type="dxa"/>
            <w:hideMark/>
          </w:tcPr>
          <w:p w14:paraId="74F80131" w14:textId="2DD0D7C5" w:rsidR="00F8599A" w:rsidRPr="00AF2C3F" w:rsidRDefault="00F8599A" w:rsidP="00AF2C3F">
            <w:pPr>
              <w:pStyle w:val="DHHStabletext"/>
            </w:pPr>
            <w:r w:rsidRPr="00AF2C3F">
              <w:t>Aged</w:t>
            </w:r>
          </w:p>
        </w:tc>
        <w:tc>
          <w:tcPr>
            <w:tcW w:w="1244" w:type="dxa"/>
            <w:hideMark/>
          </w:tcPr>
          <w:p w14:paraId="6952A797" w14:textId="52718EEC" w:rsidR="00F8599A" w:rsidRPr="00AF2C3F" w:rsidRDefault="00F8599A" w:rsidP="00AF2C3F">
            <w:pPr>
              <w:pStyle w:val="DHHStabletext"/>
            </w:pPr>
            <w:r w:rsidRPr="00AF2C3F">
              <w:t>8,066</w:t>
            </w:r>
          </w:p>
        </w:tc>
        <w:tc>
          <w:tcPr>
            <w:tcW w:w="1244" w:type="dxa"/>
            <w:hideMark/>
          </w:tcPr>
          <w:p w14:paraId="22F43030" w14:textId="25C6DDF9" w:rsidR="00F8599A" w:rsidRPr="00AF2C3F" w:rsidRDefault="00F8599A" w:rsidP="00AF2C3F">
            <w:pPr>
              <w:pStyle w:val="DHHStabletext"/>
            </w:pPr>
            <w:r w:rsidRPr="00AF2C3F">
              <w:t>7,374</w:t>
            </w:r>
          </w:p>
        </w:tc>
        <w:tc>
          <w:tcPr>
            <w:tcW w:w="1198" w:type="dxa"/>
            <w:hideMark/>
          </w:tcPr>
          <w:p w14:paraId="0CE95D3C" w14:textId="4B1C44D1" w:rsidR="00F8599A" w:rsidRPr="00AF2C3F" w:rsidRDefault="00F8599A" w:rsidP="00AF2C3F">
            <w:pPr>
              <w:pStyle w:val="DHHStabletext"/>
            </w:pPr>
            <w:r w:rsidRPr="00AF2C3F">
              <w:t>8,279</w:t>
            </w:r>
          </w:p>
        </w:tc>
      </w:tr>
      <w:tr w:rsidR="00F8599A" w14:paraId="68666502" w14:textId="77777777" w:rsidTr="00235E13">
        <w:trPr>
          <w:trHeight w:val="330"/>
        </w:trPr>
        <w:tc>
          <w:tcPr>
            <w:tcW w:w="3203" w:type="dxa"/>
            <w:vMerge/>
            <w:vAlign w:val="center"/>
            <w:hideMark/>
          </w:tcPr>
          <w:p w14:paraId="79D6E476" w14:textId="77777777" w:rsidR="00F8599A" w:rsidRPr="008A08FD" w:rsidRDefault="00F8599A" w:rsidP="00F8599A">
            <w:pPr>
              <w:pStyle w:val="DHHStabletext"/>
              <w:rPr>
                <w:rFonts w:eastAsia="Trebuchet MS"/>
              </w:rPr>
            </w:pPr>
          </w:p>
        </w:tc>
        <w:tc>
          <w:tcPr>
            <w:tcW w:w="3047" w:type="dxa"/>
            <w:hideMark/>
          </w:tcPr>
          <w:p w14:paraId="44077AAD" w14:textId="1C702EB4" w:rsidR="00F8599A" w:rsidRPr="00AF2C3F" w:rsidRDefault="00F8599A" w:rsidP="00AF2C3F">
            <w:pPr>
              <w:pStyle w:val="DHHStabletext"/>
            </w:pPr>
            <w:r w:rsidRPr="00AF2C3F">
              <w:t>CAMHS</w:t>
            </w:r>
          </w:p>
        </w:tc>
        <w:tc>
          <w:tcPr>
            <w:tcW w:w="1244" w:type="dxa"/>
            <w:hideMark/>
          </w:tcPr>
          <w:p w14:paraId="6DFA29C5" w14:textId="5823428A" w:rsidR="00F8599A" w:rsidRPr="00AF2C3F" w:rsidRDefault="00F8599A" w:rsidP="00AF2C3F">
            <w:pPr>
              <w:pStyle w:val="DHHStabletext"/>
            </w:pPr>
            <w:r w:rsidRPr="00AF2C3F">
              <w:t>10,456</w:t>
            </w:r>
          </w:p>
        </w:tc>
        <w:tc>
          <w:tcPr>
            <w:tcW w:w="1244" w:type="dxa"/>
            <w:hideMark/>
          </w:tcPr>
          <w:p w14:paraId="31214C20" w14:textId="699981B7" w:rsidR="00F8599A" w:rsidRPr="00AF2C3F" w:rsidRDefault="00F8599A" w:rsidP="00AF2C3F">
            <w:pPr>
              <w:pStyle w:val="DHHStabletext"/>
            </w:pPr>
            <w:r w:rsidRPr="00AF2C3F">
              <w:t>10,715</w:t>
            </w:r>
          </w:p>
        </w:tc>
        <w:tc>
          <w:tcPr>
            <w:tcW w:w="1198" w:type="dxa"/>
            <w:hideMark/>
          </w:tcPr>
          <w:p w14:paraId="65722E48" w14:textId="70AB0968" w:rsidR="00F8599A" w:rsidRPr="00AF2C3F" w:rsidRDefault="00F8599A" w:rsidP="00AF2C3F">
            <w:pPr>
              <w:pStyle w:val="DHHStabletext"/>
            </w:pPr>
            <w:r w:rsidRPr="00AF2C3F">
              <w:t>11,945</w:t>
            </w:r>
          </w:p>
        </w:tc>
      </w:tr>
      <w:tr w:rsidR="00F8599A" w14:paraId="295658EE" w14:textId="77777777" w:rsidTr="00235E13">
        <w:trPr>
          <w:trHeight w:val="330"/>
        </w:trPr>
        <w:tc>
          <w:tcPr>
            <w:tcW w:w="3203" w:type="dxa"/>
            <w:vMerge/>
            <w:vAlign w:val="center"/>
            <w:hideMark/>
          </w:tcPr>
          <w:p w14:paraId="3B3DEA4C" w14:textId="77777777" w:rsidR="00F8599A" w:rsidRPr="008A08FD" w:rsidRDefault="00F8599A" w:rsidP="00F8599A">
            <w:pPr>
              <w:pStyle w:val="DHHStabletext"/>
              <w:rPr>
                <w:rFonts w:eastAsia="Trebuchet MS"/>
              </w:rPr>
            </w:pPr>
          </w:p>
        </w:tc>
        <w:tc>
          <w:tcPr>
            <w:tcW w:w="3047" w:type="dxa"/>
            <w:hideMark/>
          </w:tcPr>
          <w:p w14:paraId="51524704" w14:textId="2293EA79" w:rsidR="00F8599A" w:rsidRPr="00AF2C3F" w:rsidRDefault="00F8599A" w:rsidP="00AF2C3F">
            <w:pPr>
              <w:pStyle w:val="DHHStabletext"/>
            </w:pPr>
            <w:r w:rsidRPr="00AF2C3F">
              <w:t>Forensic</w:t>
            </w:r>
          </w:p>
        </w:tc>
        <w:tc>
          <w:tcPr>
            <w:tcW w:w="1244" w:type="dxa"/>
            <w:hideMark/>
          </w:tcPr>
          <w:p w14:paraId="5C7B4363" w14:textId="7B127521" w:rsidR="00F8599A" w:rsidRPr="00AF2C3F" w:rsidRDefault="00F8599A" w:rsidP="00AF2C3F">
            <w:pPr>
              <w:pStyle w:val="DHHStabletext"/>
            </w:pPr>
            <w:r w:rsidRPr="00AF2C3F">
              <w:t>700</w:t>
            </w:r>
          </w:p>
        </w:tc>
        <w:tc>
          <w:tcPr>
            <w:tcW w:w="1244" w:type="dxa"/>
            <w:hideMark/>
          </w:tcPr>
          <w:p w14:paraId="7FD50C1F" w14:textId="2489D166" w:rsidR="00F8599A" w:rsidRPr="00AF2C3F" w:rsidRDefault="00F8599A" w:rsidP="00AF2C3F">
            <w:pPr>
              <w:pStyle w:val="DHHStabletext"/>
            </w:pPr>
            <w:r w:rsidRPr="00AF2C3F">
              <w:t>751</w:t>
            </w:r>
          </w:p>
        </w:tc>
        <w:tc>
          <w:tcPr>
            <w:tcW w:w="1198" w:type="dxa"/>
            <w:hideMark/>
          </w:tcPr>
          <w:p w14:paraId="2B3EF554" w14:textId="7CD399F1" w:rsidR="00F8599A" w:rsidRPr="00AF2C3F" w:rsidRDefault="00F8599A" w:rsidP="00AF2C3F">
            <w:pPr>
              <w:pStyle w:val="DHHStabletext"/>
            </w:pPr>
            <w:r w:rsidRPr="00AF2C3F">
              <w:t>873</w:t>
            </w:r>
          </w:p>
        </w:tc>
      </w:tr>
      <w:tr w:rsidR="00F8599A" w14:paraId="2084A7FC" w14:textId="77777777" w:rsidTr="00235E13">
        <w:trPr>
          <w:trHeight w:val="330"/>
        </w:trPr>
        <w:tc>
          <w:tcPr>
            <w:tcW w:w="3203" w:type="dxa"/>
            <w:vMerge/>
            <w:vAlign w:val="center"/>
            <w:hideMark/>
          </w:tcPr>
          <w:p w14:paraId="709E6BE3" w14:textId="77777777" w:rsidR="00F8599A" w:rsidRPr="008A08FD" w:rsidRDefault="00F8599A" w:rsidP="00F8599A">
            <w:pPr>
              <w:pStyle w:val="DHHStabletext"/>
              <w:rPr>
                <w:rFonts w:eastAsia="Trebuchet MS"/>
              </w:rPr>
            </w:pPr>
          </w:p>
        </w:tc>
        <w:tc>
          <w:tcPr>
            <w:tcW w:w="3047" w:type="dxa"/>
            <w:hideMark/>
          </w:tcPr>
          <w:p w14:paraId="089DE3F8" w14:textId="272B0AA7" w:rsidR="00F8599A" w:rsidRPr="00AF2C3F" w:rsidRDefault="00F8599A" w:rsidP="00AF2C3F">
            <w:pPr>
              <w:pStyle w:val="DHHStabletext"/>
            </w:pPr>
            <w:r w:rsidRPr="00AF2C3F">
              <w:t>Specialist</w:t>
            </w:r>
          </w:p>
        </w:tc>
        <w:tc>
          <w:tcPr>
            <w:tcW w:w="1244" w:type="dxa"/>
            <w:hideMark/>
          </w:tcPr>
          <w:p w14:paraId="2C3F685A" w14:textId="120DC0E5" w:rsidR="00F8599A" w:rsidRPr="00AF2C3F" w:rsidRDefault="00F8599A" w:rsidP="00AF2C3F">
            <w:pPr>
              <w:pStyle w:val="DHHStabletext"/>
            </w:pPr>
            <w:r w:rsidRPr="00AF2C3F">
              <w:t>1,783</w:t>
            </w:r>
          </w:p>
        </w:tc>
        <w:tc>
          <w:tcPr>
            <w:tcW w:w="1244" w:type="dxa"/>
            <w:hideMark/>
          </w:tcPr>
          <w:p w14:paraId="17931492" w14:textId="0CB45F63" w:rsidR="00F8599A" w:rsidRPr="00AF2C3F" w:rsidRDefault="00F8599A" w:rsidP="00AF2C3F">
            <w:pPr>
              <w:pStyle w:val="DHHStabletext"/>
            </w:pPr>
            <w:r w:rsidRPr="00AF2C3F">
              <w:t>1,821</w:t>
            </w:r>
          </w:p>
        </w:tc>
        <w:tc>
          <w:tcPr>
            <w:tcW w:w="1198" w:type="dxa"/>
            <w:hideMark/>
          </w:tcPr>
          <w:p w14:paraId="0088F0A5" w14:textId="0FB1B72A" w:rsidR="00F8599A" w:rsidRPr="00AF2C3F" w:rsidRDefault="00F8599A" w:rsidP="00AF2C3F">
            <w:pPr>
              <w:pStyle w:val="DHHStabletext"/>
            </w:pPr>
            <w:r w:rsidRPr="00AF2C3F">
              <w:t>2,184</w:t>
            </w:r>
          </w:p>
        </w:tc>
      </w:tr>
      <w:tr w:rsidR="00F8599A" w14:paraId="0AD9E86B" w14:textId="77777777" w:rsidTr="00235E13">
        <w:trPr>
          <w:trHeight w:val="568"/>
        </w:trPr>
        <w:tc>
          <w:tcPr>
            <w:tcW w:w="3203" w:type="dxa"/>
            <w:vMerge w:val="restart"/>
            <w:hideMark/>
          </w:tcPr>
          <w:p w14:paraId="1C2D3150" w14:textId="77777777" w:rsidR="00F8599A" w:rsidRPr="008A08FD" w:rsidRDefault="00F8599A" w:rsidP="00F8599A">
            <w:pPr>
              <w:pStyle w:val="DHHStabletext"/>
            </w:pPr>
            <w:r w:rsidRPr="008A08FD">
              <w:t>Diagnosis (%)</w:t>
            </w:r>
          </w:p>
        </w:tc>
        <w:tc>
          <w:tcPr>
            <w:tcW w:w="3047" w:type="dxa"/>
            <w:hideMark/>
          </w:tcPr>
          <w:p w14:paraId="29B24F6E" w14:textId="5DAD66E7" w:rsidR="00F8599A" w:rsidRPr="00AF2C3F" w:rsidRDefault="00F8599A" w:rsidP="00AF2C3F">
            <w:pPr>
              <w:pStyle w:val="DHHStabletext"/>
            </w:pPr>
            <w:r w:rsidRPr="00AF2C3F">
              <w:t>Schizophrenia, paranoia &amp;</w:t>
            </w:r>
            <w:r w:rsidR="00AF2C3F" w:rsidRPr="00AF2C3F">
              <w:t xml:space="preserve"> </w:t>
            </w:r>
            <w:r w:rsidRPr="00AF2C3F">
              <w:t>acute psychotic disorders</w:t>
            </w:r>
          </w:p>
        </w:tc>
        <w:tc>
          <w:tcPr>
            <w:tcW w:w="1244" w:type="dxa"/>
            <w:hideMark/>
          </w:tcPr>
          <w:p w14:paraId="389DFD4D" w14:textId="0C1E2D4B" w:rsidR="00F8599A" w:rsidRPr="00AF2C3F" w:rsidRDefault="00F8599A" w:rsidP="00AF2C3F">
            <w:pPr>
              <w:pStyle w:val="DHHStabletext"/>
            </w:pPr>
            <w:r w:rsidRPr="00AF2C3F">
              <w:t>23.9%</w:t>
            </w:r>
          </w:p>
        </w:tc>
        <w:tc>
          <w:tcPr>
            <w:tcW w:w="1244" w:type="dxa"/>
            <w:hideMark/>
          </w:tcPr>
          <w:p w14:paraId="200B3600" w14:textId="61C648F3" w:rsidR="00F8599A" w:rsidRPr="00AF2C3F" w:rsidRDefault="00F8599A" w:rsidP="00AF2C3F">
            <w:pPr>
              <w:pStyle w:val="DHHStabletext"/>
            </w:pPr>
            <w:r w:rsidRPr="00AF2C3F">
              <w:t>24.2%</w:t>
            </w:r>
          </w:p>
        </w:tc>
        <w:tc>
          <w:tcPr>
            <w:tcW w:w="1198" w:type="dxa"/>
            <w:hideMark/>
          </w:tcPr>
          <w:p w14:paraId="692350A6" w14:textId="2FAB611E" w:rsidR="00F8599A" w:rsidRPr="00AF2C3F" w:rsidRDefault="00F8599A" w:rsidP="00AF2C3F">
            <w:pPr>
              <w:pStyle w:val="DHHStabletext"/>
            </w:pPr>
            <w:r w:rsidRPr="00AF2C3F">
              <w:t>23.2%</w:t>
            </w:r>
          </w:p>
        </w:tc>
      </w:tr>
      <w:tr w:rsidR="00F8599A" w14:paraId="6D4E1442" w14:textId="77777777" w:rsidTr="00235E13">
        <w:trPr>
          <w:trHeight w:val="330"/>
        </w:trPr>
        <w:tc>
          <w:tcPr>
            <w:tcW w:w="3203" w:type="dxa"/>
            <w:vMerge/>
            <w:vAlign w:val="center"/>
            <w:hideMark/>
          </w:tcPr>
          <w:p w14:paraId="64B60ADD" w14:textId="77777777" w:rsidR="00F8599A" w:rsidRPr="008A08FD" w:rsidRDefault="00F8599A" w:rsidP="00F8599A">
            <w:pPr>
              <w:pStyle w:val="DHHStabletext"/>
              <w:rPr>
                <w:rFonts w:eastAsia="Trebuchet MS"/>
              </w:rPr>
            </w:pPr>
          </w:p>
        </w:tc>
        <w:tc>
          <w:tcPr>
            <w:tcW w:w="3047" w:type="dxa"/>
            <w:hideMark/>
          </w:tcPr>
          <w:p w14:paraId="36CBB0C1" w14:textId="56170C51" w:rsidR="00F8599A" w:rsidRPr="00AF2C3F" w:rsidRDefault="00F8599A" w:rsidP="00AF2C3F">
            <w:pPr>
              <w:pStyle w:val="DHHStabletext"/>
            </w:pPr>
            <w:r w:rsidRPr="00AF2C3F">
              <w:t>Mood disorders</w:t>
            </w:r>
          </w:p>
        </w:tc>
        <w:tc>
          <w:tcPr>
            <w:tcW w:w="1244" w:type="dxa"/>
            <w:hideMark/>
          </w:tcPr>
          <w:p w14:paraId="3F48A83E" w14:textId="3776E558" w:rsidR="00F8599A" w:rsidRPr="00AF2C3F" w:rsidRDefault="00F8599A" w:rsidP="00AF2C3F">
            <w:pPr>
              <w:pStyle w:val="DHHStabletext"/>
            </w:pPr>
            <w:r w:rsidRPr="00AF2C3F">
              <w:t>20.3%</w:t>
            </w:r>
          </w:p>
        </w:tc>
        <w:tc>
          <w:tcPr>
            <w:tcW w:w="1244" w:type="dxa"/>
            <w:hideMark/>
          </w:tcPr>
          <w:p w14:paraId="616B1AFA" w14:textId="7D064407" w:rsidR="00F8599A" w:rsidRPr="00AF2C3F" w:rsidRDefault="00F8599A" w:rsidP="00AF2C3F">
            <w:pPr>
              <w:pStyle w:val="DHHStabletext"/>
            </w:pPr>
            <w:r w:rsidRPr="00AF2C3F">
              <w:t>20.2%</w:t>
            </w:r>
          </w:p>
        </w:tc>
        <w:tc>
          <w:tcPr>
            <w:tcW w:w="1198" w:type="dxa"/>
            <w:hideMark/>
          </w:tcPr>
          <w:p w14:paraId="64F6DB75" w14:textId="08904F24" w:rsidR="00F8599A" w:rsidRPr="00AF2C3F" w:rsidRDefault="00F8599A" w:rsidP="00AF2C3F">
            <w:pPr>
              <w:pStyle w:val="DHHStabletext"/>
            </w:pPr>
            <w:r w:rsidRPr="00AF2C3F">
              <w:t>19.6%</w:t>
            </w:r>
          </w:p>
        </w:tc>
      </w:tr>
      <w:tr w:rsidR="00F8599A" w14:paraId="4557E7DE" w14:textId="77777777" w:rsidTr="00235E13">
        <w:trPr>
          <w:trHeight w:val="568"/>
        </w:trPr>
        <w:tc>
          <w:tcPr>
            <w:tcW w:w="3203" w:type="dxa"/>
            <w:vMerge/>
            <w:vAlign w:val="center"/>
            <w:hideMark/>
          </w:tcPr>
          <w:p w14:paraId="676C125F" w14:textId="77777777" w:rsidR="00F8599A" w:rsidRPr="008A08FD" w:rsidRDefault="00F8599A" w:rsidP="00F8599A">
            <w:pPr>
              <w:pStyle w:val="DHHStabletext"/>
              <w:rPr>
                <w:rFonts w:eastAsia="Trebuchet MS"/>
              </w:rPr>
            </w:pPr>
          </w:p>
        </w:tc>
        <w:tc>
          <w:tcPr>
            <w:tcW w:w="3047" w:type="dxa"/>
            <w:hideMark/>
          </w:tcPr>
          <w:p w14:paraId="69B1B0CE" w14:textId="556FD20D" w:rsidR="00F8599A" w:rsidRPr="00AF2C3F" w:rsidRDefault="00F8599A" w:rsidP="00AF2C3F">
            <w:pPr>
              <w:pStyle w:val="DHHStabletext"/>
            </w:pPr>
            <w:r w:rsidRPr="00AF2C3F">
              <w:t>Stress &amp; adjustment disorders</w:t>
            </w:r>
          </w:p>
        </w:tc>
        <w:tc>
          <w:tcPr>
            <w:tcW w:w="1244" w:type="dxa"/>
            <w:hideMark/>
          </w:tcPr>
          <w:p w14:paraId="60D8C97E" w14:textId="71A92F1B" w:rsidR="00F8599A" w:rsidRPr="00AF2C3F" w:rsidRDefault="00F8599A" w:rsidP="00AF2C3F">
            <w:pPr>
              <w:pStyle w:val="DHHStabletext"/>
            </w:pPr>
            <w:r w:rsidRPr="00AF2C3F">
              <w:t>8.0%</w:t>
            </w:r>
          </w:p>
        </w:tc>
        <w:tc>
          <w:tcPr>
            <w:tcW w:w="1244" w:type="dxa"/>
            <w:hideMark/>
          </w:tcPr>
          <w:p w14:paraId="77B6CDDF" w14:textId="2A1D3B0D" w:rsidR="00F8599A" w:rsidRPr="00AF2C3F" w:rsidRDefault="00F8599A" w:rsidP="00AF2C3F">
            <w:pPr>
              <w:pStyle w:val="DHHStabletext"/>
            </w:pPr>
            <w:r w:rsidRPr="00AF2C3F">
              <w:t>8.5%</w:t>
            </w:r>
          </w:p>
        </w:tc>
        <w:tc>
          <w:tcPr>
            <w:tcW w:w="1198" w:type="dxa"/>
            <w:hideMark/>
          </w:tcPr>
          <w:p w14:paraId="3B04E1D1" w14:textId="4AA09F42" w:rsidR="00F8599A" w:rsidRPr="00AF2C3F" w:rsidRDefault="00F8599A" w:rsidP="00AF2C3F">
            <w:pPr>
              <w:pStyle w:val="DHHStabletext"/>
            </w:pPr>
            <w:r w:rsidRPr="00AF2C3F">
              <w:t>8.6%</w:t>
            </w:r>
          </w:p>
        </w:tc>
      </w:tr>
      <w:tr w:rsidR="00F8599A" w14:paraId="391ACDBF" w14:textId="77777777" w:rsidTr="00235E13">
        <w:trPr>
          <w:trHeight w:val="330"/>
        </w:trPr>
        <w:tc>
          <w:tcPr>
            <w:tcW w:w="3203" w:type="dxa"/>
            <w:vMerge/>
            <w:vAlign w:val="center"/>
            <w:hideMark/>
          </w:tcPr>
          <w:p w14:paraId="5866FA6D" w14:textId="77777777" w:rsidR="00F8599A" w:rsidRPr="008A08FD" w:rsidRDefault="00F8599A" w:rsidP="00F8599A">
            <w:pPr>
              <w:pStyle w:val="DHHStabletext"/>
              <w:rPr>
                <w:rFonts w:eastAsia="Trebuchet MS"/>
              </w:rPr>
            </w:pPr>
          </w:p>
        </w:tc>
        <w:tc>
          <w:tcPr>
            <w:tcW w:w="3047" w:type="dxa"/>
            <w:hideMark/>
          </w:tcPr>
          <w:p w14:paraId="01A20C15" w14:textId="1F9833A3" w:rsidR="00F8599A" w:rsidRPr="00AF2C3F" w:rsidRDefault="00F8599A" w:rsidP="00AF2C3F">
            <w:pPr>
              <w:pStyle w:val="DHHStabletext"/>
            </w:pPr>
            <w:r w:rsidRPr="00AF2C3F">
              <w:t>Personality disorders</w:t>
            </w:r>
          </w:p>
        </w:tc>
        <w:tc>
          <w:tcPr>
            <w:tcW w:w="1244" w:type="dxa"/>
            <w:hideMark/>
          </w:tcPr>
          <w:p w14:paraId="40B624FF" w14:textId="35512E8A" w:rsidR="00F8599A" w:rsidRPr="00AF2C3F" w:rsidRDefault="00F8599A" w:rsidP="00AF2C3F">
            <w:pPr>
              <w:pStyle w:val="DHHStabletext"/>
            </w:pPr>
            <w:r w:rsidRPr="00AF2C3F">
              <w:t>5.5%</w:t>
            </w:r>
          </w:p>
        </w:tc>
        <w:tc>
          <w:tcPr>
            <w:tcW w:w="1244" w:type="dxa"/>
            <w:hideMark/>
          </w:tcPr>
          <w:p w14:paraId="26B61A4A" w14:textId="0E344A19" w:rsidR="00F8599A" w:rsidRPr="00AF2C3F" w:rsidRDefault="00F8599A" w:rsidP="00AF2C3F">
            <w:pPr>
              <w:pStyle w:val="DHHStabletext"/>
            </w:pPr>
            <w:r w:rsidRPr="00AF2C3F">
              <w:t>6.0%</w:t>
            </w:r>
          </w:p>
        </w:tc>
        <w:tc>
          <w:tcPr>
            <w:tcW w:w="1198" w:type="dxa"/>
            <w:hideMark/>
          </w:tcPr>
          <w:p w14:paraId="331B4B0C" w14:textId="59757B16" w:rsidR="00F8599A" w:rsidRPr="00AF2C3F" w:rsidRDefault="00F8599A" w:rsidP="00AF2C3F">
            <w:pPr>
              <w:pStyle w:val="DHHStabletext"/>
            </w:pPr>
            <w:r w:rsidRPr="00AF2C3F">
              <w:t>6.3%</w:t>
            </w:r>
          </w:p>
        </w:tc>
      </w:tr>
      <w:tr w:rsidR="00F8599A" w14:paraId="54CCE9F4" w14:textId="77777777" w:rsidTr="00235E13">
        <w:trPr>
          <w:trHeight w:val="327"/>
        </w:trPr>
        <w:tc>
          <w:tcPr>
            <w:tcW w:w="3203" w:type="dxa"/>
            <w:vMerge/>
            <w:vAlign w:val="center"/>
            <w:hideMark/>
          </w:tcPr>
          <w:p w14:paraId="5453EFAD" w14:textId="77777777" w:rsidR="00F8599A" w:rsidRPr="008A08FD" w:rsidRDefault="00F8599A" w:rsidP="00F8599A">
            <w:pPr>
              <w:pStyle w:val="DHHStabletext"/>
              <w:rPr>
                <w:rFonts w:eastAsia="Trebuchet MS"/>
              </w:rPr>
            </w:pPr>
          </w:p>
        </w:tc>
        <w:tc>
          <w:tcPr>
            <w:tcW w:w="3047" w:type="dxa"/>
            <w:hideMark/>
          </w:tcPr>
          <w:p w14:paraId="331EB124" w14:textId="12FF47C7" w:rsidR="00F8599A" w:rsidRPr="00AF2C3F" w:rsidRDefault="00F8599A" w:rsidP="00AF2C3F">
            <w:pPr>
              <w:pStyle w:val="DHHStabletext"/>
            </w:pPr>
            <w:r w:rsidRPr="00AF2C3F">
              <w:t>Anxiety disorders</w:t>
            </w:r>
          </w:p>
        </w:tc>
        <w:tc>
          <w:tcPr>
            <w:tcW w:w="1244" w:type="dxa"/>
            <w:hideMark/>
          </w:tcPr>
          <w:p w14:paraId="3B7E7E22" w14:textId="27818138" w:rsidR="00F8599A" w:rsidRPr="00AF2C3F" w:rsidRDefault="00F8599A" w:rsidP="00AF2C3F">
            <w:pPr>
              <w:pStyle w:val="DHHStabletext"/>
            </w:pPr>
            <w:r w:rsidRPr="00AF2C3F">
              <w:t>5.2%</w:t>
            </w:r>
          </w:p>
        </w:tc>
        <w:tc>
          <w:tcPr>
            <w:tcW w:w="1244" w:type="dxa"/>
            <w:hideMark/>
          </w:tcPr>
          <w:p w14:paraId="7EB99FD6" w14:textId="7580D30F" w:rsidR="00F8599A" w:rsidRPr="00AF2C3F" w:rsidRDefault="00F8599A" w:rsidP="00AF2C3F">
            <w:pPr>
              <w:pStyle w:val="DHHStabletext"/>
            </w:pPr>
            <w:r w:rsidRPr="00AF2C3F">
              <w:t>5.3%</w:t>
            </w:r>
          </w:p>
        </w:tc>
        <w:tc>
          <w:tcPr>
            <w:tcW w:w="1198" w:type="dxa"/>
            <w:hideMark/>
          </w:tcPr>
          <w:p w14:paraId="3235CB81" w14:textId="7BEB3DF3" w:rsidR="00F8599A" w:rsidRPr="00AF2C3F" w:rsidRDefault="00F8599A" w:rsidP="00AF2C3F">
            <w:pPr>
              <w:pStyle w:val="DHHStabletext"/>
            </w:pPr>
            <w:r w:rsidRPr="00AF2C3F">
              <w:t>5.6%</w:t>
            </w:r>
          </w:p>
        </w:tc>
      </w:tr>
      <w:tr w:rsidR="00F8599A" w14:paraId="596EF71A" w14:textId="77777777" w:rsidTr="00235E13">
        <w:trPr>
          <w:trHeight w:val="327"/>
        </w:trPr>
        <w:tc>
          <w:tcPr>
            <w:tcW w:w="3203" w:type="dxa"/>
            <w:vMerge/>
            <w:vAlign w:val="center"/>
            <w:hideMark/>
          </w:tcPr>
          <w:p w14:paraId="54382A87" w14:textId="77777777" w:rsidR="00F8599A" w:rsidRPr="008A08FD" w:rsidRDefault="00F8599A" w:rsidP="00F8599A">
            <w:pPr>
              <w:pStyle w:val="DHHStabletext"/>
              <w:rPr>
                <w:rFonts w:eastAsia="Trebuchet MS"/>
              </w:rPr>
            </w:pPr>
          </w:p>
        </w:tc>
        <w:tc>
          <w:tcPr>
            <w:tcW w:w="3047" w:type="dxa"/>
            <w:hideMark/>
          </w:tcPr>
          <w:p w14:paraId="09C464AC" w14:textId="4AEF99D9" w:rsidR="00F8599A" w:rsidRPr="00AF2C3F" w:rsidRDefault="00F8599A" w:rsidP="00AF2C3F">
            <w:pPr>
              <w:pStyle w:val="DHHStabletext"/>
            </w:pPr>
            <w:r w:rsidRPr="00AF2C3F">
              <w:t>Substance abuse disorders</w:t>
            </w:r>
          </w:p>
        </w:tc>
        <w:tc>
          <w:tcPr>
            <w:tcW w:w="1244" w:type="dxa"/>
            <w:hideMark/>
          </w:tcPr>
          <w:p w14:paraId="4E56D5FA" w14:textId="19AC6802" w:rsidR="00F8599A" w:rsidRPr="00AF2C3F" w:rsidRDefault="00F8599A" w:rsidP="00AF2C3F">
            <w:pPr>
              <w:pStyle w:val="DHHStabletext"/>
            </w:pPr>
            <w:r w:rsidRPr="00AF2C3F">
              <w:t>3.5%</w:t>
            </w:r>
          </w:p>
        </w:tc>
        <w:tc>
          <w:tcPr>
            <w:tcW w:w="1244" w:type="dxa"/>
            <w:hideMark/>
          </w:tcPr>
          <w:p w14:paraId="745BBA33" w14:textId="6A517241" w:rsidR="00F8599A" w:rsidRPr="00AF2C3F" w:rsidRDefault="00F8599A" w:rsidP="00AF2C3F">
            <w:pPr>
              <w:pStyle w:val="DHHStabletext"/>
            </w:pPr>
            <w:r w:rsidRPr="00AF2C3F">
              <w:t>3.5%</w:t>
            </w:r>
          </w:p>
        </w:tc>
        <w:tc>
          <w:tcPr>
            <w:tcW w:w="1198" w:type="dxa"/>
            <w:hideMark/>
          </w:tcPr>
          <w:p w14:paraId="7E032352" w14:textId="7701A37D" w:rsidR="00F8599A" w:rsidRPr="00AF2C3F" w:rsidRDefault="00F8599A" w:rsidP="00AF2C3F">
            <w:pPr>
              <w:pStyle w:val="DHHStabletext"/>
            </w:pPr>
            <w:r w:rsidRPr="00AF2C3F">
              <w:t>3.5%</w:t>
            </w:r>
          </w:p>
        </w:tc>
      </w:tr>
      <w:tr w:rsidR="00F8599A" w14:paraId="5621AF91" w14:textId="77777777" w:rsidTr="00235E13">
        <w:trPr>
          <w:trHeight w:val="330"/>
        </w:trPr>
        <w:tc>
          <w:tcPr>
            <w:tcW w:w="3203" w:type="dxa"/>
            <w:vMerge/>
            <w:vAlign w:val="center"/>
            <w:hideMark/>
          </w:tcPr>
          <w:p w14:paraId="110A7318" w14:textId="77777777" w:rsidR="00F8599A" w:rsidRPr="008A08FD" w:rsidRDefault="00F8599A" w:rsidP="00F8599A">
            <w:pPr>
              <w:pStyle w:val="DHHStabletext"/>
              <w:rPr>
                <w:rFonts w:eastAsia="Trebuchet MS"/>
              </w:rPr>
            </w:pPr>
          </w:p>
        </w:tc>
        <w:tc>
          <w:tcPr>
            <w:tcW w:w="3047" w:type="dxa"/>
            <w:hideMark/>
          </w:tcPr>
          <w:p w14:paraId="58EE209B" w14:textId="6D9D27C0" w:rsidR="00F8599A" w:rsidRPr="00AF2C3F" w:rsidRDefault="00F8599A" w:rsidP="00AF2C3F">
            <w:pPr>
              <w:pStyle w:val="DHHStabletext"/>
            </w:pPr>
            <w:r w:rsidRPr="00AF2C3F">
              <w:t>Organic disorders</w:t>
            </w:r>
          </w:p>
        </w:tc>
        <w:tc>
          <w:tcPr>
            <w:tcW w:w="1244" w:type="dxa"/>
            <w:hideMark/>
          </w:tcPr>
          <w:p w14:paraId="4265BFB0" w14:textId="571068E8" w:rsidR="00F8599A" w:rsidRPr="00AF2C3F" w:rsidRDefault="00F8599A" w:rsidP="00AF2C3F">
            <w:pPr>
              <w:pStyle w:val="DHHStabletext"/>
            </w:pPr>
            <w:r w:rsidRPr="00AF2C3F">
              <w:t>3.0%</w:t>
            </w:r>
          </w:p>
        </w:tc>
        <w:tc>
          <w:tcPr>
            <w:tcW w:w="1244" w:type="dxa"/>
            <w:hideMark/>
          </w:tcPr>
          <w:p w14:paraId="5477938F" w14:textId="20CB7EC9" w:rsidR="00F8599A" w:rsidRPr="00AF2C3F" w:rsidRDefault="00F8599A" w:rsidP="00AF2C3F">
            <w:pPr>
              <w:pStyle w:val="DHHStabletext"/>
            </w:pPr>
            <w:r w:rsidRPr="00AF2C3F">
              <w:t>2.7%</w:t>
            </w:r>
          </w:p>
        </w:tc>
        <w:tc>
          <w:tcPr>
            <w:tcW w:w="1198" w:type="dxa"/>
            <w:hideMark/>
          </w:tcPr>
          <w:p w14:paraId="0A64BFE0" w14:textId="545DDE05" w:rsidR="00F8599A" w:rsidRPr="00AF2C3F" w:rsidRDefault="00F8599A" w:rsidP="00AF2C3F">
            <w:pPr>
              <w:pStyle w:val="DHHStabletext"/>
            </w:pPr>
            <w:r w:rsidRPr="00AF2C3F">
              <w:t>2.6%</w:t>
            </w:r>
          </w:p>
        </w:tc>
      </w:tr>
      <w:tr w:rsidR="00F8599A" w14:paraId="57D0AB3D" w14:textId="77777777" w:rsidTr="00235E13">
        <w:trPr>
          <w:trHeight w:val="568"/>
        </w:trPr>
        <w:tc>
          <w:tcPr>
            <w:tcW w:w="3203" w:type="dxa"/>
            <w:vMerge/>
            <w:vAlign w:val="center"/>
            <w:hideMark/>
          </w:tcPr>
          <w:p w14:paraId="65593A8B" w14:textId="77777777" w:rsidR="00F8599A" w:rsidRPr="008A08FD" w:rsidRDefault="00F8599A" w:rsidP="00F8599A">
            <w:pPr>
              <w:pStyle w:val="DHHStabletext"/>
              <w:rPr>
                <w:rFonts w:eastAsia="Trebuchet MS"/>
              </w:rPr>
            </w:pPr>
          </w:p>
        </w:tc>
        <w:tc>
          <w:tcPr>
            <w:tcW w:w="3047" w:type="dxa"/>
            <w:hideMark/>
          </w:tcPr>
          <w:p w14:paraId="345A17BE" w14:textId="36C98401" w:rsidR="00F8599A" w:rsidRPr="00AF2C3F" w:rsidRDefault="00F8599A" w:rsidP="00AF2C3F">
            <w:pPr>
              <w:pStyle w:val="DHHStabletext"/>
            </w:pPr>
            <w:r w:rsidRPr="00AF2C3F">
              <w:t>Disorders of childhood &amp;</w:t>
            </w:r>
            <w:r w:rsidR="00AF2C3F" w:rsidRPr="00AF2C3F">
              <w:t xml:space="preserve"> </w:t>
            </w:r>
            <w:r w:rsidRPr="00AF2C3F">
              <w:t>adolescence</w:t>
            </w:r>
          </w:p>
        </w:tc>
        <w:tc>
          <w:tcPr>
            <w:tcW w:w="1244" w:type="dxa"/>
            <w:hideMark/>
          </w:tcPr>
          <w:p w14:paraId="7F4DB4AD" w14:textId="39FDF448" w:rsidR="00F8599A" w:rsidRPr="00AF2C3F" w:rsidRDefault="00F8599A" w:rsidP="00AF2C3F">
            <w:pPr>
              <w:pStyle w:val="DHHStabletext"/>
            </w:pPr>
            <w:r w:rsidRPr="00AF2C3F">
              <w:t>1.9%</w:t>
            </w:r>
          </w:p>
        </w:tc>
        <w:tc>
          <w:tcPr>
            <w:tcW w:w="1244" w:type="dxa"/>
            <w:hideMark/>
          </w:tcPr>
          <w:p w14:paraId="63195D30" w14:textId="046D2B5E" w:rsidR="00F8599A" w:rsidRPr="00AF2C3F" w:rsidRDefault="00F8599A" w:rsidP="00AF2C3F">
            <w:pPr>
              <w:pStyle w:val="DHHStabletext"/>
            </w:pPr>
            <w:r w:rsidRPr="00AF2C3F">
              <w:t>2.0%</w:t>
            </w:r>
          </w:p>
        </w:tc>
        <w:tc>
          <w:tcPr>
            <w:tcW w:w="1198" w:type="dxa"/>
            <w:hideMark/>
          </w:tcPr>
          <w:p w14:paraId="5F18DC84" w14:textId="14FD95DE" w:rsidR="00F8599A" w:rsidRPr="00AF2C3F" w:rsidRDefault="00F8599A" w:rsidP="00AF2C3F">
            <w:pPr>
              <w:pStyle w:val="DHHStabletext"/>
            </w:pPr>
            <w:r w:rsidRPr="00AF2C3F">
              <w:t>1.9%</w:t>
            </w:r>
          </w:p>
        </w:tc>
      </w:tr>
      <w:tr w:rsidR="00F8599A" w14:paraId="1A562DEC" w14:textId="77777777" w:rsidTr="00235E13">
        <w:trPr>
          <w:trHeight w:val="327"/>
        </w:trPr>
        <w:tc>
          <w:tcPr>
            <w:tcW w:w="3203" w:type="dxa"/>
            <w:vMerge/>
            <w:vAlign w:val="center"/>
            <w:hideMark/>
          </w:tcPr>
          <w:p w14:paraId="7B462397" w14:textId="77777777" w:rsidR="00F8599A" w:rsidRPr="008A08FD" w:rsidRDefault="00F8599A" w:rsidP="00F8599A">
            <w:pPr>
              <w:pStyle w:val="DHHStabletext"/>
              <w:rPr>
                <w:rFonts w:eastAsia="Trebuchet MS"/>
              </w:rPr>
            </w:pPr>
          </w:p>
        </w:tc>
        <w:tc>
          <w:tcPr>
            <w:tcW w:w="3047" w:type="dxa"/>
            <w:hideMark/>
          </w:tcPr>
          <w:p w14:paraId="4CD04F4A" w14:textId="24717571" w:rsidR="00F8599A" w:rsidRPr="00AF2C3F" w:rsidRDefault="00F8599A" w:rsidP="00AF2C3F">
            <w:pPr>
              <w:pStyle w:val="DHHStabletext"/>
            </w:pPr>
            <w:r w:rsidRPr="00AF2C3F">
              <w:t>Disorders of psychological</w:t>
            </w:r>
            <w:r w:rsidR="00AF2C3F" w:rsidRPr="00AF2C3F">
              <w:t xml:space="preserve"> </w:t>
            </w:r>
            <w:r w:rsidRPr="00AF2C3F">
              <w:t>development</w:t>
            </w:r>
          </w:p>
        </w:tc>
        <w:tc>
          <w:tcPr>
            <w:tcW w:w="1244" w:type="dxa"/>
            <w:hideMark/>
          </w:tcPr>
          <w:p w14:paraId="6E7EB866" w14:textId="3E91EC23" w:rsidR="00F8599A" w:rsidRPr="00AF2C3F" w:rsidRDefault="00F8599A" w:rsidP="00AF2C3F">
            <w:pPr>
              <w:pStyle w:val="DHHStabletext"/>
            </w:pPr>
            <w:r w:rsidRPr="00AF2C3F">
              <w:t>1.6%</w:t>
            </w:r>
          </w:p>
        </w:tc>
        <w:tc>
          <w:tcPr>
            <w:tcW w:w="1244" w:type="dxa"/>
            <w:hideMark/>
          </w:tcPr>
          <w:p w14:paraId="0E751E30" w14:textId="10D3B499" w:rsidR="00F8599A" w:rsidRPr="00AF2C3F" w:rsidRDefault="00F8599A" w:rsidP="00AF2C3F">
            <w:pPr>
              <w:pStyle w:val="DHHStabletext"/>
            </w:pPr>
            <w:r w:rsidRPr="00AF2C3F">
              <w:t>1.9%</w:t>
            </w:r>
          </w:p>
        </w:tc>
        <w:tc>
          <w:tcPr>
            <w:tcW w:w="1198" w:type="dxa"/>
            <w:hideMark/>
          </w:tcPr>
          <w:p w14:paraId="3E13D81A" w14:textId="0DD22FD5" w:rsidR="00F8599A" w:rsidRPr="00AF2C3F" w:rsidRDefault="00F8599A" w:rsidP="00AF2C3F">
            <w:pPr>
              <w:pStyle w:val="DHHStabletext"/>
            </w:pPr>
            <w:r w:rsidRPr="00AF2C3F">
              <w:t>1.9%</w:t>
            </w:r>
          </w:p>
        </w:tc>
      </w:tr>
      <w:tr w:rsidR="00F8599A" w14:paraId="503CDDF3" w14:textId="77777777" w:rsidTr="00235E13">
        <w:trPr>
          <w:trHeight w:val="563"/>
        </w:trPr>
        <w:tc>
          <w:tcPr>
            <w:tcW w:w="3203" w:type="dxa"/>
            <w:vMerge/>
            <w:vAlign w:val="center"/>
            <w:hideMark/>
          </w:tcPr>
          <w:p w14:paraId="772C6D5B" w14:textId="77777777" w:rsidR="00F8599A" w:rsidRPr="008A08FD" w:rsidRDefault="00F8599A" w:rsidP="00F8599A">
            <w:pPr>
              <w:pStyle w:val="DHHStabletext"/>
              <w:rPr>
                <w:rFonts w:eastAsia="Trebuchet MS"/>
              </w:rPr>
            </w:pPr>
          </w:p>
        </w:tc>
        <w:tc>
          <w:tcPr>
            <w:tcW w:w="3047" w:type="dxa"/>
            <w:hideMark/>
          </w:tcPr>
          <w:p w14:paraId="15F52EAF" w14:textId="33B8D767" w:rsidR="00F8599A" w:rsidRPr="00AF2C3F" w:rsidRDefault="00F8599A" w:rsidP="00AF2C3F">
            <w:pPr>
              <w:pStyle w:val="DHHStabletext"/>
            </w:pPr>
            <w:r w:rsidRPr="00AF2C3F">
              <w:t>Eating disorders</w:t>
            </w:r>
          </w:p>
        </w:tc>
        <w:tc>
          <w:tcPr>
            <w:tcW w:w="1244" w:type="dxa"/>
            <w:hideMark/>
          </w:tcPr>
          <w:p w14:paraId="7A0CA73E" w14:textId="1F65F3D0" w:rsidR="00F8599A" w:rsidRPr="00AF2C3F" w:rsidRDefault="00F8599A" w:rsidP="00AF2C3F">
            <w:pPr>
              <w:pStyle w:val="DHHStabletext"/>
            </w:pPr>
            <w:r w:rsidRPr="00AF2C3F">
              <w:t>1.5%</w:t>
            </w:r>
          </w:p>
        </w:tc>
        <w:tc>
          <w:tcPr>
            <w:tcW w:w="1244" w:type="dxa"/>
            <w:hideMark/>
          </w:tcPr>
          <w:p w14:paraId="5278F427" w14:textId="35969ECA" w:rsidR="00F8599A" w:rsidRPr="00AF2C3F" w:rsidRDefault="00F8599A" w:rsidP="00AF2C3F">
            <w:pPr>
              <w:pStyle w:val="DHHStabletext"/>
            </w:pPr>
            <w:r w:rsidRPr="00AF2C3F">
              <w:t>1.5%</w:t>
            </w:r>
          </w:p>
        </w:tc>
        <w:tc>
          <w:tcPr>
            <w:tcW w:w="1198" w:type="dxa"/>
            <w:hideMark/>
          </w:tcPr>
          <w:p w14:paraId="053B551D" w14:textId="05B80A9C" w:rsidR="00F8599A" w:rsidRPr="00AF2C3F" w:rsidRDefault="00F8599A" w:rsidP="00AF2C3F">
            <w:pPr>
              <w:pStyle w:val="DHHStabletext"/>
            </w:pPr>
            <w:r w:rsidRPr="00AF2C3F">
              <w:t>1.5%</w:t>
            </w:r>
          </w:p>
        </w:tc>
      </w:tr>
      <w:tr w:rsidR="00F8599A" w14:paraId="659CBE7E" w14:textId="77777777" w:rsidTr="00235E13">
        <w:trPr>
          <w:trHeight w:val="327"/>
        </w:trPr>
        <w:tc>
          <w:tcPr>
            <w:tcW w:w="3203" w:type="dxa"/>
            <w:vMerge/>
            <w:vAlign w:val="center"/>
            <w:hideMark/>
          </w:tcPr>
          <w:p w14:paraId="4A1B97C2" w14:textId="77777777" w:rsidR="00F8599A" w:rsidRPr="008A08FD" w:rsidRDefault="00F8599A" w:rsidP="00F8599A">
            <w:pPr>
              <w:pStyle w:val="DHHStabletext"/>
              <w:rPr>
                <w:rFonts w:eastAsia="Trebuchet MS"/>
              </w:rPr>
            </w:pPr>
          </w:p>
        </w:tc>
        <w:tc>
          <w:tcPr>
            <w:tcW w:w="3047" w:type="dxa"/>
            <w:hideMark/>
          </w:tcPr>
          <w:p w14:paraId="1F99B735" w14:textId="268E8FE4" w:rsidR="00F8599A" w:rsidRPr="00AF2C3F" w:rsidRDefault="00F8599A" w:rsidP="00AF2C3F">
            <w:pPr>
              <w:pStyle w:val="DHHStabletext"/>
            </w:pPr>
            <w:r w:rsidRPr="00AF2C3F">
              <w:t>Other</w:t>
            </w:r>
          </w:p>
        </w:tc>
        <w:tc>
          <w:tcPr>
            <w:tcW w:w="1244" w:type="dxa"/>
            <w:hideMark/>
          </w:tcPr>
          <w:p w14:paraId="67163BE7" w14:textId="28C2216C" w:rsidR="00F8599A" w:rsidRPr="00AF2C3F" w:rsidRDefault="00F8599A" w:rsidP="00AF2C3F">
            <w:pPr>
              <w:pStyle w:val="DHHStabletext"/>
            </w:pPr>
            <w:r w:rsidRPr="00AF2C3F">
              <w:t>1.1%</w:t>
            </w:r>
          </w:p>
        </w:tc>
        <w:tc>
          <w:tcPr>
            <w:tcW w:w="1244" w:type="dxa"/>
            <w:hideMark/>
          </w:tcPr>
          <w:p w14:paraId="5B04E9FA" w14:textId="330617BE" w:rsidR="00F8599A" w:rsidRPr="00AF2C3F" w:rsidRDefault="00F8599A" w:rsidP="00AF2C3F">
            <w:pPr>
              <w:pStyle w:val="DHHStabletext"/>
            </w:pPr>
            <w:r w:rsidRPr="00AF2C3F">
              <w:t>1.1%</w:t>
            </w:r>
          </w:p>
        </w:tc>
        <w:tc>
          <w:tcPr>
            <w:tcW w:w="1198" w:type="dxa"/>
            <w:hideMark/>
          </w:tcPr>
          <w:p w14:paraId="66910C96" w14:textId="526AB11B" w:rsidR="00F8599A" w:rsidRPr="00AF2C3F" w:rsidRDefault="00F8599A" w:rsidP="00AF2C3F">
            <w:pPr>
              <w:pStyle w:val="DHHStabletext"/>
            </w:pPr>
            <w:r w:rsidRPr="00AF2C3F">
              <w:t>1.0%</w:t>
            </w:r>
          </w:p>
        </w:tc>
      </w:tr>
      <w:tr w:rsidR="00F8599A" w14:paraId="2DDA43F1" w14:textId="77777777" w:rsidTr="00235E13">
        <w:trPr>
          <w:trHeight w:val="568"/>
        </w:trPr>
        <w:tc>
          <w:tcPr>
            <w:tcW w:w="3203" w:type="dxa"/>
            <w:vMerge/>
            <w:vAlign w:val="center"/>
            <w:hideMark/>
          </w:tcPr>
          <w:p w14:paraId="4944C61C" w14:textId="77777777" w:rsidR="00F8599A" w:rsidRPr="008A08FD" w:rsidRDefault="00F8599A" w:rsidP="00F8599A">
            <w:pPr>
              <w:pStyle w:val="DHHStabletext"/>
              <w:rPr>
                <w:rFonts w:eastAsia="Trebuchet MS"/>
              </w:rPr>
            </w:pPr>
          </w:p>
        </w:tc>
        <w:tc>
          <w:tcPr>
            <w:tcW w:w="3047" w:type="dxa"/>
            <w:hideMark/>
          </w:tcPr>
          <w:p w14:paraId="7D654B94" w14:textId="0AB6920F" w:rsidR="00F8599A" w:rsidRPr="00AF2C3F" w:rsidRDefault="00F8599A" w:rsidP="00AF2C3F">
            <w:pPr>
              <w:pStyle w:val="DHHStabletext"/>
            </w:pPr>
            <w:r w:rsidRPr="00AF2C3F">
              <w:t>Obsessive compulsive</w:t>
            </w:r>
            <w:r w:rsidR="00AF2C3F" w:rsidRPr="00AF2C3F">
              <w:t xml:space="preserve"> </w:t>
            </w:r>
            <w:r w:rsidRPr="00AF2C3F">
              <w:t>disorders</w:t>
            </w:r>
          </w:p>
        </w:tc>
        <w:tc>
          <w:tcPr>
            <w:tcW w:w="1244" w:type="dxa"/>
            <w:hideMark/>
          </w:tcPr>
          <w:p w14:paraId="321177E9" w14:textId="557E4919" w:rsidR="00F8599A" w:rsidRPr="00AF2C3F" w:rsidRDefault="00F8599A" w:rsidP="00AF2C3F">
            <w:pPr>
              <w:pStyle w:val="DHHStabletext"/>
            </w:pPr>
            <w:r w:rsidRPr="00AF2C3F">
              <w:t>0.5%</w:t>
            </w:r>
          </w:p>
        </w:tc>
        <w:tc>
          <w:tcPr>
            <w:tcW w:w="1244" w:type="dxa"/>
            <w:hideMark/>
          </w:tcPr>
          <w:p w14:paraId="6331E4F5" w14:textId="388C0726" w:rsidR="00F8599A" w:rsidRPr="00AF2C3F" w:rsidRDefault="00F8599A" w:rsidP="00AF2C3F">
            <w:pPr>
              <w:pStyle w:val="DHHStabletext"/>
            </w:pPr>
            <w:r w:rsidRPr="00AF2C3F">
              <w:t>0.5%</w:t>
            </w:r>
          </w:p>
        </w:tc>
        <w:tc>
          <w:tcPr>
            <w:tcW w:w="1198" w:type="dxa"/>
            <w:hideMark/>
          </w:tcPr>
          <w:p w14:paraId="0C297781" w14:textId="32F97A18" w:rsidR="00F8599A" w:rsidRPr="00AF2C3F" w:rsidRDefault="00F8599A" w:rsidP="00AF2C3F">
            <w:pPr>
              <w:pStyle w:val="DHHStabletext"/>
            </w:pPr>
            <w:r w:rsidRPr="00AF2C3F">
              <w:t>0.5%</w:t>
            </w:r>
          </w:p>
        </w:tc>
      </w:tr>
      <w:tr w:rsidR="00F8599A" w14:paraId="25B62CDA" w14:textId="77777777" w:rsidTr="00235E13">
        <w:trPr>
          <w:trHeight w:val="330"/>
        </w:trPr>
        <w:tc>
          <w:tcPr>
            <w:tcW w:w="3203" w:type="dxa"/>
            <w:vMerge/>
            <w:vAlign w:val="center"/>
            <w:hideMark/>
          </w:tcPr>
          <w:p w14:paraId="296D313F" w14:textId="77777777" w:rsidR="00F8599A" w:rsidRPr="008A08FD" w:rsidRDefault="00F8599A" w:rsidP="00F8599A">
            <w:pPr>
              <w:pStyle w:val="DHHStabletext"/>
              <w:rPr>
                <w:rFonts w:eastAsia="Trebuchet MS"/>
              </w:rPr>
            </w:pPr>
          </w:p>
        </w:tc>
        <w:tc>
          <w:tcPr>
            <w:tcW w:w="3047" w:type="dxa"/>
            <w:hideMark/>
          </w:tcPr>
          <w:p w14:paraId="5D06F64E" w14:textId="1C8FECE6" w:rsidR="00F8599A" w:rsidRPr="00AF2C3F" w:rsidRDefault="00F8599A" w:rsidP="00AF2C3F">
            <w:pPr>
              <w:pStyle w:val="DHHStabletext"/>
            </w:pPr>
            <w:r w:rsidRPr="00AF2C3F">
              <w:t>Unknown</w:t>
            </w:r>
          </w:p>
        </w:tc>
        <w:tc>
          <w:tcPr>
            <w:tcW w:w="1244" w:type="dxa"/>
            <w:hideMark/>
          </w:tcPr>
          <w:p w14:paraId="6F2405EB" w14:textId="401F14F0" w:rsidR="00F8599A" w:rsidRPr="00AF2C3F" w:rsidRDefault="00F8599A" w:rsidP="00AF2C3F">
            <w:pPr>
              <w:pStyle w:val="DHHStabletext"/>
            </w:pPr>
            <w:r w:rsidRPr="00AF2C3F">
              <w:t>23.9%</w:t>
            </w:r>
          </w:p>
        </w:tc>
        <w:tc>
          <w:tcPr>
            <w:tcW w:w="1244" w:type="dxa"/>
            <w:hideMark/>
          </w:tcPr>
          <w:p w14:paraId="540404AD" w14:textId="702B8886" w:rsidR="00F8599A" w:rsidRPr="00AF2C3F" w:rsidRDefault="00F8599A" w:rsidP="00AF2C3F">
            <w:pPr>
              <w:pStyle w:val="DHHStabletext"/>
            </w:pPr>
            <w:r w:rsidRPr="00AF2C3F">
              <w:t>22.6%</w:t>
            </w:r>
          </w:p>
        </w:tc>
        <w:tc>
          <w:tcPr>
            <w:tcW w:w="1198" w:type="dxa"/>
            <w:hideMark/>
          </w:tcPr>
          <w:p w14:paraId="393447E0" w14:textId="0B288E37" w:rsidR="00F8599A" w:rsidRPr="00AF2C3F" w:rsidRDefault="00F8599A" w:rsidP="00AF2C3F">
            <w:pPr>
              <w:pStyle w:val="DHHStabletext"/>
            </w:pPr>
            <w:r w:rsidRPr="00AF2C3F">
              <w:t>24.0%</w:t>
            </w:r>
          </w:p>
        </w:tc>
      </w:tr>
      <w:tr w:rsidR="00F8599A" w14:paraId="4C1C304F" w14:textId="77777777" w:rsidTr="00235E13">
        <w:trPr>
          <w:trHeight w:val="327"/>
        </w:trPr>
        <w:tc>
          <w:tcPr>
            <w:tcW w:w="3203" w:type="dxa"/>
            <w:vMerge w:val="restart"/>
            <w:hideMark/>
          </w:tcPr>
          <w:p w14:paraId="58E35DD1" w14:textId="259F8F88" w:rsidR="00F8599A" w:rsidRPr="008A08FD" w:rsidRDefault="00F8599A" w:rsidP="00F8599A">
            <w:pPr>
              <w:pStyle w:val="DHHStabletext"/>
            </w:pPr>
            <w:r w:rsidRPr="008A08FD">
              <w:t xml:space="preserve">Referral source (newly referred </w:t>
            </w:r>
            <w:r w:rsidR="00E66A2D">
              <w:t>consumers</w:t>
            </w:r>
            <w:r w:rsidR="00E66A2D" w:rsidRPr="008A08FD">
              <w:t xml:space="preserve"> </w:t>
            </w:r>
            <w:r w:rsidRPr="008A08FD">
              <w:t>only) (%)</w:t>
            </w:r>
          </w:p>
        </w:tc>
        <w:tc>
          <w:tcPr>
            <w:tcW w:w="3047" w:type="dxa"/>
            <w:hideMark/>
          </w:tcPr>
          <w:p w14:paraId="259304BA" w14:textId="0DFE9E1A" w:rsidR="00F8599A" w:rsidRPr="00AF2C3F" w:rsidRDefault="00F8599A" w:rsidP="00AF2C3F">
            <w:pPr>
              <w:pStyle w:val="DHHStabletext"/>
            </w:pPr>
            <w:r w:rsidRPr="00AF2C3F">
              <w:t>Emergency department</w:t>
            </w:r>
          </w:p>
        </w:tc>
        <w:tc>
          <w:tcPr>
            <w:tcW w:w="1244" w:type="dxa"/>
            <w:hideMark/>
          </w:tcPr>
          <w:p w14:paraId="14291955" w14:textId="40FB4E09" w:rsidR="00F8599A" w:rsidRPr="00AF2C3F" w:rsidRDefault="00F8599A" w:rsidP="00AF2C3F">
            <w:pPr>
              <w:pStyle w:val="DHHStabletext"/>
            </w:pPr>
            <w:r w:rsidRPr="00AF2C3F">
              <w:t>21.1%</w:t>
            </w:r>
          </w:p>
        </w:tc>
        <w:tc>
          <w:tcPr>
            <w:tcW w:w="1244" w:type="dxa"/>
            <w:hideMark/>
          </w:tcPr>
          <w:p w14:paraId="07BD897B" w14:textId="49EE51A3" w:rsidR="00F8599A" w:rsidRPr="00AF2C3F" w:rsidRDefault="00F8599A" w:rsidP="00AF2C3F">
            <w:pPr>
              <w:pStyle w:val="DHHStabletext"/>
            </w:pPr>
            <w:r w:rsidRPr="00AF2C3F">
              <w:t>21.8%</w:t>
            </w:r>
          </w:p>
        </w:tc>
        <w:tc>
          <w:tcPr>
            <w:tcW w:w="1198" w:type="dxa"/>
            <w:hideMark/>
          </w:tcPr>
          <w:p w14:paraId="0D4FDE9F" w14:textId="6EBD7B5B" w:rsidR="00F8599A" w:rsidRPr="00AF2C3F" w:rsidRDefault="00F8599A" w:rsidP="00AF2C3F">
            <w:pPr>
              <w:pStyle w:val="DHHStabletext"/>
            </w:pPr>
            <w:r w:rsidRPr="00AF2C3F">
              <w:t>24.3%</w:t>
            </w:r>
          </w:p>
        </w:tc>
      </w:tr>
      <w:tr w:rsidR="00F8599A" w14:paraId="5B18DE22" w14:textId="77777777" w:rsidTr="00235E13">
        <w:trPr>
          <w:trHeight w:val="325"/>
        </w:trPr>
        <w:tc>
          <w:tcPr>
            <w:tcW w:w="3203" w:type="dxa"/>
            <w:vMerge/>
            <w:vAlign w:val="center"/>
            <w:hideMark/>
          </w:tcPr>
          <w:p w14:paraId="70762987" w14:textId="77777777" w:rsidR="00F8599A" w:rsidRPr="008A08FD" w:rsidRDefault="00F8599A" w:rsidP="00F8599A">
            <w:pPr>
              <w:pStyle w:val="DHHStabletext"/>
              <w:rPr>
                <w:rFonts w:eastAsia="Trebuchet MS"/>
              </w:rPr>
            </w:pPr>
          </w:p>
        </w:tc>
        <w:tc>
          <w:tcPr>
            <w:tcW w:w="3047" w:type="dxa"/>
            <w:hideMark/>
          </w:tcPr>
          <w:p w14:paraId="0024104A" w14:textId="02D2AE5E" w:rsidR="00F8599A" w:rsidRPr="00AF2C3F" w:rsidRDefault="00F8599A" w:rsidP="00AF2C3F">
            <w:pPr>
              <w:pStyle w:val="DHHStabletext"/>
            </w:pPr>
            <w:r w:rsidRPr="00AF2C3F">
              <w:t>Acute health</w:t>
            </w:r>
          </w:p>
        </w:tc>
        <w:tc>
          <w:tcPr>
            <w:tcW w:w="1244" w:type="dxa"/>
            <w:hideMark/>
          </w:tcPr>
          <w:p w14:paraId="02919E42" w14:textId="01DB6BB3" w:rsidR="00F8599A" w:rsidRPr="00AF2C3F" w:rsidRDefault="00F8599A" w:rsidP="00AF2C3F">
            <w:pPr>
              <w:pStyle w:val="DHHStabletext"/>
            </w:pPr>
            <w:r w:rsidRPr="00AF2C3F">
              <w:t>20.6%</w:t>
            </w:r>
          </w:p>
        </w:tc>
        <w:tc>
          <w:tcPr>
            <w:tcW w:w="1244" w:type="dxa"/>
            <w:hideMark/>
          </w:tcPr>
          <w:p w14:paraId="2771065F" w14:textId="1EB436E5" w:rsidR="00F8599A" w:rsidRPr="00AF2C3F" w:rsidRDefault="00F8599A" w:rsidP="00AF2C3F">
            <w:pPr>
              <w:pStyle w:val="DHHStabletext"/>
            </w:pPr>
            <w:r w:rsidRPr="00AF2C3F">
              <w:t>21.7%</w:t>
            </w:r>
          </w:p>
        </w:tc>
        <w:tc>
          <w:tcPr>
            <w:tcW w:w="1198" w:type="dxa"/>
            <w:hideMark/>
          </w:tcPr>
          <w:p w14:paraId="360E3BCC" w14:textId="677A086E" w:rsidR="00F8599A" w:rsidRPr="00AF2C3F" w:rsidRDefault="00F8599A" w:rsidP="00AF2C3F">
            <w:pPr>
              <w:pStyle w:val="DHHStabletext"/>
            </w:pPr>
            <w:r w:rsidRPr="00AF2C3F">
              <w:t>21.3%</w:t>
            </w:r>
          </w:p>
        </w:tc>
      </w:tr>
      <w:tr w:rsidR="00F8599A" w14:paraId="72267F08" w14:textId="77777777" w:rsidTr="00235E13">
        <w:trPr>
          <w:trHeight w:val="325"/>
        </w:trPr>
        <w:tc>
          <w:tcPr>
            <w:tcW w:w="3203" w:type="dxa"/>
            <w:vMerge/>
            <w:vAlign w:val="center"/>
            <w:hideMark/>
          </w:tcPr>
          <w:p w14:paraId="640E986A" w14:textId="77777777" w:rsidR="00F8599A" w:rsidRPr="008A08FD" w:rsidRDefault="00F8599A" w:rsidP="00F8599A">
            <w:pPr>
              <w:pStyle w:val="DHHStabletext"/>
              <w:rPr>
                <w:rFonts w:eastAsia="Trebuchet MS"/>
              </w:rPr>
            </w:pPr>
          </w:p>
        </w:tc>
        <w:tc>
          <w:tcPr>
            <w:tcW w:w="3047" w:type="dxa"/>
            <w:hideMark/>
          </w:tcPr>
          <w:p w14:paraId="1EFA0116" w14:textId="1F493D38" w:rsidR="00F8599A" w:rsidRPr="00AF2C3F" w:rsidRDefault="00F8599A" w:rsidP="00AF2C3F">
            <w:pPr>
              <w:pStyle w:val="DHHStabletext"/>
            </w:pPr>
            <w:r w:rsidRPr="00AF2C3F">
              <w:t>General practitioner</w:t>
            </w:r>
          </w:p>
        </w:tc>
        <w:tc>
          <w:tcPr>
            <w:tcW w:w="1244" w:type="dxa"/>
            <w:hideMark/>
          </w:tcPr>
          <w:p w14:paraId="78087604" w14:textId="38D7E951" w:rsidR="00F8599A" w:rsidRPr="00AF2C3F" w:rsidRDefault="00F8599A" w:rsidP="00AF2C3F">
            <w:pPr>
              <w:pStyle w:val="DHHStabletext"/>
            </w:pPr>
            <w:r w:rsidRPr="00AF2C3F">
              <w:t>12.6%</w:t>
            </w:r>
          </w:p>
        </w:tc>
        <w:tc>
          <w:tcPr>
            <w:tcW w:w="1244" w:type="dxa"/>
            <w:hideMark/>
          </w:tcPr>
          <w:p w14:paraId="77A46D2A" w14:textId="051C20B8" w:rsidR="00F8599A" w:rsidRPr="00AF2C3F" w:rsidRDefault="00F8599A" w:rsidP="00AF2C3F">
            <w:pPr>
              <w:pStyle w:val="DHHStabletext"/>
            </w:pPr>
            <w:r w:rsidRPr="00AF2C3F">
              <w:t>11.7%</w:t>
            </w:r>
          </w:p>
        </w:tc>
        <w:tc>
          <w:tcPr>
            <w:tcW w:w="1198" w:type="dxa"/>
            <w:hideMark/>
          </w:tcPr>
          <w:p w14:paraId="79FCCBE1" w14:textId="1AD37DF4" w:rsidR="00F8599A" w:rsidRPr="00AF2C3F" w:rsidRDefault="00F8599A" w:rsidP="00AF2C3F">
            <w:pPr>
              <w:pStyle w:val="DHHStabletext"/>
            </w:pPr>
            <w:r w:rsidRPr="00AF2C3F">
              <w:t>11.6%</w:t>
            </w:r>
          </w:p>
        </w:tc>
      </w:tr>
      <w:tr w:rsidR="00F8599A" w14:paraId="2535A0BD" w14:textId="77777777" w:rsidTr="00235E13">
        <w:trPr>
          <w:trHeight w:val="325"/>
        </w:trPr>
        <w:tc>
          <w:tcPr>
            <w:tcW w:w="3203" w:type="dxa"/>
            <w:vMerge/>
            <w:vAlign w:val="center"/>
            <w:hideMark/>
          </w:tcPr>
          <w:p w14:paraId="49E43F55" w14:textId="77777777" w:rsidR="00F8599A" w:rsidRPr="008A08FD" w:rsidRDefault="00F8599A" w:rsidP="00F8599A">
            <w:pPr>
              <w:pStyle w:val="DHHStabletext"/>
              <w:rPr>
                <w:rFonts w:eastAsia="Trebuchet MS"/>
              </w:rPr>
            </w:pPr>
          </w:p>
        </w:tc>
        <w:tc>
          <w:tcPr>
            <w:tcW w:w="3047" w:type="dxa"/>
            <w:hideMark/>
          </w:tcPr>
          <w:p w14:paraId="545E693C" w14:textId="44DAAD3F" w:rsidR="00F8599A" w:rsidRPr="00AF2C3F" w:rsidRDefault="00F8599A" w:rsidP="00AF2C3F">
            <w:pPr>
              <w:pStyle w:val="DHHStabletext"/>
            </w:pPr>
            <w:r w:rsidRPr="00AF2C3F">
              <w:t>Family</w:t>
            </w:r>
          </w:p>
        </w:tc>
        <w:tc>
          <w:tcPr>
            <w:tcW w:w="1244" w:type="dxa"/>
            <w:hideMark/>
          </w:tcPr>
          <w:p w14:paraId="44F7F5F8" w14:textId="5851A997" w:rsidR="00F8599A" w:rsidRPr="00AF2C3F" w:rsidRDefault="00F8599A" w:rsidP="00AF2C3F">
            <w:pPr>
              <w:pStyle w:val="DHHStabletext"/>
            </w:pPr>
            <w:r w:rsidRPr="00AF2C3F">
              <w:t>7.9%</w:t>
            </w:r>
          </w:p>
        </w:tc>
        <w:tc>
          <w:tcPr>
            <w:tcW w:w="1244" w:type="dxa"/>
            <w:hideMark/>
          </w:tcPr>
          <w:p w14:paraId="77A3F665" w14:textId="77147E49" w:rsidR="00F8599A" w:rsidRPr="00AF2C3F" w:rsidRDefault="00F8599A" w:rsidP="00AF2C3F">
            <w:pPr>
              <w:pStyle w:val="DHHStabletext"/>
            </w:pPr>
            <w:r w:rsidRPr="00AF2C3F">
              <w:t>7.9%</w:t>
            </w:r>
          </w:p>
        </w:tc>
        <w:tc>
          <w:tcPr>
            <w:tcW w:w="1198" w:type="dxa"/>
            <w:hideMark/>
          </w:tcPr>
          <w:p w14:paraId="68306F95" w14:textId="21E29107" w:rsidR="00F8599A" w:rsidRPr="00AF2C3F" w:rsidRDefault="00F8599A" w:rsidP="00AF2C3F">
            <w:pPr>
              <w:pStyle w:val="DHHStabletext"/>
            </w:pPr>
            <w:r w:rsidRPr="00AF2C3F">
              <w:t>7.2%</w:t>
            </w:r>
          </w:p>
        </w:tc>
      </w:tr>
      <w:tr w:rsidR="00F8599A" w14:paraId="420C61F4" w14:textId="77777777" w:rsidTr="00235E13">
        <w:trPr>
          <w:trHeight w:val="325"/>
        </w:trPr>
        <w:tc>
          <w:tcPr>
            <w:tcW w:w="3203" w:type="dxa"/>
            <w:vMerge/>
            <w:vAlign w:val="center"/>
            <w:hideMark/>
          </w:tcPr>
          <w:p w14:paraId="156444EF" w14:textId="77777777" w:rsidR="00F8599A" w:rsidRPr="008A08FD" w:rsidRDefault="00F8599A" w:rsidP="00F8599A">
            <w:pPr>
              <w:pStyle w:val="DHHStabletext"/>
              <w:rPr>
                <w:rFonts w:eastAsia="Trebuchet MS"/>
              </w:rPr>
            </w:pPr>
          </w:p>
        </w:tc>
        <w:tc>
          <w:tcPr>
            <w:tcW w:w="3047" w:type="dxa"/>
            <w:hideMark/>
          </w:tcPr>
          <w:p w14:paraId="42B5493C" w14:textId="0CD59871" w:rsidR="00F8599A" w:rsidRPr="00AF2C3F" w:rsidRDefault="00F8599A" w:rsidP="00AF2C3F">
            <w:pPr>
              <w:pStyle w:val="DHHStabletext"/>
            </w:pPr>
            <w:r w:rsidRPr="00AF2C3F">
              <w:t>Community health services</w:t>
            </w:r>
          </w:p>
        </w:tc>
        <w:tc>
          <w:tcPr>
            <w:tcW w:w="1244" w:type="dxa"/>
            <w:hideMark/>
          </w:tcPr>
          <w:p w14:paraId="3FC7566B" w14:textId="0A41832C" w:rsidR="00F8599A" w:rsidRPr="00AF2C3F" w:rsidRDefault="00F8599A" w:rsidP="00AF2C3F">
            <w:pPr>
              <w:pStyle w:val="DHHStabletext"/>
            </w:pPr>
            <w:r w:rsidRPr="00AF2C3F">
              <w:t>4.8%</w:t>
            </w:r>
          </w:p>
        </w:tc>
        <w:tc>
          <w:tcPr>
            <w:tcW w:w="1244" w:type="dxa"/>
            <w:hideMark/>
          </w:tcPr>
          <w:p w14:paraId="5D4B159F" w14:textId="770A934B" w:rsidR="00F8599A" w:rsidRPr="00AF2C3F" w:rsidRDefault="00F8599A" w:rsidP="00AF2C3F">
            <w:pPr>
              <w:pStyle w:val="DHHStabletext"/>
            </w:pPr>
            <w:r w:rsidRPr="00AF2C3F">
              <w:t>4.7%</w:t>
            </w:r>
          </w:p>
        </w:tc>
        <w:tc>
          <w:tcPr>
            <w:tcW w:w="1198" w:type="dxa"/>
            <w:hideMark/>
          </w:tcPr>
          <w:p w14:paraId="24894AEE" w14:textId="7EA66355" w:rsidR="00F8599A" w:rsidRPr="00AF2C3F" w:rsidRDefault="00F8599A" w:rsidP="00AF2C3F">
            <w:pPr>
              <w:pStyle w:val="DHHStabletext"/>
            </w:pPr>
            <w:r w:rsidRPr="00AF2C3F">
              <w:t>4.8%</w:t>
            </w:r>
          </w:p>
        </w:tc>
      </w:tr>
      <w:tr w:rsidR="00F8599A" w14:paraId="54C71CC0" w14:textId="77777777" w:rsidTr="00235E13">
        <w:trPr>
          <w:trHeight w:val="325"/>
        </w:trPr>
        <w:tc>
          <w:tcPr>
            <w:tcW w:w="3203" w:type="dxa"/>
            <w:vMerge/>
            <w:vAlign w:val="center"/>
            <w:hideMark/>
          </w:tcPr>
          <w:p w14:paraId="7016B125" w14:textId="77777777" w:rsidR="00F8599A" w:rsidRPr="008A08FD" w:rsidRDefault="00F8599A" w:rsidP="00F8599A">
            <w:pPr>
              <w:pStyle w:val="DHHStabletext"/>
              <w:rPr>
                <w:rFonts w:eastAsia="Trebuchet MS"/>
              </w:rPr>
            </w:pPr>
          </w:p>
        </w:tc>
        <w:tc>
          <w:tcPr>
            <w:tcW w:w="3047" w:type="dxa"/>
            <w:hideMark/>
          </w:tcPr>
          <w:p w14:paraId="3196BAAC" w14:textId="685530D7" w:rsidR="00F8599A" w:rsidRPr="00AF2C3F" w:rsidRDefault="00F8599A" w:rsidP="00AF2C3F">
            <w:pPr>
              <w:pStyle w:val="DHHStabletext"/>
            </w:pPr>
            <w:r w:rsidRPr="00AF2C3F">
              <w:t>Consumer/self</w:t>
            </w:r>
          </w:p>
        </w:tc>
        <w:tc>
          <w:tcPr>
            <w:tcW w:w="1244" w:type="dxa"/>
            <w:hideMark/>
          </w:tcPr>
          <w:p w14:paraId="7E84376A" w14:textId="502B903E" w:rsidR="00F8599A" w:rsidRPr="00AF2C3F" w:rsidRDefault="00F8599A" w:rsidP="00AF2C3F">
            <w:pPr>
              <w:pStyle w:val="DHHStabletext"/>
            </w:pPr>
            <w:r w:rsidRPr="00AF2C3F">
              <w:t>4.6%</w:t>
            </w:r>
          </w:p>
        </w:tc>
        <w:tc>
          <w:tcPr>
            <w:tcW w:w="1244" w:type="dxa"/>
            <w:hideMark/>
          </w:tcPr>
          <w:p w14:paraId="314EE308" w14:textId="46528D59" w:rsidR="00F8599A" w:rsidRPr="00AF2C3F" w:rsidRDefault="00F8599A" w:rsidP="00AF2C3F">
            <w:pPr>
              <w:pStyle w:val="DHHStabletext"/>
            </w:pPr>
            <w:r w:rsidRPr="00AF2C3F">
              <w:t>4.6%</w:t>
            </w:r>
          </w:p>
        </w:tc>
        <w:tc>
          <w:tcPr>
            <w:tcW w:w="1198" w:type="dxa"/>
            <w:hideMark/>
          </w:tcPr>
          <w:p w14:paraId="3A6877C2" w14:textId="2FFD0D0D" w:rsidR="00F8599A" w:rsidRPr="00AF2C3F" w:rsidRDefault="00F8599A" w:rsidP="00AF2C3F">
            <w:pPr>
              <w:pStyle w:val="DHHStabletext"/>
            </w:pPr>
            <w:r w:rsidRPr="00AF2C3F">
              <w:t>4.6%</w:t>
            </w:r>
          </w:p>
        </w:tc>
      </w:tr>
      <w:tr w:rsidR="00F8599A" w14:paraId="71E49931" w14:textId="77777777" w:rsidTr="00235E13">
        <w:trPr>
          <w:trHeight w:val="325"/>
        </w:trPr>
        <w:tc>
          <w:tcPr>
            <w:tcW w:w="3203" w:type="dxa"/>
            <w:vMerge/>
            <w:vAlign w:val="center"/>
            <w:hideMark/>
          </w:tcPr>
          <w:p w14:paraId="75A6D254" w14:textId="77777777" w:rsidR="00F8599A" w:rsidRPr="008A08FD" w:rsidRDefault="00F8599A" w:rsidP="00F8599A">
            <w:pPr>
              <w:pStyle w:val="DHHStabletext"/>
              <w:rPr>
                <w:rFonts w:eastAsia="Trebuchet MS"/>
              </w:rPr>
            </w:pPr>
          </w:p>
        </w:tc>
        <w:tc>
          <w:tcPr>
            <w:tcW w:w="3047" w:type="dxa"/>
            <w:hideMark/>
          </w:tcPr>
          <w:p w14:paraId="1BDFE5E4" w14:textId="50A909CF" w:rsidR="00F8599A" w:rsidRPr="00AF2C3F" w:rsidRDefault="00F8599A" w:rsidP="00AF2C3F">
            <w:pPr>
              <w:pStyle w:val="DHHStabletext"/>
            </w:pPr>
            <w:r w:rsidRPr="00AF2C3F">
              <w:t>Police</w:t>
            </w:r>
          </w:p>
        </w:tc>
        <w:tc>
          <w:tcPr>
            <w:tcW w:w="1244" w:type="dxa"/>
            <w:hideMark/>
          </w:tcPr>
          <w:p w14:paraId="77831B97" w14:textId="55A337B9" w:rsidR="00F8599A" w:rsidRPr="00AF2C3F" w:rsidRDefault="00F8599A" w:rsidP="00AF2C3F">
            <w:pPr>
              <w:pStyle w:val="DHHStabletext"/>
            </w:pPr>
            <w:r w:rsidRPr="00AF2C3F">
              <w:t>4.0%</w:t>
            </w:r>
          </w:p>
        </w:tc>
        <w:tc>
          <w:tcPr>
            <w:tcW w:w="1244" w:type="dxa"/>
            <w:hideMark/>
          </w:tcPr>
          <w:p w14:paraId="7BC65FCC" w14:textId="487584F5" w:rsidR="00F8599A" w:rsidRPr="00AF2C3F" w:rsidRDefault="00F8599A" w:rsidP="00AF2C3F">
            <w:pPr>
              <w:pStyle w:val="DHHStabletext"/>
            </w:pPr>
            <w:r w:rsidRPr="00AF2C3F">
              <w:t>3.6%</w:t>
            </w:r>
          </w:p>
        </w:tc>
        <w:tc>
          <w:tcPr>
            <w:tcW w:w="1198" w:type="dxa"/>
            <w:hideMark/>
          </w:tcPr>
          <w:p w14:paraId="0455FD57" w14:textId="79A62B61" w:rsidR="00F8599A" w:rsidRPr="00AF2C3F" w:rsidRDefault="00F8599A" w:rsidP="00AF2C3F">
            <w:pPr>
              <w:pStyle w:val="DHHStabletext"/>
            </w:pPr>
            <w:r w:rsidRPr="00AF2C3F">
              <w:t>3.7%</w:t>
            </w:r>
          </w:p>
        </w:tc>
      </w:tr>
      <w:tr w:rsidR="00F8599A" w14:paraId="7251E477" w14:textId="77777777" w:rsidTr="00235E13">
        <w:trPr>
          <w:trHeight w:val="325"/>
        </w:trPr>
        <w:tc>
          <w:tcPr>
            <w:tcW w:w="3203" w:type="dxa"/>
            <w:vMerge/>
            <w:vAlign w:val="center"/>
            <w:hideMark/>
          </w:tcPr>
          <w:p w14:paraId="69D5DB8B" w14:textId="77777777" w:rsidR="00F8599A" w:rsidRPr="008A08FD" w:rsidRDefault="00F8599A" w:rsidP="00F8599A">
            <w:pPr>
              <w:pStyle w:val="DHHStabletext"/>
              <w:rPr>
                <w:rFonts w:eastAsia="Trebuchet MS"/>
              </w:rPr>
            </w:pPr>
          </w:p>
        </w:tc>
        <w:tc>
          <w:tcPr>
            <w:tcW w:w="3047" w:type="dxa"/>
            <w:hideMark/>
          </w:tcPr>
          <w:p w14:paraId="4C544F51" w14:textId="50B1088A" w:rsidR="00F8599A" w:rsidRPr="00AF2C3F" w:rsidRDefault="00F8599A" w:rsidP="00AF2C3F">
            <w:pPr>
              <w:pStyle w:val="DHHStabletext"/>
            </w:pPr>
            <w:r w:rsidRPr="00AF2C3F">
              <w:t>Others and unknown</w:t>
            </w:r>
          </w:p>
        </w:tc>
        <w:tc>
          <w:tcPr>
            <w:tcW w:w="1244" w:type="dxa"/>
            <w:hideMark/>
          </w:tcPr>
          <w:p w14:paraId="5973BEE0" w14:textId="761237F9" w:rsidR="00F8599A" w:rsidRPr="00AF2C3F" w:rsidRDefault="00F8599A" w:rsidP="00AF2C3F">
            <w:pPr>
              <w:pStyle w:val="DHHStabletext"/>
            </w:pPr>
            <w:r w:rsidRPr="00AF2C3F">
              <w:t>24.3%</w:t>
            </w:r>
          </w:p>
        </w:tc>
        <w:tc>
          <w:tcPr>
            <w:tcW w:w="1244" w:type="dxa"/>
            <w:hideMark/>
          </w:tcPr>
          <w:p w14:paraId="486E7928" w14:textId="207B0F14" w:rsidR="00F8599A" w:rsidRPr="00AF2C3F" w:rsidRDefault="00F8599A" w:rsidP="00AF2C3F">
            <w:pPr>
              <w:pStyle w:val="DHHStabletext"/>
            </w:pPr>
            <w:r w:rsidRPr="00AF2C3F">
              <w:t>24.0%</w:t>
            </w:r>
          </w:p>
        </w:tc>
        <w:tc>
          <w:tcPr>
            <w:tcW w:w="1198" w:type="dxa"/>
            <w:hideMark/>
          </w:tcPr>
          <w:p w14:paraId="512ACEF1" w14:textId="54C62479" w:rsidR="00F8599A" w:rsidRPr="00AF2C3F" w:rsidRDefault="00F8599A" w:rsidP="00AF2C3F">
            <w:pPr>
              <w:pStyle w:val="DHHStabletext"/>
            </w:pPr>
            <w:r w:rsidRPr="00AF2C3F">
              <w:t>22.4%</w:t>
            </w:r>
          </w:p>
        </w:tc>
      </w:tr>
      <w:tr w:rsidR="00F8599A" w14:paraId="7F11507B" w14:textId="77777777" w:rsidTr="00235E13">
        <w:trPr>
          <w:trHeight w:val="671"/>
        </w:trPr>
        <w:tc>
          <w:tcPr>
            <w:tcW w:w="3203" w:type="dxa"/>
            <w:hideMark/>
          </w:tcPr>
          <w:p w14:paraId="4AB69F2B" w14:textId="75521F2F" w:rsidR="00F8599A" w:rsidRPr="008A08FD" w:rsidRDefault="00F8599A" w:rsidP="00F8599A">
            <w:pPr>
              <w:pStyle w:val="DHHStabletext"/>
            </w:pPr>
            <w:r w:rsidRPr="008A08FD">
              <w:t xml:space="preserve">New </w:t>
            </w:r>
            <w:r w:rsidR="00E66A2D">
              <w:t>consumers</w:t>
            </w:r>
            <w:r w:rsidR="00E66A2D" w:rsidRPr="008A08FD">
              <w:t xml:space="preserve"> </w:t>
            </w:r>
            <w:r w:rsidRPr="008A08FD">
              <w:t>accessing services (no access in prior 5 years) (%)</w:t>
            </w:r>
          </w:p>
        </w:tc>
        <w:tc>
          <w:tcPr>
            <w:tcW w:w="3047" w:type="dxa"/>
          </w:tcPr>
          <w:p w14:paraId="6B7E9CBF" w14:textId="77777777" w:rsidR="00F8599A" w:rsidRPr="00AF2C3F" w:rsidRDefault="00F8599A" w:rsidP="00AF2C3F">
            <w:pPr>
              <w:pStyle w:val="DHHStabletext"/>
            </w:pPr>
            <w:r w:rsidRPr="00AF2C3F">
              <w:t>Total</w:t>
            </w:r>
          </w:p>
        </w:tc>
        <w:tc>
          <w:tcPr>
            <w:tcW w:w="1244" w:type="dxa"/>
          </w:tcPr>
          <w:p w14:paraId="6585AA3F" w14:textId="190DF2E3" w:rsidR="00F8599A" w:rsidRPr="00AF2C3F" w:rsidRDefault="00AF2C3F" w:rsidP="00AF2C3F">
            <w:pPr>
              <w:pStyle w:val="DHHStabletext"/>
            </w:pPr>
            <w:r>
              <w:t xml:space="preserve"> </w:t>
            </w:r>
            <w:r w:rsidR="00F8599A" w:rsidRPr="00AF2C3F">
              <w:t>35.7%</w:t>
            </w:r>
          </w:p>
        </w:tc>
        <w:tc>
          <w:tcPr>
            <w:tcW w:w="1244" w:type="dxa"/>
          </w:tcPr>
          <w:p w14:paraId="7CF9BE7F" w14:textId="3EFCEE58" w:rsidR="00F8599A" w:rsidRPr="00AF2C3F" w:rsidRDefault="00F8599A" w:rsidP="00AF2C3F">
            <w:pPr>
              <w:pStyle w:val="DHHStabletext"/>
            </w:pPr>
            <w:r w:rsidRPr="00AF2C3F">
              <w:t>36.6%</w:t>
            </w:r>
          </w:p>
        </w:tc>
        <w:tc>
          <w:tcPr>
            <w:tcW w:w="1198" w:type="dxa"/>
          </w:tcPr>
          <w:p w14:paraId="78CD826C" w14:textId="32522DD4" w:rsidR="00F8599A" w:rsidRPr="00AF2C3F" w:rsidRDefault="00F8599A" w:rsidP="00AF2C3F">
            <w:pPr>
              <w:pStyle w:val="DHHStabletext"/>
            </w:pPr>
            <w:r w:rsidRPr="00AF2C3F">
              <w:t>36.8%</w:t>
            </w:r>
          </w:p>
        </w:tc>
      </w:tr>
      <w:tr w:rsidR="00F8599A" w14:paraId="0EA6917B" w14:textId="77777777" w:rsidTr="00235E13">
        <w:trPr>
          <w:trHeight w:val="674"/>
        </w:trPr>
        <w:tc>
          <w:tcPr>
            <w:tcW w:w="3203" w:type="dxa"/>
            <w:hideMark/>
          </w:tcPr>
          <w:p w14:paraId="56498A93" w14:textId="4FEE41F2" w:rsidR="00F8599A" w:rsidRPr="008A08FD" w:rsidRDefault="00E66A2D" w:rsidP="00F8599A">
            <w:pPr>
              <w:pStyle w:val="DHHStabletext"/>
            </w:pPr>
            <w:r>
              <w:t>Consumers</w:t>
            </w:r>
            <w:r w:rsidRPr="008A08FD">
              <w:t xml:space="preserve"> </w:t>
            </w:r>
            <w:r w:rsidR="00F8599A" w:rsidRPr="008A08FD">
              <w:t xml:space="preserve">accessing services </w:t>
            </w:r>
            <w:r>
              <w:t>during each of the previous</w:t>
            </w:r>
            <w:r w:rsidRPr="008A08FD">
              <w:t xml:space="preserve"> </w:t>
            </w:r>
            <w:r>
              <w:t>five</w:t>
            </w:r>
            <w:r w:rsidR="00F8599A" w:rsidRPr="008A08FD">
              <w:t xml:space="preserve"> years (%)</w:t>
            </w:r>
          </w:p>
        </w:tc>
        <w:tc>
          <w:tcPr>
            <w:tcW w:w="3047" w:type="dxa"/>
          </w:tcPr>
          <w:p w14:paraId="257F2AEC" w14:textId="77777777" w:rsidR="00F8599A" w:rsidRPr="00AF2C3F" w:rsidRDefault="00F8599A" w:rsidP="00AF2C3F">
            <w:pPr>
              <w:pStyle w:val="DHHStabletext"/>
            </w:pPr>
            <w:r w:rsidRPr="00AF2C3F">
              <w:t>Total</w:t>
            </w:r>
          </w:p>
        </w:tc>
        <w:tc>
          <w:tcPr>
            <w:tcW w:w="1244" w:type="dxa"/>
          </w:tcPr>
          <w:p w14:paraId="4791C8CA" w14:textId="139457F8" w:rsidR="00F8599A" w:rsidRPr="00AF2C3F" w:rsidRDefault="00F8599A" w:rsidP="00AF2C3F">
            <w:pPr>
              <w:pStyle w:val="DHHStabletext"/>
            </w:pPr>
            <w:r w:rsidRPr="00AF2C3F">
              <w:t>14.3%</w:t>
            </w:r>
          </w:p>
        </w:tc>
        <w:tc>
          <w:tcPr>
            <w:tcW w:w="1244" w:type="dxa"/>
          </w:tcPr>
          <w:p w14:paraId="6913376A" w14:textId="561F6A2C" w:rsidR="00F8599A" w:rsidRPr="00AF2C3F" w:rsidRDefault="00F8599A" w:rsidP="00AF2C3F">
            <w:pPr>
              <w:pStyle w:val="DHHStabletext"/>
            </w:pPr>
            <w:r w:rsidRPr="00AF2C3F">
              <w:t>14.1%</w:t>
            </w:r>
          </w:p>
        </w:tc>
        <w:tc>
          <w:tcPr>
            <w:tcW w:w="1198" w:type="dxa"/>
          </w:tcPr>
          <w:p w14:paraId="72E9CE91" w14:textId="2B8322C8" w:rsidR="00F8599A" w:rsidRPr="00AF2C3F" w:rsidRDefault="00F8599A" w:rsidP="00AF2C3F">
            <w:pPr>
              <w:pStyle w:val="DHHStabletext"/>
            </w:pPr>
            <w:r w:rsidRPr="00AF2C3F">
              <w:t>13.5%</w:t>
            </w:r>
          </w:p>
        </w:tc>
      </w:tr>
    </w:tbl>
    <w:p w14:paraId="607ECF88" w14:textId="77777777" w:rsidR="008A08FD" w:rsidRDefault="008A08FD" w:rsidP="00985332">
      <w:pPr>
        <w:pStyle w:val="DHHSbody"/>
      </w:pPr>
    </w:p>
    <w:tbl>
      <w:tblPr>
        <w:tblW w:w="9879"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664"/>
        <w:gridCol w:w="3529"/>
        <w:gridCol w:w="1244"/>
        <w:gridCol w:w="1244"/>
        <w:gridCol w:w="1198"/>
      </w:tblGrid>
      <w:tr w:rsidR="00F8599A" w14:paraId="572A7D72" w14:textId="77777777" w:rsidTr="00235E13">
        <w:trPr>
          <w:trHeight w:val="623"/>
          <w:tblHeader/>
        </w:trPr>
        <w:tc>
          <w:tcPr>
            <w:tcW w:w="2664" w:type="dxa"/>
            <w:shd w:val="clear" w:color="auto" w:fill="auto"/>
            <w:hideMark/>
          </w:tcPr>
          <w:p w14:paraId="778E288A" w14:textId="2224A7CE" w:rsidR="00F8599A" w:rsidRPr="00DF7F88" w:rsidRDefault="00F8599A" w:rsidP="00F8599A">
            <w:pPr>
              <w:pStyle w:val="DHHStablecolhead"/>
            </w:pPr>
            <w:r w:rsidRPr="00DF7F88">
              <w:lastRenderedPageBreak/>
              <w:t>Service activity</w:t>
            </w:r>
            <w:r>
              <w:t xml:space="preserve"> </w:t>
            </w:r>
            <w:r w:rsidRPr="00DF7F88">
              <w:t>– bed-based</w:t>
            </w:r>
          </w:p>
        </w:tc>
        <w:tc>
          <w:tcPr>
            <w:tcW w:w="3529" w:type="dxa"/>
            <w:shd w:val="clear" w:color="auto" w:fill="auto"/>
          </w:tcPr>
          <w:p w14:paraId="21BF4270" w14:textId="77777777" w:rsidR="00F8599A" w:rsidRPr="00DF7F88" w:rsidRDefault="00F8599A" w:rsidP="00F8599A">
            <w:pPr>
              <w:pStyle w:val="DHHStablecolhead"/>
            </w:pPr>
            <w:r w:rsidRPr="00DF7F88">
              <w:t>Setting</w:t>
            </w:r>
          </w:p>
        </w:tc>
        <w:tc>
          <w:tcPr>
            <w:tcW w:w="1244" w:type="dxa"/>
            <w:shd w:val="clear" w:color="auto" w:fill="auto"/>
          </w:tcPr>
          <w:p w14:paraId="487FFF20" w14:textId="09488F0E" w:rsidR="00F8599A" w:rsidRPr="00DF7F88" w:rsidRDefault="00F8599A" w:rsidP="00F8599A">
            <w:pPr>
              <w:pStyle w:val="DHHStablecolhead"/>
            </w:pPr>
            <w:r w:rsidRPr="009F0C73">
              <w:t>2015–16</w:t>
            </w:r>
          </w:p>
        </w:tc>
        <w:tc>
          <w:tcPr>
            <w:tcW w:w="1244" w:type="dxa"/>
            <w:shd w:val="clear" w:color="auto" w:fill="auto"/>
          </w:tcPr>
          <w:p w14:paraId="3B29B604" w14:textId="2FD417C9" w:rsidR="00F8599A" w:rsidRPr="00DF7F88" w:rsidRDefault="00F8599A" w:rsidP="00F8599A">
            <w:pPr>
              <w:pStyle w:val="DHHStablecolhead"/>
            </w:pPr>
            <w:r w:rsidRPr="009F0C73">
              <w:t>201</w:t>
            </w:r>
            <w:r>
              <w:t>6</w:t>
            </w:r>
            <w:r w:rsidRPr="009F0C73">
              <w:t>–1</w:t>
            </w:r>
            <w:r>
              <w:t>7</w:t>
            </w:r>
          </w:p>
        </w:tc>
        <w:tc>
          <w:tcPr>
            <w:tcW w:w="1198" w:type="dxa"/>
            <w:shd w:val="clear" w:color="auto" w:fill="auto"/>
          </w:tcPr>
          <w:p w14:paraId="769542A4" w14:textId="24632462" w:rsidR="00F8599A" w:rsidRDefault="00F8599A" w:rsidP="00F8599A">
            <w:pPr>
              <w:pStyle w:val="DHHStablecolhead"/>
              <w:rPr>
                <w:rFonts w:ascii="Trebuchet MS"/>
              </w:rPr>
            </w:pPr>
            <w:r w:rsidRPr="009F0C73">
              <w:t>201</w:t>
            </w:r>
            <w:r>
              <w:t>7</w:t>
            </w:r>
            <w:r w:rsidRPr="009F0C73">
              <w:t>–1</w:t>
            </w:r>
            <w:r>
              <w:t>8</w:t>
            </w:r>
          </w:p>
        </w:tc>
      </w:tr>
      <w:tr w:rsidR="00F8599A" w14:paraId="32166BE7" w14:textId="77777777" w:rsidTr="00235E13">
        <w:trPr>
          <w:trHeight w:val="335"/>
        </w:trPr>
        <w:tc>
          <w:tcPr>
            <w:tcW w:w="2664" w:type="dxa"/>
            <w:vMerge w:val="restart"/>
            <w:hideMark/>
          </w:tcPr>
          <w:p w14:paraId="141B5F99" w14:textId="77777777" w:rsidR="00F8599A" w:rsidRPr="008A08FD" w:rsidRDefault="00F8599A" w:rsidP="00F8599A">
            <w:pPr>
              <w:pStyle w:val="DHHStabletext"/>
            </w:pPr>
            <w:r w:rsidRPr="008A08FD">
              <w:t>Total number of separations (excluding same days)</w:t>
            </w:r>
          </w:p>
        </w:tc>
        <w:tc>
          <w:tcPr>
            <w:tcW w:w="3529" w:type="dxa"/>
            <w:hideMark/>
          </w:tcPr>
          <w:p w14:paraId="792F3A9C" w14:textId="7BB1D9B1" w:rsidR="00F8599A" w:rsidRPr="00AF2C3F" w:rsidRDefault="00F8599A" w:rsidP="00AF2C3F">
            <w:pPr>
              <w:pStyle w:val="DHHStabletext"/>
            </w:pPr>
            <w:r w:rsidRPr="00AF2C3F">
              <w:t>Admitted – Acute</w:t>
            </w:r>
          </w:p>
        </w:tc>
        <w:tc>
          <w:tcPr>
            <w:tcW w:w="1244" w:type="dxa"/>
            <w:hideMark/>
          </w:tcPr>
          <w:p w14:paraId="23E85E32" w14:textId="057AA743" w:rsidR="00F8599A" w:rsidRPr="00AF2C3F" w:rsidRDefault="00F8599A" w:rsidP="00AF2C3F">
            <w:pPr>
              <w:pStyle w:val="DHHStabletext"/>
            </w:pPr>
            <w:r w:rsidRPr="00AF2C3F">
              <w:t>23,664</w:t>
            </w:r>
          </w:p>
        </w:tc>
        <w:tc>
          <w:tcPr>
            <w:tcW w:w="1244" w:type="dxa"/>
            <w:hideMark/>
          </w:tcPr>
          <w:p w14:paraId="247270D1" w14:textId="47373E89" w:rsidR="00F8599A" w:rsidRPr="00AF2C3F" w:rsidRDefault="00F8599A" w:rsidP="00AF2C3F">
            <w:pPr>
              <w:pStyle w:val="DHHStabletext"/>
            </w:pPr>
            <w:r w:rsidRPr="00AF2C3F">
              <w:t>24,334</w:t>
            </w:r>
          </w:p>
        </w:tc>
        <w:tc>
          <w:tcPr>
            <w:tcW w:w="1198" w:type="dxa"/>
            <w:hideMark/>
          </w:tcPr>
          <w:p w14:paraId="555ED4CC" w14:textId="609C3429" w:rsidR="00F8599A" w:rsidRPr="00AF2C3F" w:rsidRDefault="00F8599A" w:rsidP="00AF2C3F">
            <w:pPr>
              <w:pStyle w:val="DHHStabletext"/>
            </w:pPr>
            <w:r w:rsidRPr="00AF2C3F">
              <w:t>26,098</w:t>
            </w:r>
          </w:p>
        </w:tc>
      </w:tr>
      <w:tr w:rsidR="00F8599A" w14:paraId="21D7DEA3" w14:textId="77777777" w:rsidTr="00235E13">
        <w:trPr>
          <w:trHeight w:val="330"/>
        </w:trPr>
        <w:tc>
          <w:tcPr>
            <w:tcW w:w="2664" w:type="dxa"/>
            <w:vMerge/>
            <w:vAlign w:val="center"/>
            <w:hideMark/>
          </w:tcPr>
          <w:p w14:paraId="213655EF" w14:textId="77777777" w:rsidR="00F8599A" w:rsidRPr="008A08FD" w:rsidRDefault="00F8599A" w:rsidP="00F8599A">
            <w:pPr>
              <w:pStyle w:val="DHHStabletext"/>
              <w:rPr>
                <w:rFonts w:eastAsia="Trebuchet MS"/>
              </w:rPr>
            </w:pPr>
          </w:p>
        </w:tc>
        <w:tc>
          <w:tcPr>
            <w:tcW w:w="3529" w:type="dxa"/>
            <w:hideMark/>
          </w:tcPr>
          <w:p w14:paraId="3C8B8392" w14:textId="2A3DC9EB" w:rsidR="00F8599A" w:rsidRPr="00AF2C3F" w:rsidRDefault="00F8599A" w:rsidP="00AF2C3F">
            <w:pPr>
              <w:pStyle w:val="DHHStabletext"/>
            </w:pPr>
            <w:r w:rsidRPr="00AF2C3F">
              <w:t>Admitted – Non Acute</w:t>
            </w:r>
          </w:p>
        </w:tc>
        <w:tc>
          <w:tcPr>
            <w:tcW w:w="1244" w:type="dxa"/>
            <w:hideMark/>
          </w:tcPr>
          <w:p w14:paraId="4F435865" w14:textId="3DDFE00B" w:rsidR="00F8599A" w:rsidRPr="00AF2C3F" w:rsidRDefault="00F8599A" w:rsidP="00AF2C3F">
            <w:pPr>
              <w:pStyle w:val="DHHStabletext"/>
            </w:pPr>
            <w:r w:rsidRPr="00AF2C3F">
              <w:t>230</w:t>
            </w:r>
          </w:p>
        </w:tc>
        <w:tc>
          <w:tcPr>
            <w:tcW w:w="1244" w:type="dxa"/>
            <w:hideMark/>
          </w:tcPr>
          <w:p w14:paraId="65A30B28" w14:textId="141B7EC9" w:rsidR="00F8599A" w:rsidRPr="00AF2C3F" w:rsidRDefault="00F8599A" w:rsidP="00AF2C3F">
            <w:pPr>
              <w:pStyle w:val="DHHStabletext"/>
            </w:pPr>
            <w:r w:rsidRPr="00AF2C3F">
              <w:t>219</w:t>
            </w:r>
          </w:p>
        </w:tc>
        <w:tc>
          <w:tcPr>
            <w:tcW w:w="1198" w:type="dxa"/>
            <w:hideMark/>
          </w:tcPr>
          <w:p w14:paraId="3AEFF006" w14:textId="703346BE" w:rsidR="00F8599A" w:rsidRPr="00AF2C3F" w:rsidRDefault="00F8599A" w:rsidP="00AF2C3F">
            <w:pPr>
              <w:pStyle w:val="DHHStabletext"/>
            </w:pPr>
            <w:r w:rsidRPr="00AF2C3F">
              <w:t>222</w:t>
            </w:r>
          </w:p>
        </w:tc>
      </w:tr>
      <w:tr w:rsidR="00F8599A" w14:paraId="1404B51B" w14:textId="77777777" w:rsidTr="00235E13">
        <w:trPr>
          <w:trHeight w:val="330"/>
        </w:trPr>
        <w:tc>
          <w:tcPr>
            <w:tcW w:w="2664" w:type="dxa"/>
            <w:vMerge/>
            <w:vAlign w:val="center"/>
            <w:hideMark/>
          </w:tcPr>
          <w:p w14:paraId="7184DF7D" w14:textId="77777777" w:rsidR="00F8599A" w:rsidRPr="008A08FD" w:rsidRDefault="00F8599A" w:rsidP="00F8599A">
            <w:pPr>
              <w:pStyle w:val="DHHStabletext"/>
              <w:rPr>
                <w:rFonts w:eastAsia="Trebuchet MS"/>
              </w:rPr>
            </w:pPr>
          </w:p>
        </w:tc>
        <w:tc>
          <w:tcPr>
            <w:tcW w:w="3529" w:type="dxa"/>
            <w:hideMark/>
          </w:tcPr>
          <w:p w14:paraId="117EBB2B" w14:textId="5A8C0339" w:rsidR="00F8599A" w:rsidRPr="00AF2C3F" w:rsidRDefault="00F8599A" w:rsidP="00AF2C3F">
            <w:pPr>
              <w:pStyle w:val="DHHStabletext"/>
            </w:pPr>
            <w:r w:rsidRPr="00AF2C3F">
              <w:t>Non Admitted – Residential</w:t>
            </w:r>
          </w:p>
        </w:tc>
        <w:tc>
          <w:tcPr>
            <w:tcW w:w="1244" w:type="dxa"/>
            <w:hideMark/>
          </w:tcPr>
          <w:p w14:paraId="45DF24BB" w14:textId="498EA18C" w:rsidR="00F8599A" w:rsidRPr="00AF2C3F" w:rsidRDefault="00F8599A" w:rsidP="00AF2C3F">
            <w:pPr>
              <w:pStyle w:val="DHHStabletext"/>
            </w:pPr>
            <w:r w:rsidRPr="00AF2C3F">
              <w:t>240</w:t>
            </w:r>
          </w:p>
        </w:tc>
        <w:tc>
          <w:tcPr>
            <w:tcW w:w="1244" w:type="dxa"/>
            <w:hideMark/>
          </w:tcPr>
          <w:p w14:paraId="1C90F80C" w14:textId="29920864" w:rsidR="00F8599A" w:rsidRPr="00AF2C3F" w:rsidRDefault="00F8599A" w:rsidP="00AF2C3F">
            <w:pPr>
              <w:pStyle w:val="DHHStabletext"/>
            </w:pPr>
            <w:r w:rsidRPr="00AF2C3F">
              <w:t>238</w:t>
            </w:r>
          </w:p>
        </w:tc>
        <w:tc>
          <w:tcPr>
            <w:tcW w:w="1198" w:type="dxa"/>
            <w:hideMark/>
          </w:tcPr>
          <w:p w14:paraId="00889D3C" w14:textId="7D3FFA6F" w:rsidR="00F8599A" w:rsidRPr="00AF2C3F" w:rsidRDefault="00F8599A" w:rsidP="00AF2C3F">
            <w:pPr>
              <w:pStyle w:val="DHHStabletext"/>
            </w:pPr>
            <w:r w:rsidRPr="00AF2C3F">
              <w:t>244</w:t>
            </w:r>
          </w:p>
        </w:tc>
      </w:tr>
      <w:tr w:rsidR="00F8599A" w14:paraId="52D801A1" w14:textId="77777777" w:rsidTr="00235E13">
        <w:trPr>
          <w:trHeight w:val="330"/>
        </w:trPr>
        <w:tc>
          <w:tcPr>
            <w:tcW w:w="2664" w:type="dxa"/>
            <w:vMerge/>
            <w:vAlign w:val="center"/>
            <w:hideMark/>
          </w:tcPr>
          <w:p w14:paraId="13A48A07" w14:textId="77777777" w:rsidR="00F8599A" w:rsidRPr="008A08FD" w:rsidRDefault="00F8599A" w:rsidP="00F8599A">
            <w:pPr>
              <w:pStyle w:val="DHHStabletext"/>
              <w:rPr>
                <w:rFonts w:eastAsia="Trebuchet MS"/>
              </w:rPr>
            </w:pPr>
          </w:p>
        </w:tc>
        <w:tc>
          <w:tcPr>
            <w:tcW w:w="3529" w:type="dxa"/>
            <w:hideMark/>
          </w:tcPr>
          <w:p w14:paraId="2A4FFCE2" w14:textId="52FE2EDB" w:rsidR="00F8599A" w:rsidRPr="00AF2C3F" w:rsidRDefault="00F8599A" w:rsidP="00AF2C3F">
            <w:pPr>
              <w:pStyle w:val="DHHStabletext"/>
            </w:pPr>
            <w:r w:rsidRPr="00AF2C3F">
              <w:t>Non Admitted – Sub Acute (CCU)</w:t>
            </w:r>
          </w:p>
        </w:tc>
        <w:tc>
          <w:tcPr>
            <w:tcW w:w="1244" w:type="dxa"/>
            <w:hideMark/>
          </w:tcPr>
          <w:p w14:paraId="59A52D20" w14:textId="72A47D76" w:rsidR="00F8599A" w:rsidRPr="00AF2C3F" w:rsidRDefault="00F8599A" w:rsidP="00AF2C3F">
            <w:pPr>
              <w:pStyle w:val="DHHStabletext"/>
            </w:pPr>
            <w:r w:rsidRPr="00AF2C3F">
              <w:t>675</w:t>
            </w:r>
          </w:p>
        </w:tc>
        <w:tc>
          <w:tcPr>
            <w:tcW w:w="1244" w:type="dxa"/>
            <w:hideMark/>
          </w:tcPr>
          <w:p w14:paraId="30C0FD9B" w14:textId="37E0B042" w:rsidR="00F8599A" w:rsidRPr="00AF2C3F" w:rsidRDefault="00F8599A" w:rsidP="00AF2C3F">
            <w:pPr>
              <w:pStyle w:val="DHHStabletext"/>
            </w:pPr>
            <w:r w:rsidRPr="00AF2C3F">
              <w:t>682</w:t>
            </w:r>
          </w:p>
        </w:tc>
        <w:tc>
          <w:tcPr>
            <w:tcW w:w="1198" w:type="dxa"/>
            <w:hideMark/>
          </w:tcPr>
          <w:p w14:paraId="76CDDE59" w14:textId="61C33485" w:rsidR="00F8599A" w:rsidRPr="00AF2C3F" w:rsidRDefault="00F8599A" w:rsidP="00AF2C3F">
            <w:pPr>
              <w:pStyle w:val="DHHStabletext"/>
            </w:pPr>
            <w:r w:rsidRPr="00AF2C3F">
              <w:t>649</w:t>
            </w:r>
          </w:p>
        </w:tc>
      </w:tr>
      <w:tr w:rsidR="00F8599A" w14:paraId="19304F09" w14:textId="77777777" w:rsidTr="00235E13">
        <w:trPr>
          <w:trHeight w:val="330"/>
        </w:trPr>
        <w:tc>
          <w:tcPr>
            <w:tcW w:w="2664" w:type="dxa"/>
            <w:vMerge/>
            <w:vAlign w:val="center"/>
            <w:hideMark/>
          </w:tcPr>
          <w:p w14:paraId="43C35CB9" w14:textId="77777777" w:rsidR="00F8599A" w:rsidRPr="008A08FD" w:rsidRDefault="00F8599A" w:rsidP="00F8599A">
            <w:pPr>
              <w:pStyle w:val="DHHStabletext"/>
              <w:rPr>
                <w:rFonts w:eastAsia="Trebuchet MS"/>
              </w:rPr>
            </w:pPr>
          </w:p>
        </w:tc>
        <w:tc>
          <w:tcPr>
            <w:tcW w:w="3529" w:type="dxa"/>
            <w:hideMark/>
          </w:tcPr>
          <w:p w14:paraId="38C8F9E0" w14:textId="6843B934" w:rsidR="00F8599A" w:rsidRPr="00AF2C3F" w:rsidRDefault="00F8599A" w:rsidP="00AF2C3F">
            <w:pPr>
              <w:pStyle w:val="DHHStabletext"/>
            </w:pPr>
            <w:r w:rsidRPr="00AF2C3F">
              <w:t>Non Admitted – Sub Acute (PARC)</w:t>
            </w:r>
          </w:p>
        </w:tc>
        <w:tc>
          <w:tcPr>
            <w:tcW w:w="1244" w:type="dxa"/>
            <w:hideMark/>
          </w:tcPr>
          <w:p w14:paraId="1126E9F5" w14:textId="0446F32D" w:rsidR="00F8599A" w:rsidRPr="00AF2C3F" w:rsidRDefault="00F8599A" w:rsidP="00AF2C3F">
            <w:pPr>
              <w:pStyle w:val="DHHStabletext"/>
            </w:pPr>
            <w:r w:rsidRPr="00AF2C3F">
              <w:t>3,257</w:t>
            </w:r>
          </w:p>
        </w:tc>
        <w:tc>
          <w:tcPr>
            <w:tcW w:w="1244" w:type="dxa"/>
            <w:hideMark/>
          </w:tcPr>
          <w:p w14:paraId="1CEA1ED8" w14:textId="5BE801CD" w:rsidR="00F8599A" w:rsidRPr="00AF2C3F" w:rsidRDefault="00F8599A" w:rsidP="00AF2C3F">
            <w:pPr>
              <w:pStyle w:val="DHHStabletext"/>
            </w:pPr>
            <w:r w:rsidRPr="00AF2C3F">
              <w:t>3,404</w:t>
            </w:r>
          </w:p>
        </w:tc>
        <w:tc>
          <w:tcPr>
            <w:tcW w:w="1198" w:type="dxa"/>
            <w:hideMark/>
          </w:tcPr>
          <w:p w14:paraId="5CADF8D8" w14:textId="235BF7C7" w:rsidR="00F8599A" w:rsidRPr="00AF2C3F" w:rsidRDefault="00F8599A" w:rsidP="00AF2C3F">
            <w:pPr>
              <w:pStyle w:val="DHHStabletext"/>
            </w:pPr>
            <w:r w:rsidRPr="00AF2C3F">
              <w:t>3,433</w:t>
            </w:r>
          </w:p>
        </w:tc>
      </w:tr>
      <w:tr w:rsidR="00F8599A" w14:paraId="51BBB739" w14:textId="77777777" w:rsidTr="00235E13">
        <w:trPr>
          <w:trHeight w:val="330"/>
        </w:trPr>
        <w:tc>
          <w:tcPr>
            <w:tcW w:w="2664" w:type="dxa"/>
            <w:vMerge/>
            <w:vAlign w:val="center"/>
            <w:hideMark/>
          </w:tcPr>
          <w:p w14:paraId="6D54DA91" w14:textId="77777777" w:rsidR="00F8599A" w:rsidRPr="008A08FD" w:rsidRDefault="00F8599A" w:rsidP="00F8599A">
            <w:pPr>
              <w:pStyle w:val="DHHStabletext"/>
              <w:rPr>
                <w:rFonts w:eastAsia="Trebuchet MS"/>
              </w:rPr>
            </w:pPr>
          </w:p>
        </w:tc>
        <w:tc>
          <w:tcPr>
            <w:tcW w:w="3529" w:type="dxa"/>
            <w:shd w:val="clear" w:color="auto" w:fill="DCDDDE"/>
            <w:hideMark/>
          </w:tcPr>
          <w:p w14:paraId="6B51E5C2" w14:textId="77777777" w:rsidR="00F8599A" w:rsidRPr="00AF2C3F" w:rsidRDefault="00F8599A" w:rsidP="00AF2C3F">
            <w:pPr>
              <w:pStyle w:val="DHHStabletext"/>
            </w:pPr>
            <w:r w:rsidRPr="00AF2C3F">
              <w:t>Total</w:t>
            </w:r>
          </w:p>
        </w:tc>
        <w:tc>
          <w:tcPr>
            <w:tcW w:w="1244" w:type="dxa"/>
            <w:shd w:val="clear" w:color="auto" w:fill="DCDDDE"/>
            <w:hideMark/>
          </w:tcPr>
          <w:p w14:paraId="3FE831B2" w14:textId="3F0C67A6" w:rsidR="00F8599A" w:rsidRPr="00AF2C3F" w:rsidRDefault="00F8599A" w:rsidP="00AF2C3F">
            <w:pPr>
              <w:pStyle w:val="DHHStabletext"/>
            </w:pPr>
            <w:r w:rsidRPr="00AF2C3F">
              <w:t>28,066</w:t>
            </w:r>
          </w:p>
        </w:tc>
        <w:tc>
          <w:tcPr>
            <w:tcW w:w="1244" w:type="dxa"/>
            <w:shd w:val="clear" w:color="auto" w:fill="DCDDDE"/>
            <w:hideMark/>
          </w:tcPr>
          <w:p w14:paraId="49C75AFF" w14:textId="100BB212" w:rsidR="00F8599A" w:rsidRPr="00AF2C3F" w:rsidRDefault="00F8599A" w:rsidP="00AF2C3F">
            <w:pPr>
              <w:pStyle w:val="DHHStabletext"/>
            </w:pPr>
            <w:r w:rsidRPr="00AF2C3F">
              <w:t>28,877</w:t>
            </w:r>
          </w:p>
        </w:tc>
        <w:tc>
          <w:tcPr>
            <w:tcW w:w="1198" w:type="dxa"/>
            <w:shd w:val="clear" w:color="auto" w:fill="DCDDDE"/>
            <w:hideMark/>
          </w:tcPr>
          <w:p w14:paraId="7FFAC099" w14:textId="4187C4F4" w:rsidR="00F8599A" w:rsidRPr="00AF2C3F" w:rsidRDefault="00F8599A" w:rsidP="00AF2C3F">
            <w:pPr>
              <w:pStyle w:val="DHHStabletext"/>
            </w:pPr>
            <w:r w:rsidRPr="00AF2C3F">
              <w:t>30,646</w:t>
            </w:r>
          </w:p>
        </w:tc>
      </w:tr>
      <w:tr w:rsidR="00F8599A" w14:paraId="64AA9122" w14:textId="77777777" w:rsidTr="00235E13">
        <w:trPr>
          <w:trHeight w:val="327"/>
        </w:trPr>
        <w:tc>
          <w:tcPr>
            <w:tcW w:w="2664" w:type="dxa"/>
            <w:vMerge w:val="restart"/>
            <w:hideMark/>
          </w:tcPr>
          <w:p w14:paraId="2970F979" w14:textId="77777777" w:rsidR="00F8599A" w:rsidRPr="008A08FD" w:rsidRDefault="00F8599A" w:rsidP="00F8599A">
            <w:pPr>
              <w:pStyle w:val="DHHStabletext"/>
            </w:pPr>
            <w:r w:rsidRPr="008A08FD">
              <w:t>Occupied bed days (including leave, excluding same days)</w:t>
            </w:r>
            <w:r w:rsidRPr="00AF2C3F">
              <w:rPr>
                <w:vertAlign w:val="superscript"/>
              </w:rPr>
              <w:t>†</w:t>
            </w:r>
          </w:p>
        </w:tc>
        <w:tc>
          <w:tcPr>
            <w:tcW w:w="3529" w:type="dxa"/>
            <w:hideMark/>
          </w:tcPr>
          <w:p w14:paraId="6E1F62C8" w14:textId="6E10DF51" w:rsidR="00F8599A" w:rsidRPr="00AF2C3F" w:rsidRDefault="00F8599A" w:rsidP="00AF2C3F">
            <w:pPr>
              <w:pStyle w:val="DHHStabletext"/>
            </w:pPr>
            <w:r w:rsidRPr="00AF2C3F">
              <w:t>Admitted – Acute</w:t>
            </w:r>
          </w:p>
        </w:tc>
        <w:tc>
          <w:tcPr>
            <w:tcW w:w="1244" w:type="dxa"/>
            <w:hideMark/>
          </w:tcPr>
          <w:p w14:paraId="451D8BF7" w14:textId="3DFBDC45" w:rsidR="00F8599A" w:rsidRPr="00AF2C3F" w:rsidRDefault="00F8599A" w:rsidP="00AF2C3F">
            <w:pPr>
              <w:pStyle w:val="DHHStabletext"/>
            </w:pPr>
            <w:r w:rsidRPr="00AF2C3F">
              <w:t>356,652</w:t>
            </w:r>
          </w:p>
        </w:tc>
        <w:tc>
          <w:tcPr>
            <w:tcW w:w="1244" w:type="dxa"/>
            <w:hideMark/>
          </w:tcPr>
          <w:p w14:paraId="198F5F92" w14:textId="21A8DBD2" w:rsidR="00F8599A" w:rsidRPr="00AF2C3F" w:rsidRDefault="00F8599A" w:rsidP="00AF2C3F">
            <w:pPr>
              <w:pStyle w:val="DHHStabletext"/>
            </w:pPr>
            <w:r w:rsidRPr="00AF2C3F">
              <w:t>364,683</w:t>
            </w:r>
          </w:p>
        </w:tc>
        <w:tc>
          <w:tcPr>
            <w:tcW w:w="1198" w:type="dxa"/>
            <w:hideMark/>
          </w:tcPr>
          <w:p w14:paraId="2C52198A" w14:textId="07927A96" w:rsidR="00F8599A" w:rsidRPr="00AF2C3F" w:rsidRDefault="00F8599A" w:rsidP="00AF2C3F">
            <w:pPr>
              <w:pStyle w:val="DHHStabletext"/>
            </w:pPr>
            <w:r w:rsidRPr="00AF2C3F">
              <w:t>375,253</w:t>
            </w:r>
          </w:p>
        </w:tc>
      </w:tr>
      <w:tr w:rsidR="00F8599A" w14:paraId="25E1645D" w14:textId="77777777" w:rsidTr="00235E13">
        <w:trPr>
          <w:trHeight w:val="325"/>
        </w:trPr>
        <w:tc>
          <w:tcPr>
            <w:tcW w:w="2664" w:type="dxa"/>
            <w:vMerge/>
            <w:vAlign w:val="center"/>
            <w:hideMark/>
          </w:tcPr>
          <w:p w14:paraId="7E8EA28F" w14:textId="77777777" w:rsidR="00F8599A" w:rsidRPr="008A08FD" w:rsidRDefault="00F8599A" w:rsidP="00F8599A">
            <w:pPr>
              <w:pStyle w:val="DHHStabletext"/>
              <w:rPr>
                <w:rFonts w:eastAsia="Trebuchet MS"/>
              </w:rPr>
            </w:pPr>
          </w:p>
        </w:tc>
        <w:tc>
          <w:tcPr>
            <w:tcW w:w="3529" w:type="dxa"/>
            <w:hideMark/>
          </w:tcPr>
          <w:p w14:paraId="40FF46A7" w14:textId="6E43ECDA" w:rsidR="00F8599A" w:rsidRPr="00AF2C3F" w:rsidRDefault="00F8599A" w:rsidP="00AF2C3F">
            <w:pPr>
              <w:pStyle w:val="DHHStabletext"/>
            </w:pPr>
            <w:r w:rsidRPr="00AF2C3F">
              <w:t>Admitted – Non Acute</w:t>
            </w:r>
          </w:p>
        </w:tc>
        <w:tc>
          <w:tcPr>
            <w:tcW w:w="1244" w:type="dxa"/>
            <w:hideMark/>
          </w:tcPr>
          <w:p w14:paraId="1C465481" w14:textId="4A53CEEE" w:rsidR="00F8599A" w:rsidRPr="00AF2C3F" w:rsidRDefault="00F8599A" w:rsidP="00AF2C3F">
            <w:pPr>
              <w:pStyle w:val="DHHStabletext"/>
            </w:pPr>
            <w:r w:rsidRPr="00AF2C3F">
              <w:t>71,105</w:t>
            </w:r>
          </w:p>
        </w:tc>
        <w:tc>
          <w:tcPr>
            <w:tcW w:w="1244" w:type="dxa"/>
            <w:hideMark/>
          </w:tcPr>
          <w:p w14:paraId="5124988D" w14:textId="1E97521A" w:rsidR="00F8599A" w:rsidRPr="00AF2C3F" w:rsidRDefault="00F8599A" w:rsidP="00AF2C3F">
            <w:pPr>
              <w:pStyle w:val="DHHStabletext"/>
            </w:pPr>
            <w:r w:rsidRPr="00AF2C3F">
              <w:t>71,470</w:t>
            </w:r>
          </w:p>
        </w:tc>
        <w:tc>
          <w:tcPr>
            <w:tcW w:w="1198" w:type="dxa"/>
            <w:hideMark/>
          </w:tcPr>
          <w:p w14:paraId="03FD4234" w14:textId="51BEE24B" w:rsidR="00F8599A" w:rsidRPr="00AF2C3F" w:rsidRDefault="00F8599A" w:rsidP="00AF2C3F">
            <w:pPr>
              <w:pStyle w:val="DHHStabletext"/>
            </w:pPr>
            <w:r w:rsidRPr="00AF2C3F">
              <w:t>74,409</w:t>
            </w:r>
          </w:p>
        </w:tc>
      </w:tr>
      <w:tr w:rsidR="00F8599A" w14:paraId="22D5C030" w14:textId="77777777" w:rsidTr="00235E13">
        <w:trPr>
          <w:trHeight w:val="325"/>
        </w:trPr>
        <w:tc>
          <w:tcPr>
            <w:tcW w:w="2664" w:type="dxa"/>
            <w:vMerge/>
            <w:vAlign w:val="center"/>
            <w:hideMark/>
          </w:tcPr>
          <w:p w14:paraId="52D40259" w14:textId="77777777" w:rsidR="00F8599A" w:rsidRPr="008A08FD" w:rsidRDefault="00F8599A" w:rsidP="00F8599A">
            <w:pPr>
              <w:pStyle w:val="DHHStabletext"/>
              <w:rPr>
                <w:rFonts w:eastAsia="Trebuchet MS"/>
              </w:rPr>
            </w:pPr>
          </w:p>
        </w:tc>
        <w:tc>
          <w:tcPr>
            <w:tcW w:w="3529" w:type="dxa"/>
            <w:hideMark/>
          </w:tcPr>
          <w:p w14:paraId="2A6B03E0" w14:textId="0D553503" w:rsidR="00F8599A" w:rsidRPr="00AF2C3F" w:rsidRDefault="00F8599A" w:rsidP="00AF2C3F">
            <w:pPr>
              <w:pStyle w:val="DHHStabletext"/>
            </w:pPr>
            <w:r w:rsidRPr="00AF2C3F">
              <w:t>Non Admitted – Residential</w:t>
            </w:r>
          </w:p>
        </w:tc>
        <w:tc>
          <w:tcPr>
            <w:tcW w:w="1244" w:type="dxa"/>
            <w:hideMark/>
          </w:tcPr>
          <w:p w14:paraId="66805F4C" w14:textId="4069C55D" w:rsidR="00F8599A" w:rsidRPr="00AF2C3F" w:rsidRDefault="00F8599A" w:rsidP="00AF2C3F">
            <w:pPr>
              <w:pStyle w:val="DHHStabletext"/>
            </w:pPr>
            <w:r w:rsidRPr="00AF2C3F">
              <w:t>169,490</w:t>
            </w:r>
          </w:p>
        </w:tc>
        <w:tc>
          <w:tcPr>
            <w:tcW w:w="1244" w:type="dxa"/>
            <w:hideMark/>
          </w:tcPr>
          <w:p w14:paraId="65D4C5EB" w14:textId="0FCE3959" w:rsidR="00F8599A" w:rsidRPr="00AF2C3F" w:rsidRDefault="00F8599A" w:rsidP="00AF2C3F">
            <w:pPr>
              <w:pStyle w:val="DHHStabletext"/>
            </w:pPr>
            <w:r w:rsidRPr="00AF2C3F">
              <w:t>157,495</w:t>
            </w:r>
          </w:p>
        </w:tc>
        <w:tc>
          <w:tcPr>
            <w:tcW w:w="1198" w:type="dxa"/>
            <w:hideMark/>
          </w:tcPr>
          <w:p w14:paraId="2EB9A403" w14:textId="0036458A" w:rsidR="00F8599A" w:rsidRPr="00AF2C3F" w:rsidRDefault="00F8599A" w:rsidP="00AF2C3F">
            <w:pPr>
              <w:pStyle w:val="DHHStabletext"/>
            </w:pPr>
            <w:r w:rsidRPr="00AF2C3F">
              <w:t>157,103</w:t>
            </w:r>
          </w:p>
        </w:tc>
      </w:tr>
      <w:tr w:rsidR="00F8599A" w14:paraId="42B15BFD" w14:textId="77777777" w:rsidTr="00235E13">
        <w:trPr>
          <w:trHeight w:val="325"/>
        </w:trPr>
        <w:tc>
          <w:tcPr>
            <w:tcW w:w="2664" w:type="dxa"/>
            <w:vMerge/>
            <w:vAlign w:val="center"/>
            <w:hideMark/>
          </w:tcPr>
          <w:p w14:paraId="7D3AB4A5" w14:textId="77777777" w:rsidR="00F8599A" w:rsidRPr="008A08FD" w:rsidRDefault="00F8599A" w:rsidP="00F8599A">
            <w:pPr>
              <w:pStyle w:val="DHHStabletext"/>
              <w:rPr>
                <w:rFonts w:eastAsia="Trebuchet MS"/>
              </w:rPr>
            </w:pPr>
          </w:p>
        </w:tc>
        <w:tc>
          <w:tcPr>
            <w:tcW w:w="3529" w:type="dxa"/>
            <w:hideMark/>
          </w:tcPr>
          <w:p w14:paraId="50311B85" w14:textId="4D1F1CA6" w:rsidR="00F8599A" w:rsidRPr="00AF2C3F" w:rsidRDefault="00F8599A" w:rsidP="00AF2C3F">
            <w:pPr>
              <w:pStyle w:val="DHHStabletext"/>
            </w:pPr>
            <w:r w:rsidRPr="00AF2C3F">
              <w:t>Non Admitted – Sub Acute (CCU)</w:t>
            </w:r>
          </w:p>
        </w:tc>
        <w:tc>
          <w:tcPr>
            <w:tcW w:w="1244" w:type="dxa"/>
            <w:hideMark/>
          </w:tcPr>
          <w:p w14:paraId="06F9A7A5" w14:textId="224B8FEF" w:rsidR="00F8599A" w:rsidRPr="00AF2C3F" w:rsidRDefault="00F8599A" w:rsidP="00AF2C3F">
            <w:pPr>
              <w:pStyle w:val="DHHStabletext"/>
            </w:pPr>
            <w:r w:rsidRPr="00AF2C3F">
              <w:t>105,371</w:t>
            </w:r>
          </w:p>
        </w:tc>
        <w:tc>
          <w:tcPr>
            <w:tcW w:w="1244" w:type="dxa"/>
            <w:hideMark/>
          </w:tcPr>
          <w:p w14:paraId="32A10EC1" w14:textId="16815349" w:rsidR="00F8599A" w:rsidRPr="00AF2C3F" w:rsidRDefault="00F8599A" w:rsidP="00AF2C3F">
            <w:pPr>
              <w:pStyle w:val="DHHStabletext"/>
            </w:pPr>
            <w:r w:rsidRPr="00AF2C3F">
              <w:t>104,625</w:t>
            </w:r>
          </w:p>
        </w:tc>
        <w:tc>
          <w:tcPr>
            <w:tcW w:w="1198" w:type="dxa"/>
            <w:hideMark/>
          </w:tcPr>
          <w:p w14:paraId="67BFC339" w14:textId="08EBDD61" w:rsidR="00F8599A" w:rsidRPr="00AF2C3F" w:rsidRDefault="00F8599A" w:rsidP="00AF2C3F">
            <w:pPr>
              <w:pStyle w:val="DHHStabletext"/>
            </w:pPr>
            <w:r w:rsidRPr="00AF2C3F">
              <w:t>105,125</w:t>
            </w:r>
          </w:p>
        </w:tc>
      </w:tr>
      <w:tr w:rsidR="00F8599A" w14:paraId="5D589BDF" w14:textId="77777777" w:rsidTr="00235E13">
        <w:trPr>
          <w:trHeight w:val="325"/>
        </w:trPr>
        <w:tc>
          <w:tcPr>
            <w:tcW w:w="2664" w:type="dxa"/>
            <w:vMerge/>
            <w:vAlign w:val="center"/>
            <w:hideMark/>
          </w:tcPr>
          <w:p w14:paraId="2922E389" w14:textId="77777777" w:rsidR="00F8599A" w:rsidRPr="008A08FD" w:rsidRDefault="00F8599A" w:rsidP="00F8599A">
            <w:pPr>
              <w:pStyle w:val="DHHStabletext"/>
              <w:rPr>
                <w:rFonts w:eastAsia="Trebuchet MS"/>
              </w:rPr>
            </w:pPr>
          </w:p>
        </w:tc>
        <w:tc>
          <w:tcPr>
            <w:tcW w:w="3529" w:type="dxa"/>
            <w:hideMark/>
          </w:tcPr>
          <w:p w14:paraId="3A7FC474" w14:textId="7CBDB11E" w:rsidR="00F8599A" w:rsidRPr="00AF2C3F" w:rsidRDefault="00F8599A" w:rsidP="00AF2C3F">
            <w:pPr>
              <w:pStyle w:val="DHHStabletext"/>
            </w:pPr>
            <w:r w:rsidRPr="00AF2C3F">
              <w:t>Non Admitted – Sub Acute (PARC)</w:t>
            </w:r>
          </w:p>
        </w:tc>
        <w:tc>
          <w:tcPr>
            <w:tcW w:w="1244" w:type="dxa"/>
            <w:hideMark/>
          </w:tcPr>
          <w:p w14:paraId="52A06D22" w14:textId="06BE7E9A" w:rsidR="00F8599A" w:rsidRPr="00AF2C3F" w:rsidRDefault="00F8599A" w:rsidP="00AF2C3F">
            <w:pPr>
              <w:pStyle w:val="DHHStabletext"/>
            </w:pPr>
            <w:r w:rsidRPr="00AF2C3F">
              <w:t>63,425</w:t>
            </w:r>
          </w:p>
        </w:tc>
        <w:tc>
          <w:tcPr>
            <w:tcW w:w="1244" w:type="dxa"/>
            <w:hideMark/>
          </w:tcPr>
          <w:p w14:paraId="6F8786C4" w14:textId="389BEA21" w:rsidR="00F8599A" w:rsidRPr="00AF2C3F" w:rsidRDefault="00F8599A" w:rsidP="00AF2C3F">
            <w:pPr>
              <w:pStyle w:val="DHHStabletext"/>
            </w:pPr>
            <w:r w:rsidRPr="00AF2C3F">
              <w:t>66,345</w:t>
            </w:r>
          </w:p>
        </w:tc>
        <w:tc>
          <w:tcPr>
            <w:tcW w:w="1198" w:type="dxa"/>
            <w:hideMark/>
          </w:tcPr>
          <w:p w14:paraId="3D4A101A" w14:textId="38459773" w:rsidR="00F8599A" w:rsidRPr="00AF2C3F" w:rsidRDefault="00F8599A" w:rsidP="00AF2C3F">
            <w:pPr>
              <w:pStyle w:val="DHHStabletext"/>
            </w:pPr>
            <w:r w:rsidRPr="00AF2C3F">
              <w:t>66,506</w:t>
            </w:r>
          </w:p>
        </w:tc>
      </w:tr>
      <w:tr w:rsidR="00F8599A" w14:paraId="206F7053" w14:textId="77777777" w:rsidTr="00235E13">
        <w:trPr>
          <w:trHeight w:val="325"/>
        </w:trPr>
        <w:tc>
          <w:tcPr>
            <w:tcW w:w="2664" w:type="dxa"/>
            <w:vMerge/>
            <w:vAlign w:val="center"/>
            <w:hideMark/>
          </w:tcPr>
          <w:p w14:paraId="2B609F77" w14:textId="77777777" w:rsidR="00F8599A" w:rsidRPr="008A08FD" w:rsidRDefault="00F8599A" w:rsidP="00F8599A">
            <w:pPr>
              <w:pStyle w:val="DHHStabletext"/>
              <w:rPr>
                <w:rFonts w:eastAsia="Trebuchet MS"/>
              </w:rPr>
            </w:pPr>
          </w:p>
        </w:tc>
        <w:tc>
          <w:tcPr>
            <w:tcW w:w="3529" w:type="dxa"/>
            <w:shd w:val="clear" w:color="auto" w:fill="DCDDDE"/>
            <w:hideMark/>
          </w:tcPr>
          <w:p w14:paraId="34D26FD3" w14:textId="77777777" w:rsidR="00F8599A" w:rsidRPr="00AF2C3F" w:rsidRDefault="00F8599A" w:rsidP="00AF2C3F">
            <w:pPr>
              <w:pStyle w:val="DHHStabletext"/>
            </w:pPr>
            <w:r w:rsidRPr="00AF2C3F">
              <w:t>Total</w:t>
            </w:r>
          </w:p>
        </w:tc>
        <w:tc>
          <w:tcPr>
            <w:tcW w:w="1244" w:type="dxa"/>
            <w:shd w:val="clear" w:color="auto" w:fill="DCDDDE"/>
            <w:hideMark/>
          </w:tcPr>
          <w:p w14:paraId="0818B218" w14:textId="210D1494" w:rsidR="00F8599A" w:rsidRPr="00AF2C3F" w:rsidRDefault="00F8599A" w:rsidP="00AF2C3F">
            <w:pPr>
              <w:pStyle w:val="DHHStabletext"/>
            </w:pPr>
            <w:r w:rsidRPr="00AF2C3F">
              <w:t>766,044</w:t>
            </w:r>
          </w:p>
        </w:tc>
        <w:tc>
          <w:tcPr>
            <w:tcW w:w="1244" w:type="dxa"/>
            <w:shd w:val="clear" w:color="auto" w:fill="DCDDDE"/>
            <w:hideMark/>
          </w:tcPr>
          <w:p w14:paraId="3674FE4A" w14:textId="2BFF83E3" w:rsidR="00F8599A" w:rsidRPr="00AF2C3F" w:rsidRDefault="00F8599A" w:rsidP="00AF2C3F">
            <w:pPr>
              <w:pStyle w:val="DHHStabletext"/>
            </w:pPr>
            <w:r w:rsidRPr="00AF2C3F">
              <w:t>764,621</w:t>
            </w:r>
          </w:p>
        </w:tc>
        <w:tc>
          <w:tcPr>
            <w:tcW w:w="1198" w:type="dxa"/>
            <w:shd w:val="clear" w:color="auto" w:fill="DCDDDE"/>
            <w:hideMark/>
          </w:tcPr>
          <w:p w14:paraId="414C1FDE" w14:textId="581DF469" w:rsidR="00F8599A" w:rsidRPr="00AF2C3F" w:rsidRDefault="00F8599A" w:rsidP="00AF2C3F">
            <w:pPr>
              <w:pStyle w:val="DHHStabletext"/>
            </w:pPr>
            <w:r w:rsidRPr="00AF2C3F">
              <w:t>778,397</w:t>
            </w:r>
          </w:p>
        </w:tc>
      </w:tr>
      <w:tr w:rsidR="00F8599A" w14:paraId="3B797621" w14:textId="77777777" w:rsidTr="00235E13">
        <w:trPr>
          <w:trHeight w:val="327"/>
        </w:trPr>
        <w:tc>
          <w:tcPr>
            <w:tcW w:w="2664" w:type="dxa"/>
            <w:vMerge w:val="restart"/>
            <w:hideMark/>
          </w:tcPr>
          <w:p w14:paraId="6E34F079" w14:textId="77777777" w:rsidR="00F8599A" w:rsidRPr="008A08FD" w:rsidRDefault="00F8599A" w:rsidP="00F8599A">
            <w:pPr>
              <w:pStyle w:val="DHHStabletext"/>
            </w:pPr>
            <w:r w:rsidRPr="008A08FD">
              <w:t>Bed occupancy rate (including leave, excluding same days)</w:t>
            </w:r>
            <w:r w:rsidRPr="00AF2C3F">
              <w:rPr>
                <w:vertAlign w:val="superscript"/>
              </w:rPr>
              <w:t>†</w:t>
            </w:r>
          </w:p>
        </w:tc>
        <w:tc>
          <w:tcPr>
            <w:tcW w:w="3529" w:type="dxa"/>
            <w:hideMark/>
          </w:tcPr>
          <w:p w14:paraId="7FFA475E" w14:textId="116A9B3B" w:rsidR="00F8599A" w:rsidRPr="00AF2C3F" w:rsidRDefault="00F8599A" w:rsidP="00AF2C3F">
            <w:pPr>
              <w:pStyle w:val="DHHStabletext"/>
            </w:pPr>
            <w:r w:rsidRPr="00AF2C3F">
              <w:t>Admitted – Acute</w:t>
            </w:r>
          </w:p>
        </w:tc>
        <w:tc>
          <w:tcPr>
            <w:tcW w:w="1244" w:type="dxa"/>
            <w:hideMark/>
          </w:tcPr>
          <w:p w14:paraId="3F90D344" w14:textId="0B7DC8AC" w:rsidR="00F8599A" w:rsidRPr="00AF2C3F" w:rsidRDefault="00F8599A" w:rsidP="00AF2C3F">
            <w:pPr>
              <w:pStyle w:val="DHHStabletext"/>
            </w:pPr>
            <w:r w:rsidRPr="00AF2C3F">
              <w:t>88.6%</w:t>
            </w:r>
          </w:p>
        </w:tc>
        <w:tc>
          <w:tcPr>
            <w:tcW w:w="1244" w:type="dxa"/>
            <w:hideMark/>
          </w:tcPr>
          <w:p w14:paraId="3205A3C2" w14:textId="46D0FFF5" w:rsidR="00F8599A" w:rsidRPr="00AF2C3F" w:rsidRDefault="00F8599A" w:rsidP="00AF2C3F">
            <w:pPr>
              <w:pStyle w:val="DHHStabletext"/>
            </w:pPr>
            <w:r w:rsidRPr="00AF2C3F">
              <w:t>88.7%</w:t>
            </w:r>
          </w:p>
        </w:tc>
        <w:tc>
          <w:tcPr>
            <w:tcW w:w="1198" w:type="dxa"/>
            <w:hideMark/>
          </w:tcPr>
          <w:p w14:paraId="1D680AF7" w14:textId="7C37D62D" w:rsidR="00F8599A" w:rsidRPr="00AF2C3F" w:rsidRDefault="00F8599A" w:rsidP="00AF2C3F">
            <w:pPr>
              <w:pStyle w:val="DHHStabletext"/>
            </w:pPr>
            <w:r w:rsidRPr="00AF2C3F">
              <w:t>88.7%</w:t>
            </w:r>
          </w:p>
        </w:tc>
      </w:tr>
      <w:tr w:rsidR="00F8599A" w14:paraId="19875DD3" w14:textId="77777777" w:rsidTr="00235E13">
        <w:trPr>
          <w:trHeight w:val="327"/>
        </w:trPr>
        <w:tc>
          <w:tcPr>
            <w:tcW w:w="2664" w:type="dxa"/>
            <w:vMerge/>
            <w:vAlign w:val="center"/>
            <w:hideMark/>
          </w:tcPr>
          <w:p w14:paraId="3DB5A602" w14:textId="77777777" w:rsidR="00F8599A" w:rsidRPr="008A08FD" w:rsidRDefault="00F8599A" w:rsidP="00F8599A">
            <w:pPr>
              <w:pStyle w:val="DHHStabletext"/>
              <w:rPr>
                <w:rFonts w:eastAsia="Trebuchet MS"/>
              </w:rPr>
            </w:pPr>
          </w:p>
        </w:tc>
        <w:tc>
          <w:tcPr>
            <w:tcW w:w="3529" w:type="dxa"/>
            <w:hideMark/>
          </w:tcPr>
          <w:p w14:paraId="7CAE6248" w14:textId="2DC38D3C" w:rsidR="00F8599A" w:rsidRPr="00AF2C3F" w:rsidRDefault="00F8599A" w:rsidP="00AF2C3F">
            <w:pPr>
              <w:pStyle w:val="DHHStabletext"/>
            </w:pPr>
            <w:r w:rsidRPr="00AF2C3F">
              <w:t>Admitted – Non Acute</w:t>
            </w:r>
          </w:p>
        </w:tc>
        <w:tc>
          <w:tcPr>
            <w:tcW w:w="1244" w:type="dxa"/>
            <w:hideMark/>
          </w:tcPr>
          <w:p w14:paraId="48FD4FE7" w14:textId="4903CE3B" w:rsidR="00F8599A" w:rsidRPr="00AF2C3F" w:rsidRDefault="00F8599A" w:rsidP="00AF2C3F">
            <w:pPr>
              <w:pStyle w:val="DHHStabletext"/>
            </w:pPr>
            <w:r w:rsidRPr="00AF2C3F">
              <w:t>92.1%</w:t>
            </w:r>
          </w:p>
        </w:tc>
        <w:tc>
          <w:tcPr>
            <w:tcW w:w="1244" w:type="dxa"/>
            <w:hideMark/>
          </w:tcPr>
          <w:p w14:paraId="38EF328D" w14:textId="7E6E4451" w:rsidR="00F8599A" w:rsidRPr="00AF2C3F" w:rsidRDefault="00F8599A" w:rsidP="00AF2C3F">
            <w:pPr>
              <w:pStyle w:val="DHHStabletext"/>
            </w:pPr>
            <w:r w:rsidRPr="00AF2C3F">
              <w:t>92.8%</w:t>
            </w:r>
          </w:p>
        </w:tc>
        <w:tc>
          <w:tcPr>
            <w:tcW w:w="1198" w:type="dxa"/>
            <w:hideMark/>
          </w:tcPr>
          <w:p w14:paraId="4B7318B3" w14:textId="143AD01A" w:rsidR="00F8599A" w:rsidRPr="00AF2C3F" w:rsidRDefault="00F8599A" w:rsidP="00AF2C3F">
            <w:pPr>
              <w:pStyle w:val="DHHStabletext"/>
            </w:pPr>
            <w:r w:rsidRPr="00AF2C3F">
              <w:t>89.5%</w:t>
            </w:r>
          </w:p>
        </w:tc>
      </w:tr>
      <w:tr w:rsidR="00F8599A" w14:paraId="3B4D4D5F" w14:textId="77777777" w:rsidTr="00235E13">
        <w:trPr>
          <w:trHeight w:val="327"/>
        </w:trPr>
        <w:tc>
          <w:tcPr>
            <w:tcW w:w="2664" w:type="dxa"/>
            <w:vMerge/>
            <w:vAlign w:val="center"/>
            <w:hideMark/>
          </w:tcPr>
          <w:p w14:paraId="79273679" w14:textId="77777777" w:rsidR="00F8599A" w:rsidRPr="008A08FD" w:rsidRDefault="00F8599A" w:rsidP="00F8599A">
            <w:pPr>
              <w:pStyle w:val="DHHStabletext"/>
              <w:rPr>
                <w:rFonts w:eastAsia="Trebuchet MS"/>
              </w:rPr>
            </w:pPr>
          </w:p>
        </w:tc>
        <w:tc>
          <w:tcPr>
            <w:tcW w:w="3529" w:type="dxa"/>
            <w:hideMark/>
          </w:tcPr>
          <w:p w14:paraId="7061C374" w14:textId="30BAEDB9" w:rsidR="00F8599A" w:rsidRPr="00AF2C3F" w:rsidRDefault="00F8599A" w:rsidP="00AF2C3F">
            <w:pPr>
              <w:pStyle w:val="DHHStabletext"/>
            </w:pPr>
            <w:r w:rsidRPr="00AF2C3F">
              <w:t>Non Admitted – Residential</w:t>
            </w:r>
          </w:p>
        </w:tc>
        <w:tc>
          <w:tcPr>
            <w:tcW w:w="1244" w:type="dxa"/>
            <w:hideMark/>
          </w:tcPr>
          <w:p w14:paraId="719430F3" w14:textId="65F1C6FB" w:rsidR="00F8599A" w:rsidRPr="00AF2C3F" w:rsidRDefault="00F8599A" w:rsidP="00AF2C3F">
            <w:pPr>
              <w:pStyle w:val="DHHStabletext"/>
            </w:pPr>
            <w:r w:rsidRPr="00AF2C3F">
              <w:t>85.5%</w:t>
            </w:r>
          </w:p>
        </w:tc>
        <w:tc>
          <w:tcPr>
            <w:tcW w:w="1244" w:type="dxa"/>
            <w:hideMark/>
          </w:tcPr>
          <w:p w14:paraId="5D26C533" w14:textId="400C31F6" w:rsidR="00F8599A" w:rsidRPr="00AF2C3F" w:rsidRDefault="00F8599A" w:rsidP="00AF2C3F">
            <w:pPr>
              <w:pStyle w:val="DHHStabletext"/>
            </w:pPr>
            <w:r w:rsidRPr="00AF2C3F">
              <w:t>84.0%</w:t>
            </w:r>
          </w:p>
        </w:tc>
        <w:tc>
          <w:tcPr>
            <w:tcW w:w="1198" w:type="dxa"/>
            <w:hideMark/>
          </w:tcPr>
          <w:p w14:paraId="33681729" w14:textId="35E8589C" w:rsidR="00F8599A" w:rsidRPr="00AF2C3F" w:rsidRDefault="00F8599A" w:rsidP="00AF2C3F">
            <w:pPr>
              <w:pStyle w:val="DHHStabletext"/>
            </w:pPr>
            <w:r w:rsidRPr="00AF2C3F">
              <w:t>84.4%</w:t>
            </w:r>
          </w:p>
        </w:tc>
      </w:tr>
      <w:tr w:rsidR="00F8599A" w14:paraId="6995B21E" w14:textId="77777777" w:rsidTr="00235E13">
        <w:trPr>
          <w:trHeight w:val="330"/>
        </w:trPr>
        <w:tc>
          <w:tcPr>
            <w:tcW w:w="2664" w:type="dxa"/>
            <w:vMerge/>
            <w:vAlign w:val="center"/>
            <w:hideMark/>
          </w:tcPr>
          <w:p w14:paraId="1F9E084F" w14:textId="77777777" w:rsidR="00F8599A" w:rsidRPr="008A08FD" w:rsidRDefault="00F8599A" w:rsidP="00F8599A">
            <w:pPr>
              <w:pStyle w:val="DHHStabletext"/>
              <w:rPr>
                <w:rFonts w:eastAsia="Trebuchet MS"/>
              </w:rPr>
            </w:pPr>
          </w:p>
        </w:tc>
        <w:tc>
          <w:tcPr>
            <w:tcW w:w="3529" w:type="dxa"/>
            <w:hideMark/>
          </w:tcPr>
          <w:p w14:paraId="0CB18D87" w14:textId="157AB89D" w:rsidR="00F8599A" w:rsidRPr="00AF2C3F" w:rsidRDefault="00F8599A" w:rsidP="00AF2C3F">
            <w:pPr>
              <w:pStyle w:val="DHHStabletext"/>
            </w:pPr>
            <w:r w:rsidRPr="00AF2C3F">
              <w:t>Non Admitted – Sub Acute (CCU)</w:t>
            </w:r>
          </w:p>
        </w:tc>
        <w:tc>
          <w:tcPr>
            <w:tcW w:w="1244" w:type="dxa"/>
            <w:hideMark/>
          </w:tcPr>
          <w:p w14:paraId="128F2AD2" w14:textId="58C12600" w:rsidR="00F8599A" w:rsidRPr="00AF2C3F" w:rsidRDefault="00F8599A" w:rsidP="00AF2C3F">
            <w:pPr>
              <w:pStyle w:val="DHHStabletext"/>
            </w:pPr>
            <w:r w:rsidRPr="00AF2C3F">
              <w:t>79.1%</w:t>
            </w:r>
          </w:p>
        </w:tc>
        <w:tc>
          <w:tcPr>
            <w:tcW w:w="1244" w:type="dxa"/>
            <w:hideMark/>
          </w:tcPr>
          <w:p w14:paraId="196A654D" w14:textId="78C2E049" w:rsidR="00F8599A" w:rsidRPr="00AF2C3F" w:rsidRDefault="00F8599A" w:rsidP="00AF2C3F">
            <w:pPr>
              <w:pStyle w:val="DHHStabletext"/>
            </w:pPr>
            <w:r w:rsidRPr="00AF2C3F">
              <w:t>78.6%</w:t>
            </w:r>
          </w:p>
        </w:tc>
        <w:tc>
          <w:tcPr>
            <w:tcW w:w="1198" w:type="dxa"/>
            <w:hideMark/>
          </w:tcPr>
          <w:p w14:paraId="21BCF87E" w14:textId="4E4498C1" w:rsidR="00F8599A" w:rsidRPr="00AF2C3F" w:rsidRDefault="00F8599A" w:rsidP="00AF2C3F">
            <w:pPr>
              <w:pStyle w:val="DHHStabletext"/>
            </w:pPr>
            <w:r w:rsidRPr="00AF2C3F">
              <w:t>78.9%</w:t>
            </w:r>
          </w:p>
        </w:tc>
      </w:tr>
      <w:tr w:rsidR="00F8599A" w14:paraId="5AB9BD89" w14:textId="77777777" w:rsidTr="00235E13">
        <w:trPr>
          <w:trHeight w:val="330"/>
        </w:trPr>
        <w:tc>
          <w:tcPr>
            <w:tcW w:w="2664" w:type="dxa"/>
            <w:vMerge/>
            <w:vAlign w:val="center"/>
            <w:hideMark/>
          </w:tcPr>
          <w:p w14:paraId="2EDF1984" w14:textId="77777777" w:rsidR="00F8599A" w:rsidRPr="008A08FD" w:rsidRDefault="00F8599A" w:rsidP="00F8599A">
            <w:pPr>
              <w:pStyle w:val="DHHStabletext"/>
              <w:rPr>
                <w:rFonts w:eastAsia="Trebuchet MS"/>
              </w:rPr>
            </w:pPr>
          </w:p>
        </w:tc>
        <w:tc>
          <w:tcPr>
            <w:tcW w:w="3529" w:type="dxa"/>
            <w:hideMark/>
          </w:tcPr>
          <w:p w14:paraId="3FE2B704" w14:textId="15FB6A11" w:rsidR="00F8599A" w:rsidRPr="00AF2C3F" w:rsidRDefault="00F8599A" w:rsidP="00AF2C3F">
            <w:pPr>
              <w:pStyle w:val="DHHStabletext"/>
            </w:pPr>
            <w:r w:rsidRPr="00AF2C3F">
              <w:t>Non Admitted – Sub Acute (PARC)</w:t>
            </w:r>
          </w:p>
        </w:tc>
        <w:tc>
          <w:tcPr>
            <w:tcW w:w="1244" w:type="dxa"/>
            <w:hideMark/>
          </w:tcPr>
          <w:p w14:paraId="7793FB07" w14:textId="2B8CF860" w:rsidR="00F8599A" w:rsidRPr="00AF2C3F" w:rsidRDefault="00F8599A" w:rsidP="00AF2C3F">
            <w:pPr>
              <w:pStyle w:val="DHHStabletext"/>
            </w:pPr>
            <w:r w:rsidRPr="00AF2C3F">
              <w:t>77.8%</w:t>
            </w:r>
          </w:p>
        </w:tc>
        <w:tc>
          <w:tcPr>
            <w:tcW w:w="1244" w:type="dxa"/>
            <w:hideMark/>
          </w:tcPr>
          <w:p w14:paraId="03122EF0" w14:textId="4ACD2CE3" w:rsidR="00F8599A" w:rsidRPr="00AF2C3F" w:rsidRDefault="00F8599A" w:rsidP="00AF2C3F">
            <w:pPr>
              <w:pStyle w:val="DHHStabletext"/>
            </w:pPr>
            <w:r w:rsidRPr="00AF2C3F">
              <w:t>81.2%</w:t>
            </w:r>
          </w:p>
        </w:tc>
        <w:tc>
          <w:tcPr>
            <w:tcW w:w="1198" w:type="dxa"/>
            <w:hideMark/>
          </w:tcPr>
          <w:p w14:paraId="6B9F562C" w14:textId="7819DA57" w:rsidR="00F8599A" w:rsidRPr="00AF2C3F" w:rsidRDefault="00F8599A" w:rsidP="00AF2C3F">
            <w:pPr>
              <w:pStyle w:val="DHHStabletext"/>
            </w:pPr>
            <w:r w:rsidRPr="00AF2C3F">
              <w:t>77.9%</w:t>
            </w:r>
          </w:p>
        </w:tc>
      </w:tr>
      <w:tr w:rsidR="00F8599A" w14:paraId="7A4D7F4C" w14:textId="77777777" w:rsidTr="00235E13">
        <w:trPr>
          <w:trHeight w:val="330"/>
        </w:trPr>
        <w:tc>
          <w:tcPr>
            <w:tcW w:w="2664" w:type="dxa"/>
            <w:vMerge/>
            <w:vAlign w:val="center"/>
            <w:hideMark/>
          </w:tcPr>
          <w:p w14:paraId="22A922BD" w14:textId="77777777" w:rsidR="00F8599A" w:rsidRPr="008A08FD" w:rsidRDefault="00F8599A" w:rsidP="00F8599A">
            <w:pPr>
              <w:pStyle w:val="DHHStabletext"/>
              <w:rPr>
                <w:rFonts w:eastAsia="Trebuchet MS"/>
              </w:rPr>
            </w:pPr>
          </w:p>
        </w:tc>
        <w:tc>
          <w:tcPr>
            <w:tcW w:w="3529" w:type="dxa"/>
            <w:shd w:val="clear" w:color="auto" w:fill="DCDDDE"/>
            <w:hideMark/>
          </w:tcPr>
          <w:p w14:paraId="4DA66AB3" w14:textId="77777777" w:rsidR="00F8599A" w:rsidRPr="00AF2C3F" w:rsidRDefault="00F8599A" w:rsidP="00AF2C3F">
            <w:pPr>
              <w:pStyle w:val="DHHStabletext"/>
            </w:pPr>
            <w:r w:rsidRPr="00AF2C3F">
              <w:t>Total</w:t>
            </w:r>
          </w:p>
        </w:tc>
        <w:tc>
          <w:tcPr>
            <w:tcW w:w="1244" w:type="dxa"/>
            <w:shd w:val="clear" w:color="auto" w:fill="DCDDDE"/>
            <w:hideMark/>
          </w:tcPr>
          <w:p w14:paraId="04583E28" w14:textId="5AA81530" w:rsidR="00F8599A" w:rsidRPr="00AF2C3F" w:rsidRDefault="00F8599A" w:rsidP="00AF2C3F">
            <w:pPr>
              <w:pStyle w:val="DHHStabletext"/>
            </w:pPr>
            <w:r w:rsidRPr="00AF2C3F">
              <w:t>85.8%</w:t>
            </w:r>
          </w:p>
        </w:tc>
        <w:tc>
          <w:tcPr>
            <w:tcW w:w="1244" w:type="dxa"/>
            <w:shd w:val="clear" w:color="auto" w:fill="DCDDDE"/>
            <w:hideMark/>
          </w:tcPr>
          <w:p w14:paraId="485531F0" w14:textId="5C3B88CC" w:rsidR="00F8599A" w:rsidRPr="00AF2C3F" w:rsidRDefault="00F8599A" w:rsidP="00AF2C3F">
            <w:pPr>
              <w:pStyle w:val="DHHStabletext"/>
            </w:pPr>
            <w:r w:rsidRPr="00AF2C3F">
              <w:t>85.9%</w:t>
            </w:r>
          </w:p>
        </w:tc>
        <w:tc>
          <w:tcPr>
            <w:tcW w:w="1198" w:type="dxa"/>
            <w:shd w:val="clear" w:color="auto" w:fill="DCDDDE"/>
            <w:hideMark/>
          </w:tcPr>
          <w:p w14:paraId="0769A0E1" w14:textId="468DEE71" w:rsidR="00F8599A" w:rsidRPr="00AF2C3F" w:rsidRDefault="00F8599A" w:rsidP="00AF2C3F">
            <w:pPr>
              <w:pStyle w:val="DHHStabletext"/>
            </w:pPr>
            <w:r w:rsidRPr="00AF2C3F">
              <w:t>85.5%</w:t>
            </w:r>
          </w:p>
        </w:tc>
      </w:tr>
    </w:tbl>
    <w:p w14:paraId="0A198338" w14:textId="77777777" w:rsidR="004E24F2" w:rsidRDefault="004E24F2" w:rsidP="004E24F2">
      <w:pPr>
        <w:pStyle w:val="BodyText"/>
        <w:spacing w:before="10"/>
        <w:rPr>
          <w:rFonts w:ascii="Times New Roman" w:eastAsia="Trebuchet MS" w:hAnsi="Trebuchet MS" w:cs="Trebuchet MS"/>
          <w:sz w:val="5"/>
        </w:rPr>
      </w:pPr>
    </w:p>
    <w:tbl>
      <w:tblPr>
        <w:tblpPr w:leftFromText="180" w:rightFromText="180" w:horzAnchor="margin" w:tblpY="384"/>
        <w:tblW w:w="9879"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664"/>
        <w:gridCol w:w="3529"/>
        <w:gridCol w:w="1244"/>
        <w:gridCol w:w="1244"/>
        <w:gridCol w:w="1198"/>
      </w:tblGrid>
      <w:tr w:rsidR="00F8599A" w14:paraId="1C07D931" w14:textId="77777777" w:rsidTr="00235E13">
        <w:trPr>
          <w:trHeight w:val="680"/>
          <w:tblHeader/>
        </w:trPr>
        <w:tc>
          <w:tcPr>
            <w:tcW w:w="2664" w:type="dxa"/>
            <w:shd w:val="clear" w:color="auto" w:fill="auto"/>
            <w:hideMark/>
          </w:tcPr>
          <w:p w14:paraId="1465FB4F" w14:textId="2906BD31" w:rsidR="00F8599A" w:rsidRPr="008A08FD" w:rsidRDefault="00F8599A" w:rsidP="00F8599A">
            <w:pPr>
              <w:pStyle w:val="DHHStablecolhead"/>
            </w:pPr>
            <w:r w:rsidRPr="008A08FD">
              <w:lastRenderedPageBreak/>
              <w:t>Service activity</w:t>
            </w:r>
            <w:r>
              <w:t xml:space="preserve"> </w:t>
            </w:r>
            <w:r w:rsidRPr="008A08FD">
              <w:t>– community</w:t>
            </w:r>
          </w:p>
        </w:tc>
        <w:tc>
          <w:tcPr>
            <w:tcW w:w="3529" w:type="dxa"/>
            <w:shd w:val="clear" w:color="auto" w:fill="auto"/>
          </w:tcPr>
          <w:p w14:paraId="2B8CFD01" w14:textId="77777777" w:rsidR="00F8599A" w:rsidRPr="008A08FD" w:rsidRDefault="00F8599A" w:rsidP="00F8599A">
            <w:pPr>
              <w:pStyle w:val="DHHStablecolhead"/>
            </w:pPr>
            <w:r w:rsidRPr="008A08FD">
              <w:t>Population</w:t>
            </w:r>
          </w:p>
        </w:tc>
        <w:tc>
          <w:tcPr>
            <w:tcW w:w="1244" w:type="dxa"/>
            <w:shd w:val="clear" w:color="auto" w:fill="auto"/>
          </w:tcPr>
          <w:p w14:paraId="646C6E0C" w14:textId="7414DC1F" w:rsidR="00F8599A" w:rsidRPr="008A08FD" w:rsidRDefault="00F8599A" w:rsidP="00F8599A">
            <w:pPr>
              <w:pStyle w:val="DHHStablecolhead"/>
            </w:pPr>
            <w:r w:rsidRPr="009F0C73">
              <w:t>2015–16</w:t>
            </w:r>
          </w:p>
        </w:tc>
        <w:tc>
          <w:tcPr>
            <w:tcW w:w="1244" w:type="dxa"/>
            <w:shd w:val="clear" w:color="auto" w:fill="auto"/>
          </w:tcPr>
          <w:p w14:paraId="19CCA3DE" w14:textId="3CD55F5C" w:rsidR="00F8599A" w:rsidRPr="008A08FD" w:rsidRDefault="00F8599A" w:rsidP="00F8599A">
            <w:pPr>
              <w:pStyle w:val="DHHStablecolhead"/>
            </w:pPr>
            <w:r w:rsidRPr="009F0C73">
              <w:t>201</w:t>
            </w:r>
            <w:r>
              <w:t>6</w:t>
            </w:r>
            <w:r w:rsidRPr="009F0C73">
              <w:t>–1</w:t>
            </w:r>
            <w:r>
              <w:t>7</w:t>
            </w:r>
          </w:p>
        </w:tc>
        <w:tc>
          <w:tcPr>
            <w:tcW w:w="1198" w:type="dxa"/>
            <w:shd w:val="clear" w:color="auto" w:fill="auto"/>
          </w:tcPr>
          <w:p w14:paraId="41CE2254" w14:textId="1175E2FA" w:rsidR="00F8599A" w:rsidRPr="008A08FD" w:rsidRDefault="00F8599A" w:rsidP="00F8599A">
            <w:pPr>
              <w:pStyle w:val="DHHStablecolhead"/>
            </w:pPr>
            <w:r w:rsidRPr="009F0C73">
              <w:t>201</w:t>
            </w:r>
            <w:r>
              <w:t>7</w:t>
            </w:r>
            <w:r w:rsidRPr="009F0C73">
              <w:t>–1</w:t>
            </w:r>
            <w:r>
              <w:t>8</w:t>
            </w:r>
          </w:p>
        </w:tc>
      </w:tr>
      <w:tr w:rsidR="00F8599A" w14:paraId="179FA9EC" w14:textId="77777777" w:rsidTr="00235E13">
        <w:trPr>
          <w:trHeight w:val="332"/>
        </w:trPr>
        <w:tc>
          <w:tcPr>
            <w:tcW w:w="2664" w:type="dxa"/>
            <w:vMerge w:val="restart"/>
            <w:hideMark/>
          </w:tcPr>
          <w:p w14:paraId="7423FD1F" w14:textId="77777777" w:rsidR="00F8599A" w:rsidRPr="00EE31F2" w:rsidRDefault="00F8599A" w:rsidP="00F8599A">
            <w:pPr>
              <w:pStyle w:val="DHHStabletext"/>
            </w:pPr>
            <w:r w:rsidRPr="00EE31F2">
              <w:t>Total service contacts, by sector**</w:t>
            </w:r>
          </w:p>
        </w:tc>
        <w:tc>
          <w:tcPr>
            <w:tcW w:w="3529" w:type="dxa"/>
            <w:hideMark/>
          </w:tcPr>
          <w:p w14:paraId="23B283AD" w14:textId="4D24E1C2" w:rsidR="00F8599A" w:rsidRPr="00AF2C3F" w:rsidRDefault="00F8599A" w:rsidP="00AF2C3F">
            <w:pPr>
              <w:pStyle w:val="DHHStabletext"/>
            </w:pPr>
            <w:r w:rsidRPr="00AF2C3F">
              <w:t>Adult</w:t>
            </w:r>
          </w:p>
        </w:tc>
        <w:tc>
          <w:tcPr>
            <w:tcW w:w="1244" w:type="dxa"/>
            <w:hideMark/>
          </w:tcPr>
          <w:p w14:paraId="12724F9A" w14:textId="5FA9605C" w:rsidR="00F8599A" w:rsidRPr="00AF2C3F" w:rsidRDefault="00F8599A" w:rsidP="00AF2C3F">
            <w:pPr>
              <w:pStyle w:val="DHHStabletext"/>
            </w:pPr>
            <w:r w:rsidRPr="00AF2C3F">
              <w:t>1,400,481</w:t>
            </w:r>
          </w:p>
        </w:tc>
        <w:tc>
          <w:tcPr>
            <w:tcW w:w="1244" w:type="dxa"/>
            <w:hideMark/>
          </w:tcPr>
          <w:p w14:paraId="466492EC" w14:textId="33562A89" w:rsidR="00F8599A" w:rsidRPr="00AF2C3F" w:rsidRDefault="00F8599A" w:rsidP="00AF2C3F">
            <w:pPr>
              <w:pStyle w:val="DHHStabletext"/>
            </w:pPr>
            <w:r w:rsidRPr="00AF2C3F">
              <w:t>1,189,768</w:t>
            </w:r>
          </w:p>
        </w:tc>
        <w:tc>
          <w:tcPr>
            <w:tcW w:w="1198" w:type="dxa"/>
            <w:hideMark/>
          </w:tcPr>
          <w:p w14:paraId="1B65489F" w14:textId="28B0133F" w:rsidR="00F8599A" w:rsidRPr="00AF2C3F" w:rsidRDefault="00F8599A" w:rsidP="00AF2C3F">
            <w:pPr>
              <w:pStyle w:val="DHHStabletext"/>
            </w:pPr>
            <w:r w:rsidRPr="00AF2C3F">
              <w:t>1,790,464</w:t>
            </w:r>
          </w:p>
        </w:tc>
      </w:tr>
      <w:tr w:rsidR="00F8599A" w14:paraId="3CBC6A3D" w14:textId="77777777" w:rsidTr="00235E13">
        <w:trPr>
          <w:trHeight w:val="325"/>
        </w:trPr>
        <w:tc>
          <w:tcPr>
            <w:tcW w:w="2664" w:type="dxa"/>
            <w:vMerge/>
            <w:vAlign w:val="center"/>
            <w:hideMark/>
          </w:tcPr>
          <w:p w14:paraId="63467203" w14:textId="77777777" w:rsidR="00F8599A" w:rsidRPr="00EE31F2" w:rsidRDefault="00F8599A" w:rsidP="00F8599A">
            <w:pPr>
              <w:pStyle w:val="DHHStabletext"/>
              <w:rPr>
                <w:rFonts w:eastAsia="Trebuchet MS"/>
              </w:rPr>
            </w:pPr>
          </w:p>
        </w:tc>
        <w:tc>
          <w:tcPr>
            <w:tcW w:w="3529" w:type="dxa"/>
            <w:hideMark/>
          </w:tcPr>
          <w:p w14:paraId="2090CE89" w14:textId="5D52CBF3" w:rsidR="00F8599A" w:rsidRPr="00AF2C3F" w:rsidRDefault="00F8599A" w:rsidP="00AF2C3F">
            <w:pPr>
              <w:pStyle w:val="DHHStabletext"/>
            </w:pPr>
            <w:r w:rsidRPr="00AF2C3F">
              <w:t>Aged</w:t>
            </w:r>
          </w:p>
        </w:tc>
        <w:tc>
          <w:tcPr>
            <w:tcW w:w="1244" w:type="dxa"/>
            <w:hideMark/>
          </w:tcPr>
          <w:p w14:paraId="6E501165" w14:textId="29174EBE" w:rsidR="00F8599A" w:rsidRPr="00AF2C3F" w:rsidRDefault="00F8599A" w:rsidP="00AF2C3F">
            <w:pPr>
              <w:pStyle w:val="DHHStabletext"/>
            </w:pPr>
            <w:r w:rsidRPr="00AF2C3F">
              <w:t>219,373</w:t>
            </w:r>
          </w:p>
        </w:tc>
        <w:tc>
          <w:tcPr>
            <w:tcW w:w="1244" w:type="dxa"/>
            <w:hideMark/>
          </w:tcPr>
          <w:p w14:paraId="10B82F4E" w14:textId="4195E21E" w:rsidR="00F8599A" w:rsidRPr="00AF2C3F" w:rsidRDefault="00F8599A" w:rsidP="00AF2C3F">
            <w:pPr>
              <w:pStyle w:val="DHHStabletext"/>
            </w:pPr>
            <w:r w:rsidRPr="00AF2C3F">
              <w:t>168,746</w:t>
            </w:r>
          </w:p>
        </w:tc>
        <w:tc>
          <w:tcPr>
            <w:tcW w:w="1198" w:type="dxa"/>
            <w:hideMark/>
          </w:tcPr>
          <w:p w14:paraId="04FB6E20" w14:textId="481A0DD1" w:rsidR="00F8599A" w:rsidRPr="00AF2C3F" w:rsidRDefault="00F8599A" w:rsidP="00AF2C3F">
            <w:pPr>
              <w:pStyle w:val="DHHStabletext"/>
            </w:pPr>
            <w:r w:rsidRPr="00AF2C3F">
              <w:t>243,721</w:t>
            </w:r>
          </w:p>
        </w:tc>
      </w:tr>
      <w:tr w:rsidR="00F8599A" w14:paraId="1120C164" w14:textId="77777777" w:rsidTr="00235E13">
        <w:trPr>
          <w:trHeight w:val="325"/>
        </w:trPr>
        <w:tc>
          <w:tcPr>
            <w:tcW w:w="2664" w:type="dxa"/>
            <w:vMerge/>
            <w:vAlign w:val="center"/>
            <w:hideMark/>
          </w:tcPr>
          <w:p w14:paraId="23446ADF" w14:textId="77777777" w:rsidR="00F8599A" w:rsidRPr="00EE31F2" w:rsidRDefault="00F8599A" w:rsidP="00F8599A">
            <w:pPr>
              <w:pStyle w:val="DHHStabletext"/>
              <w:rPr>
                <w:rFonts w:eastAsia="Trebuchet MS"/>
              </w:rPr>
            </w:pPr>
          </w:p>
        </w:tc>
        <w:tc>
          <w:tcPr>
            <w:tcW w:w="3529" w:type="dxa"/>
            <w:hideMark/>
          </w:tcPr>
          <w:p w14:paraId="12C4B625" w14:textId="111B621B" w:rsidR="00F8599A" w:rsidRPr="00AF2C3F" w:rsidRDefault="00F8599A" w:rsidP="00AF2C3F">
            <w:pPr>
              <w:pStyle w:val="DHHStabletext"/>
            </w:pPr>
            <w:r w:rsidRPr="00AF2C3F">
              <w:t>CAMHS</w:t>
            </w:r>
          </w:p>
        </w:tc>
        <w:tc>
          <w:tcPr>
            <w:tcW w:w="1244" w:type="dxa"/>
            <w:hideMark/>
          </w:tcPr>
          <w:p w14:paraId="1F8C67B6" w14:textId="31E8059B" w:rsidR="00F8599A" w:rsidRPr="00AF2C3F" w:rsidRDefault="00F8599A" w:rsidP="00AF2C3F">
            <w:pPr>
              <w:pStyle w:val="DHHStabletext"/>
            </w:pPr>
            <w:r w:rsidRPr="00AF2C3F">
              <w:t>275,039</w:t>
            </w:r>
          </w:p>
        </w:tc>
        <w:tc>
          <w:tcPr>
            <w:tcW w:w="1244" w:type="dxa"/>
            <w:hideMark/>
          </w:tcPr>
          <w:p w14:paraId="6873626B" w14:textId="04709D9B" w:rsidR="00F8599A" w:rsidRPr="00AF2C3F" w:rsidRDefault="00F8599A" w:rsidP="00AF2C3F">
            <w:pPr>
              <w:pStyle w:val="DHHStabletext"/>
            </w:pPr>
            <w:r w:rsidRPr="00AF2C3F">
              <w:t>278,801</w:t>
            </w:r>
          </w:p>
        </w:tc>
        <w:tc>
          <w:tcPr>
            <w:tcW w:w="1198" w:type="dxa"/>
            <w:hideMark/>
          </w:tcPr>
          <w:p w14:paraId="2D9390A4" w14:textId="1094C4DE" w:rsidR="00F8599A" w:rsidRPr="00AF2C3F" w:rsidRDefault="00F8599A" w:rsidP="00AF2C3F">
            <w:pPr>
              <w:pStyle w:val="DHHStabletext"/>
            </w:pPr>
            <w:r w:rsidRPr="00AF2C3F">
              <w:t>331,058</w:t>
            </w:r>
          </w:p>
        </w:tc>
      </w:tr>
      <w:tr w:rsidR="00F8599A" w14:paraId="19CF3FE2" w14:textId="77777777" w:rsidTr="00235E13">
        <w:trPr>
          <w:trHeight w:val="325"/>
        </w:trPr>
        <w:tc>
          <w:tcPr>
            <w:tcW w:w="2664" w:type="dxa"/>
            <w:vMerge/>
            <w:vAlign w:val="center"/>
            <w:hideMark/>
          </w:tcPr>
          <w:p w14:paraId="30A7DCB1" w14:textId="77777777" w:rsidR="00F8599A" w:rsidRPr="00EE31F2" w:rsidRDefault="00F8599A" w:rsidP="00F8599A">
            <w:pPr>
              <w:pStyle w:val="DHHStabletext"/>
              <w:rPr>
                <w:rFonts w:eastAsia="Trebuchet MS"/>
              </w:rPr>
            </w:pPr>
          </w:p>
        </w:tc>
        <w:tc>
          <w:tcPr>
            <w:tcW w:w="3529" w:type="dxa"/>
            <w:hideMark/>
          </w:tcPr>
          <w:p w14:paraId="32CA3118" w14:textId="6219A4AD" w:rsidR="00F8599A" w:rsidRPr="00AF2C3F" w:rsidRDefault="00F8599A" w:rsidP="00AF2C3F">
            <w:pPr>
              <w:pStyle w:val="DHHStabletext"/>
            </w:pPr>
            <w:r w:rsidRPr="00AF2C3F">
              <w:t>Forensic</w:t>
            </w:r>
          </w:p>
        </w:tc>
        <w:tc>
          <w:tcPr>
            <w:tcW w:w="1244" w:type="dxa"/>
            <w:hideMark/>
          </w:tcPr>
          <w:p w14:paraId="11CA2171" w14:textId="0C608663" w:rsidR="00F8599A" w:rsidRPr="00AF2C3F" w:rsidRDefault="00F8599A" w:rsidP="00AF2C3F">
            <w:pPr>
              <w:pStyle w:val="DHHStabletext"/>
            </w:pPr>
            <w:r w:rsidRPr="00AF2C3F">
              <w:t>17,998</w:t>
            </w:r>
          </w:p>
        </w:tc>
        <w:tc>
          <w:tcPr>
            <w:tcW w:w="1244" w:type="dxa"/>
            <w:hideMark/>
          </w:tcPr>
          <w:p w14:paraId="1271969D" w14:textId="7D824EDC" w:rsidR="00F8599A" w:rsidRPr="00AF2C3F" w:rsidRDefault="00F8599A" w:rsidP="00AF2C3F">
            <w:pPr>
              <w:pStyle w:val="DHHStabletext"/>
            </w:pPr>
            <w:r w:rsidRPr="00AF2C3F">
              <w:t>17,265</w:t>
            </w:r>
          </w:p>
        </w:tc>
        <w:tc>
          <w:tcPr>
            <w:tcW w:w="1198" w:type="dxa"/>
            <w:hideMark/>
          </w:tcPr>
          <w:p w14:paraId="2AABBF1B" w14:textId="3DD8FA9D" w:rsidR="00F8599A" w:rsidRPr="00AF2C3F" w:rsidRDefault="00F8599A" w:rsidP="00AF2C3F">
            <w:pPr>
              <w:pStyle w:val="DHHStabletext"/>
            </w:pPr>
            <w:r w:rsidRPr="00AF2C3F">
              <w:t>19,647</w:t>
            </w:r>
          </w:p>
        </w:tc>
      </w:tr>
      <w:tr w:rsidR="00F8599A" w14:paraId="61DFEE20" w14:textId="77777777" w:rsidTr="00235E13">
        <w:trPr>
          <w:trHeight w:val="325"/>
        </w:trPr>
        <w:tc>
          <w:tcPr>
            <w:tcW w:w="2664" w:type="dxa"/>
            <w:vMerge/>
            <w:vAlign w:val="center"/>
            <w:hideMark/>
          </w:tcPr>
          <w:p w14:paraId="3ED2891C" w14:textId="77777777" w:rsidR="00F8599A" w:rsidRPr="00EE31F2" w:rsidRDefault="00F8599A" w:rsidP="00F8599A">
            <w:pPr>
              <w:pStyle w:val="DHHStabletext"/>
              <w:rPr>
                <w:rFonts w:eastAsia="Trebuchet MS"/>
              </w:rPr>
            </w:pPr>
          </w:p>
        </w:tc>
        <w:tc>
          <w:tcPr>
            <w:tcW w:w="3529" w:type="dxa"/>
            <w:hideMark/>
          </w:tcPr>
          <w:p w14:paraId="2DE2C001" w14:textId="24A4A0C3" w:rsidR="00F8599A" w:rsidRPr="00AF2C3F" w:rsidRDefault="00F8599A" w:rsidP="00AF2C3F">
            <w:pPr>
              <w:pStyle w:val="DHHStabletext"/>
            </w:pPr>
            <w:r w:rsidRPr="00AF2C3F">
              <w:t>Specialist</w:t>
            </w:r>
          </w:p>
        </w:tc>
        <w:tc>
          <w:tcPr>
            <w:tcW w:w="1244" w:type="dxa"/>
            <w:hideMark/>
          </w:tcPr>
          <w:p w14:paraId="6EECAF1E" w14:textId="663DFD3C" w:rsidR="00F8599A" w:rsidRPr="00AF2C3F" w:rsidRDefault="00F8599A" w:rsidP="00AF2C3F">
            <w:pPr>
              <w:pStyle w:val="DHHStabletext"/>
            </w:pPr>
            <w:r w:rsidRPr="00AF2C3F">
              <w:t>22,369</w:t>
            </w:r>
          </w:p>
        </w:tc>
        <w:tc>
          <w:tcPr>
            <w:tcW w:w="1244" w:type="dxa"/>
            <w:hideMark/>
          </w:tcPr>
          <w:p w14:paraId="0906FA0D" w14:textId="02B1627F" w:rsidR="00F8599A" w:rsidRPr="00AF2C3F" w:rsidRDefault="00F8599A" w:rsidP="00AF2C3F">
            <w:pPr>
              <w:pStyle w:val="DHHStabletext"/>
            </w:pPr>
            <w:r w:rsidRPr="00AF2C3F">
              <w:t>21,190</w:t>
            </w:r>
          </w:p>
        </w:tc>
        <w:tc>
          <w:tcPr>
            <w:tcW w:w="1198" w:type="dxa"/>
            <w:hideMark/>
          </w:tcPr>
          <w:p w14:paraId="6BB38AC7" w14:textId="5B0A8559" w:rsidR="00F8599A" w:rsidRPr="00AF2C3F" w:rsidRDefault="00F8599A" w:rsidP="00AF2C3F">
            <w:pPr>
              <w:pStyle w:val="DHHStabletext"/>
            </w:pPr>
            <w:r w:rsidRPr="00AF2C3F">
              <w:t>22,837</w:t>
            </w:r>
          </w:p>
        </w:tc>
      </w:tr>
      <w:tr w:rsidR="00F8599A" w14:paraId="1E3CD156" w14:textId="77777777" w:rsidTr="00235E13">
        <w:trPr>
          <w:trHeight w:val="325"/>
        </w:trPr>
        <w:tc>
          <w:tcPr>
            <w:tcW w:w="2664" w:type="dxa"/>
            <w:vMerge/>
            <w:vAlign w:val="center"/>
            <w:hideMark/>
          </w:tcPr>
          <w:p w14:paraId="66BF28F3" w14:textId="77777777" w:rsidR="00F8599A" w:rsidRPr="00EE31F2" w:rsidRDefault="00F8599A" w:rsidP="00F8599A">
            <w:pPr>
              <w:pStyle w:val="DHHStabletext"/>
              <w:rPr>
                <w:rFonts w:eastAsia="Trebuchet MS"/>
              </w:rPr>
            </w:pPr>
          </w:p>
        </w:tc>
        <w:tc>
          <w:tcPr>
            <w:tcW w:w="3529" w:type="dxa"/>
            <w:shd w:val="clear" w:color="auto" w:fill="DCDDDE"/>
            <w:hideMark/>
          </w:tcPr>
          <w:p w14:paraId="4E92DEA0" w14:textId="52A2D5B7" w:rsidR="00F8599A" w:rsidRPr="00AF2C3F" w:rsidRDefault="00F8599A" w:rsidP="00AF2C3F">
            <w:pPr>
              <w:pStyle w:val="DHHStabletext"/>
            </w:pPr>
            <w:r w:rsidRPr="00AF2C3F">
              <w:t>Total</w:t>
            </w:r>
          </w:p>
        </w:tc>
        <w:tc>
          <w:tcPr>
            <w:tcW w:w="1244" w:type="dxa"/>
            <w:shd w:val="clear" w:color="auto" w:fill="DCDDDE"/>
            <w:hideMark/>
          </w:tcPr>
          <w:p w14:paraId="73736CA0" w14:textId="76BD2C05" w:rsidR="00F8599A" w:rsidRPr="00AF2C3F" w:rsidRDefault="00F8599A" w:rsidP="00AF2C3F">
            <w:pPr>
              <w:pStyle w:val="DHHStabletext"/>
            </w:pPr>
            <w:r w:rsidRPr="00AF2C3F">
              <w:t>1,935,262</w:t>
            </w:r>
          </w:p>
        </w:tc>
        <w:tc>
          <w:tcPr>
            <w:tcW w:w="1244" w:type="dxa"/>
            <w:shd w:val="clear" w:color="auto" w:fill="DCDDDE"/>
            <w:hideMark/>
          </w:tcPr>
          <w:p w14:paraId="2E1B216C" w14:textId="2F4E17A2" w:rsidR="00F8599A" w:rsidRPr="00AF2C3F" w:rsidRDefault="00F8599A" w:rsidP="00AF2C3F">
            <w:pPr>
              <w:pStyle w:val="DHHStabletext"/>
            </w:pPr>
            <w:r w:rsidRPr="00AF2C3F">
              <w:t>1,675,772</w:t>
            </w:r>
          </w:p>
        </w:tc>
        <w:tc>
          <w:tcPr>
            <w:tcW w:w="1198" w:type="dxa"/>
            <w:shd w:val="clear" w:color="auto" w:fill="DCDDDE"/>
            <w:hideMark/>
          </w:tcPr>
          <w:p w14:paraId="61DE0A45" w14:textId="6E5BAAB8" w:rsidR="00F8599A" w:rsidRPr="00AF2C3F" w:rsidRDefault="00F8599A" w:rsidP="00AF2C3F">
            <w:pPr>
              <w:pStyle w:val="DHHStabletext"/>
            </w:pPr>
            <w:r w:rsidRPr="00AF2C3F">
              <w:t>2,407,730</w:t>
            </w:r>
          </w:p>
        </w:tc>
      </w:tr>
      <w:tr w:rsidR="00F8599A" w14:paraId="64F45DA8" w14:textId="77777777" w:rsidTr="00235E13">
        <w:trPr>
          <w:trHeight w:val="401"/>
        </w:trPr>
        <w:tc>
          <w:tcPr>
            <w:tcW w:w="2664" w:type="dxa"/>
            <w:vMerge w:val="restart"/>
            <w:hideMark/>
          </w:tcPr>
          <w:p w14:paraId="1E3782AC" w14:textId="77777777" w:rsidR="00F8599A" w:rsidRPr="00EE31F2" w:rsidRDefault="00F8599A" w:rsidP="00F8599A">
            <w:pPr>
              <w:pStyle w:val="DHHStabletext"/>
            </w:pPr>
            <w:r w:rsidRPr="00EE31F2">
              <w:t>Total service hours, by sector**</w:t>
            </w:r>
          </w:p>
        </w:tc>
        <w:tc>
          <w:tcPr>
            <w:tcW w:w="3529" w:type="dxa"/>
            <w:hideMark/>
          </w:tcPr>
          <w:p w14:paraId="529CBD53" w14:textId="27B0D82E" w:rsidR="00F8599A" w:rsidRPr="00AF2C3F" w:rsidRDefault="00F8599A" w:rsidP="00AF2C3F">
            <w:pPr>
              <w:pStyle w:val="DHHStabletext"/>
            </w:pPr>
            <w:r w:rsidRPr="00AF2C3F">
              <w:t>Adult</w:t>
            </w:r>
          </w:p>
        </w:tc>
        <w:tc>
          <w:tcPr>
            <w:tcW w:w="1244" w:type="dxa"/>
            <w:hideMark/>
          </w:tcPr>
          <w:p w14:paraId="621805DF" w14:textId="3CC5DF95" w:rsidR="00F8599A" w:rsidRPr="00AF2C3F" w:rsidRDefault="00F8599A" w:rsidP="00AF2C3F">
            <w:pPr>
              <w:pStyle w:val="DHHStabletext"/>
            </w:pPr>
            <w:r w:rsidRPr="00AF2C3F">
              <w:t>665,759</w:t>
            </w:r>
          </w:p>
        </w:tc>
        <w:tc>
          <w:tcPr>
            <w:tcW w:w="1244" w:type="dxa"/>
            <w:hideMark/>
          </w:tcPr>
          <w:p w14:paraId="4EA62B5B" w14:textId="5C505B27" w:rsidR="00F8599A" w:rsidRPr="00AF2C3F" w:rsidRDefault="00F8599A" w:rsidP="00AF2C3F">
            <w:pPr>
              <w:pStyle w:val="DHHStabletext"/>
            </w:pPr>
            <w:r w:rsidRPr="00AF2C3F">
              <w:t>585,352</w:t>
            </w:r>
          </w:p>
        </w:tc>
        <w:tc>
          <w:tcPr>
            <w:tcW w:w="1198" w:type="dxa"/>
            <w:hideMark/>
          </w:tcPr>
          <w:p w14:paraId="57DA18C0" w14:textId="6EF9A850" w:rsidR="00F8599A" w:rsidRPr="00AF2C3F" w:rsidRDefault="00F8599A" w:rsidP="00AF2C3F">
            <w:pPr>
              <w:pStyle w:val="DHHStabletext"/>
            </w:pPr>
            <w:r w:rsidRPr="00AF2C3F">
              <w:t>910,305</w:t>
            </w:r>
          </w:p>
        </w:tc>
      </w:tr>
      <w:tr w:rsidR="00F8599A" w14:paraId="55DE1280" w14:textId="77777777" w:rsidTr="00235E13">
        <w:trPr>
          <w:trHeight w:val="327"/>
        </w:trPr>
        <w:tc>
          <w:tcPr>
            <w:tcW w:w="2664" w:type="dxa"/>
            <w:vMerge/>
            <w:vAlign w:val="center"/>
            <w:hideMark/>
          </w:tcPr>
          <w:p w14:paraId="0DB9E30E" w14:textId="77777777" w:rsidR="00F8599A" w:rsidRPr="00EE31F2" w:rsidRDefault="00F8599A" w:rsidP="00F8599A">
            <w:pPr>
              <w:pStyle w:val="DHHStabletext"/>
              <w:rPr>
                <w:rFonts w:eastAsia="Trebuchet MS"/>
              </w:rPr>
            </w:pPr>
          </w:p>
        </w:tc>
        <w:tc>
          <w:tcPr>
            <w:tcW w:w="3529" w:type="dxa"/>
            <w:hideMark/>
          </w:tcPr>
          <w:p w14:paraId="2F484E94" w14:textId="713950BB" w:rsidR="00F8599A" w:rsidRPr="00AF2C3F" w:rsidRDefault="00F8599A" w:rsidP="00AF2C3F">
            <w:pPr>
              <w:pStyle w:val="DHHStabletext"/>
            </w:pPr>
            <w:r w:rsidRPr="00AF2C3F">
              <w:t>Aged</w:t>
            </w:r>
          </w:p>
        </w:tc>
        <w:tc>
          <w:tcPr>
            <w:tcW w:w="1244" w:type="dxa"/>
            <w:hideMark/>
          </w:tcPr>
          <w:p w14:paraId="03FB49FA" w14:textId="725537D8" w:rsidR="00F8599A" w:rsidRPr="00AF2C3F" w:rsidRDefault="00F8599A" w:rsidP="00AF2C3F">
            <w:pPr>
              <w:pStyle w:val="DHHStabletext"/>
            </w:pPr>
            <w:r w:rsidRPr="00AF2C3F">
              <w:t>103,618</w:t>
            </w:r>
          </w:p>
        </w:tc>
        <w:tc>
          <w:tcPr>
            <w:tcW w:w="1244" w:type="dxa"/>
            <w:hideMark/>
          </w:tcPr>
          <w:p w14:paraId="5A51B6DD" w14:textId="6B7B2B70" w:rsidR="00F8599A" w:rsidRPr="00AF2C3F" w:rsidRDefault="00F8599A" w:rsidP="00AF2C3F">
            <w:pPr>
              <w:pStyle w:val="DHHStabletext"/>
            </w:pPr>
            <w:r w:rsidRPr="00AF2C3F">
              <w:t>86,138</w:t>
            </w:r>
          </w:p>
        </w:tc>
        <w:tc>
          <w:tcPr>
            <w:tcW w:w="1198" w:type="dxa"/>
            <w:hideMark/>
          </w:tcPr>
          <w:p w14:paraId="0BE11B39" w14:textId="449530A5" w:rsidR="00F8599A" w:rsidRPr="00AF2C3F" w:rsidRDefault="00F8599A" w:rsidP="00AF2C3F">
            <w:pPr>
              <w:pStyle w:val="DHHStabletext"/>
            </w:pPr>
            <w:r w:rsidRPr="00AF2C3F">
              <w:t>125,884</w:t>
            </w:r>
          </w:p>
        </w:tc>
      </w:tr>
      <w:tr w:rsidR="00F8599A" w14:paraId="696A8C8A" w14:textId="77777777" w:rsidTr="00235E13">
        <w:trPr>
          <w:trHeight w:val="330"/>
        </w:trPr>
        <w:tc>
          <w:tcPr>
            <w:tcW w:w="2664" w:type="dxa"/>
            <w:vMerge/>
            <w:vAlign w:val="center"/>
            <w:hideMark/>
          </w:tcPr>
          <w:p w14:paraId="4378AC90" w14:textId="77777777" w:rsidR="00F8599A" w:rsidRPr="00EE31F2" w:rsidRDefault="00F8599A" w:rsidP="00F8599A">
            <w:pPr>
              <w:pStyle w:val="DHHStabletext"/>
              <w:rPr>
                <w:rFonts w:eastAsia="Trebuchet MS"/>
              </w:rPr>
            </w:pPr>
          </w:p>
        </w:tc>
        <w:tc>
          <w:tcPr>
            <w:tcW w:w="3529" w:type="dxa"/>
            <w:hideMark/>
          </w:tcPr>
          <w:p w14:paraId="0780F804" w14:textId="5B8BC66D" w:rsidR="00F8599A" w:rsidRPr="00AF2C3F" w:rsidRDefault="00F8599A" w:rsidP="00AF2C3F">
            <w:pPr>
              <w:pStyle w:val="DHHStabletext"/>
            </w:pPr>
            <w:r w:rsidRPr="00AF2C3F">
              <w:t>CAMHS</w:t>
            </w:r>
          </w:p>
        </w:tc>
        <w:tc>
          <w:tcPr>
            <w:tcW w:w="1244" w:type="dxa"/>
            <w:hideMark/>
          </w:tcPr>
          <w:p w14:paraId="79B773E9" w14:textId="1952B8AF" w:rsidR="00F8599A" w:rsidRPr="00AF2C3F" w:rsidRDefault="00F8599A" w:rsidP="00AF2C3F">
            <w:pPr>
              <w:pStyle w:val="DHHStabletext"/>
            </w:pPr>
            <w:r w:rsidRPr="00AF2C3F">
              <w:t>171,288</w:t>
            </w:r>
          </w:p>
        </w:tc>
        <w:tc>
          <w:tcPr>
            <w:tcW w:w="1244" w:type="dxa"/>
            <w:hideMark/>
          </w:tcPr>
          <w:p w14:paraId="0DE6B645" w14:textId="7E44B1B2" w:rsidR="00F8599A" w:rsidRPr="00AF2C3F" w:rsidRDefault="00F8599A" w:rsidP="00AF2C3F">
            <w:pPr>
              <w:pStyle w:val="DHHStabletext"/>
            </w:pPr>
            <w:r w:rsidRPr="00AF2C3F">
              <w:t>180,029</w:t>
            </w:r>
          </w:p>
        </w:tc>
        <w:tc>
          <w:tcPr>
            <w:tcW w:w="1198" w:type="dxa"/>
            <w:hideMark/>
          </w:tcPr>
          <w:p w14:paraId="66EB3C05" w14:textId="47AFB4E4" w:rsidR="00F8599A" w:rsidRPr="00AF2C3F" w:rsidRDefault="00F8599A" w:rsidP="00AF2C3F">
            <w:pPr>
              <w:pStyle w:val="DHHStabletext"/>
            </w:pPr>
            <w:r w:rsidRPr="00AF2C3F">
              <w:t>218,709</w:t>
            </w:r>
          </w:p>
        </w:tc>
      </w:tr>
      <w:tr w:rsidR="00F8599A" w14:paraId="212905D1" w14:textId="77777777" w:rsidTr="00235E13">
        <w:trPr>
          <w:trHeight w:val="330"/>
        </w:trPr>
        <w:tc>
          <w:tcPr>
            <w:tcW w:w="2664" w:type="dxa"/>
            <w:vMerge/>
            <w:vAlign w:val="center"/>
            <w:hideMark/>
          </w:tcPr>
          <w:p w14:paraId="379E8C95" w14:textId="77777777" w:rsidR="00F8599A" w:rsidRPr="00EE31F2" w:rsidRDefault="00F8599A" w:rsidP="00F8599A">
            <w:pPr>
              <w:pStyle w:val="DHHStabletext"/>
              <w:rPr>
                <w:rFonts w:eastAsia="Trebuchet MS"/>
              </w:rPr>
            </w:pPr>
          </w:p>
        </w:tc>
        <w:tc>
          <w:tcPr>
            <w:tcW w:w="3529" w:type="dxa"/>
            <w:hideMark/>
          </w:tcPr>
          <w:p w14:paraId="58841308" w14:textId="456B7A1C" w:rsidR="00F8599A" w:rsidRPr="00AF2C3F" w:rsidRDefault="00F8599A" w:rsidP="00AF2C3F">
            <w:pPr>
              <w:pStyle w:val="DHHStabletext"/>
            </w:pPr>
            <w:r w:rsidRPr="00AF2C3F">
              <w:t>Forensic</w:t>
            </w:r>
          </w:p>
        </w:tc>
        <w:tc>
          <w:tcPr>
            <w:tcW w:w="1244" w:type="dxa"/>
            <w:hideMark/>
          </w:tcPr>
          <w:p w14:paraId="5DDB111E" w14:textId="5695A09E" w:rsidR="00F8599A" w:rsidRPr="00AF2C3F" w:rsidRDefault="00F8599A" w:rsidP="00AF2C3F">
            <w:pPr>
              <w:pStyle w:val="DHHStabletext"/>
            </w:pPr>
            <w:r w:rsidRPr="00AF2C3F">
              <w:t>10,597</w:t>
            </w:r>
          </w:p>
        </w:tc>
        <w:tc>
          <w:tcPr>
            <w:tcW w:w="1244" w:type="dxa"/>
            <w:hideMark/>
          </w:tcPr>
          <w:p w14:paraId="382C855D" w14:textId="36D17764" w:rsidR="00F8599A" w:rsidRPr="00AF2C3F" w:rsidRDefault="00F8599A" w:rsidP="00AF2C3F">
            <w:pPr>
              <w:pStyle w:val="DHHStabletext"/>
            </w:pPr>
            <w:r w:rsidRPr="00AF2C3F">
              <w:t>10,652</w:t>
            </w:r>
          </w:p>
        </w:tc>
        <w:tc>
          <w:tcPr>
            <w:tcW w:w="1198" w:type="dxa"/>
            <w:hideMark/>
          </w:tcPr>
          <w:p w14:paraId="1F0515FB" w14:textId="0F1D0699" w:rsidR="00F8599A" w:rsidRPr="00AF2C3F" w:rsidRDefault="00F8599A" w:rsidP="00AF2C3F">
            <w:pPr>
              <w:pStyle w:val="DHHStabletext"/>
            </w:pPr>
            <w:r w:rsidRPr="00AF2C3F">
              <w:t>12,225</w:t>
            </w:r>
          </w:p>
        </w:tc>
      </w:tr>
      <w:tr w:rsidR="00F8599A" w14:paraId="3AC6DB4D" w14:textId="77777777" w:rsidTr="00235E13">
        <w:trPr>
          <w:trHeight w:val="330"/>
        </w:trPr>
        <w:tc>
          <w:tcPr>
            <w:tcW w:w="2664" w:type="dxa"/>
            <w:vMerge/>
            <w:vAlign w:val="center"/>
            <w:hideMark/>
          </w:tcPr>
          <w:p w14:paraId="3DD0EF47" w14:textId="77777777" w:rsidR="00F8599A" w:rsidRPr="00EE31F2" w:rsidRDefault="00F8599A" w:rsidP="00F8599A">
            <w:pPr>
              <w:pStyle w:val="DHHStabletext"/>
              <w:rPr>
                <w:rFonts w:eastAsia="Trebuchet MS"/>
              </w:rPr>
            </w:pPr>
          </w:p>
        </w:tc>
        <w:tc>
          <w:tcPr>
            <w:tcW w:w="3529" w:type="dxa"/>
            <w:hideMark/>
          </w:tcPr>
          <w:p w14:paraId="13785428" w14:textId="05B9A8A7" w:rsidR="00F8599A" w:rsidRPr="00AF2C3F" w:rsidRDefault="00F8599A" w:rsidP="00AF2C3F">
            <w:pPr>
              <w:pStyle w:val="DHHStabletext"/>
            </w:pPr>
            <w:r w:rsidRPr="00AF2C3F">
              <w:t>Specialist</w:t>
            </w:r>
          </w:p>
        </w:tc>
        <w:tc>
          <w:tcPr>
            <w:tcW w:w="1244" w:type="dxa"/>
            <w:hideMark/>
          </w:tcPr>
          <w:p w14:paraId="0A414273" w14:textId="77BD07CB" w:rsidR="00F8599A" w:rsidRPr="00AF2C3F" w:rsidRDefault="00F8599A" w:rsidP="00AF2C3F">
            <w:pPr>
              <w:pStyle w:val="DHHStabletext"/>
            </w:pPr>
            <w:r w:rsidRPr="00AF2C3F">
              <w:t>20,701</w:t>
            </w:r>
          </w:p>
        </w:tc>
        <w:tc>
          <w:tcPr>
            <w:tcW w:w="1244" w:type="dxa"/>
            <w:hideMark/>
          </w:tcPr>
          <w:p w14:paraId="049EE6EF" w14:textId="358B842B" w:rsidR="00F8599A" w:rsidRPr="00AF2C3F" w:rsidRDefault="00F8599A" w:rsidP="00AF2C3F">
            <w:pPr>
              <w:pStyle w:val="DHHStabletext"/>
            </w:pPr>
            <w:r w:rsidRPr="00AF2C3F">
              <w:t>19,778</w:t>
            </w:r>
          </w:p>
        </w:tc>
        <w:tc>
          <w:tcPr>
            <w:tcW w:w="1198" w:type="dxa"/>
            <w:hideMark/>
          </w:tcPr>
          <w:p w14:paraId="5F0E184B" w14:textId="523C2654" w:rsidR="00F8599A" w:rsidRPr="00AF2C3F" w:rsidRDefault="00F8599A" w:rsidP="00AF2C3F">
            <w:pPr>
              <w:pStyle w:val="DHHStabletext"/>
            </w:pPr>
            <w:r w:rsidRPr="00AF2C3F">
              <w:t>20,902</w:t>
            </w:r>
          </w:p>
        </w:tc>
      </w:tr>
      <w:tr w:rsidR="00F8599A" w14:paraId="6E237A91" w14:textId="77777777" w:rsidTr="00235E13">
        <w:trPr>
          <w:trHeight w:val="406"/>
        </w:trPr>
        <w:tc>
          <w:tcPr>
            <w:tcW w:w="2664" w:type="dxa"/>
            <w:vMerge/>
            <w:vAlign w:val="center"/>
            <w:hideMark/>
          </w:tcPr>
          <w:p w14:paraId="79D7DB95" w14:textId="77777777" w:rsidR="00F8599A" w:rsidRPr="00EE31F2" w:rsidRDefault="00F8599A" w:rsidP="00F8599A">
            <w:pPr>
              <w:pStyle w:val="DHHStabletext"/>
              <w:rPr>
                <w:rFonts w:eastAsia="Trebuchet MS"/>
              </w:rPr>
            </w:pPr>
          </w:p>
        </w:tc>
        <w:tc>
          <w:tcPr>
            <w:tcW w:w="3529" w:type="dxa"/>
            <w:shd w:val="clear" w:color="auto" w:fill="DCDDDE"/>
            <w:hideMark/>
          </w:tcPr>
          <w:p w14:paraId="690FCF53" w14:textId="0C96625D" w:rsidR="00F8599A" w:rsidRPr="00AF2C3F" w:rsidRDefault="00F8599A" w:rsidP="00AF2C3F">
            <w:pPr>
              <w:pStyle w:val="DHHStabletext"/>
            </w:pPr>
            <w:r w:rsidRPr="00AF2C3F">
              <w:t>Total</w:t>
            </w:r>
          </w:p>
        </w:tc>
        <w:tc>
          <w:tcPr>
            <w:tcW w:w="1244" w:type="dxa"/>
            <w:shd w:val="clear" w:color="auto" w:fill="DCDDDE"/>
            <w:hideMark/>
          </w:tcPr>
          <w:p w14:paraId="1E918815" w14:textId="70430F69" w:rsidR="00F8599A" w:rsidRPr="00AF2C3F" w:rsidRDefault="00F8599A" w:rsidP="00AF2C3F">
            <w:pPr>
              <w:pStyle w:val="DHHStabletext"/>
            </w:pPr>
            <w:r w:rsidRPr="00AF2C3F">
              <w:t>971,965</w:t>
            </w:r>
          </w:p>
        </w:tc>
        <w:tc>
          <w:tcPr>
            <w:tcW w:w="1244" w:type="dxa"/>
            <w:shd w:val="clear" w:color="auto" w:fill="DCDDDE"/>
            <w:hideMark/>
          </w:tcPr>
          <w:p w14:paraId="501E5ACE" w14:textId="10742629" w:rsidR="00F8599A" w:rsidRPr="00AF2C3F" w:rsidRDefault="00F8599A" w:rsidP="00AF2C3F">
            <w:pPr>
              <w:pStyle w:val="DHHStabletext"/>
            </w:pPr>
            <w:r w:rsidRPr="00AF2C3F">
              <w:t>881,950</w:t>
            </w:r>
          </w:p>
        </w:tc>
        <w:tc>
          <w:tcPr>
            <w:tcW w:w="1198" w:type="dxa"/>
            <w:shd w:val="clear" w:color="auto" w:fill="DCDDDE"/>
            <w:hideMark/>
          </w:tcPr>
          <w:p w14:paraId="378E6E1F" w14:textId="4348F06A" w:rsidR="00F8599A" w:rsidRPr="00AF2C3F" w:rsidRDefault="00F8599A" w:rsidP="00AF2C3F">
            <w:pPr>
              <w:pStyle w:val="DHHStabletext"/>
            </w:pPr>
            <w:r w:rsidRPr="00AF2C3F">
              <w:t>1,288,028</w:t>
            </w:r>
          </w:p>
        </w:tc>
      </w:tr>
      <w:tr w:rsidR="00F8599A" w14:paraId="14C747C0" w14:textId="77777777" w:rsidTr="00235E13">
        <w:trPr>
          <w:trHeight w:val="946"/>
        </w:trPr>
        <w:tc>
          <w:tcPr>
            <w:tcW w:w="2664" w:type="dxa"/>
            <w:hideMark/>
          </w:tcPr>
          <w:p w14:paraId="62220EAD" w14:textId="0264B9DC" w:rsidR="00F8599A" w:rsidRPr="00EE31F2" w:rsidRDefault="00F8599A" w:rsidP="00F8599A">
            <w:pPr>
              <w:pStyle w:val="DHHStabletext"/>
            </w:pPr>
            <w:r w:rsidRPr="00EE31F2">
              <w:t xml:space="preserve">Unregistered </w:t>
            </w:r>
            <w:r w:rsidR="00E66A2D">
              <w:t>consumer</w:t>
            </w:r>
            <w:r w:rsidR="00E66A2D" w:rsidRPr="00EE31F2">
              <w:t xml:space="preserve"> </w:t>
            </w:r>
            <w:r w:rsidRPr="00EE31F2">
              <w:t>service hours, by sector (%)**</w:t>
            </w:r>
          </w:p>
        </w:tc>
        <w:tc>
          <w:tcPr>
            <w:tcW w:w="3529" w:type="dxa"/>
          </w:tcPr>
          <w:p w14:paraId="5D8E93C7" w14:textId="29C0E9D6" w:rsidR="00F8599A" w:rsidRPr="00AF2C3F" w:rsidRDefault="00F8599A" w:rsidP="00AF2C3F">
            <w:pPr>
              <w:pStyle w:val="DHHStabletext"/>
            </w:pPr>
            <w:r w:rsidRPr="00AF2C3F">
              <w:t>Total</w:t>
            </w:r>
          </w:p>
        </w:tc>
        <w:tc>
          <w:tcPr>
            <w:tcW w:w="1244" w:type="dxa"/>
          </w:tcPr>
          <w:p w14:paraId="384FDA73" w14:textId="63FC6FFB" w:rsidR="00F8599A" w:rsidRPr="00AF2C3F" w:rsidRDefault="00F8599A" w:rsidP="00AF2C3F">
            <w:pPr>
              <w:pStyle w:val="DHHStabletext"/>
            </w:pPr>
            <w:r w:rsidRPr="00AF2C3F">
              <w:t>15.5%</w:t>
            </w:r>
          </w:p>
        </w:tc>
        <w:tc>
          <w:tcPr>
            <w:tcW w:w="1244" w:type="dxa"/>
          </w:tcPr>
          <w:p w14:paraId="3ADA60D5" w14:textId="6570DE2C" w:rsidR="00F8599A" w:rsidRPr="00AF2C3F" w:rsidRDefault="00F8599A" w:rsidP="00AF2C3F">
            <w:pPr>
              <w:pStyle w:val="DHHStabletext"/>
            </w:pPr>
            <w:r w:rsidRPr="00AF2C3F">
              <w:t>15.7%</w:t>
            </w:r>
          </w:p>
        </w:tc>
        <w:tc>
          <w:tcPr>
            <w:tcW w:w="1198" w:type="dxa"/>
          </w:tcPr>
          <w:p w14:paraId="2D50EE00" w14:textId="22DBB265" w:rsidR="00F8599A" w:rsidRPr="00AF2C3F" w:rsidRDefault="00F8599A" w:rsidP="00AF2C3F">
            <w:pPr>
              <w:pStyle w:val="DHHStabletext"/>
            </w:pPr>
            <w:r w:rsidRPr="00AF2C3F">
              <w:t>15.6%</w:t>
            </w:r>
          </w:p>
        </w:tc>
      </w:tr>
    </w:tbl>
    <w:p w14:paraId="3C184ABF" w14:textId="77777777" w:rsidR="004E24F2" w:rsidRDefault="004E24F2" w:rsidP="004E24F2">
      <w:pPr>
        <w:rPr>
          <w:sz w:val="19"/>
        </w:rPr>
        <w:sectPr w:rsidR="004E24F2" w:rsidSect="004E24F2">
          <w:pgSz w:w="11910" w:h="16840"/>
          <w:pgMar w:top="1699" w:right="1310" w:bottom="1138" w:left="1310" w:header="1" w:footer="413" w:gutter="0"/>
          <w:cols w:space="720"/>
        </w:sectPr>
      </w:pPr>
    </w:p>
    <w:p w14:paraId="0AF84B7F" w14:textId="77777777" w:rsidR="004E24F2" w:rsidRDefault="004E24F2" w:rsidP="00985332">
      <w:pPr>
        <w:pStyle w:val="DHHSbody"/>
      </w:pPr>
    </w:p>
    <w:tbl>
      <w:tblPr>
        <w:tblW w:w="9943"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8"/>
        <w:gridCol w:w="3436"/>
        <w:gridCol w:w="1244"/>
        <w:gridCol w:w="1244"/>
        <w:gridCol w:w="1241"/>
      </w:tblGrid>
      <w:tr w:rsidR="00F8599A" w14:paraId="319BC0AD" w14:textId="77777777" w:rsidTr="00235E13">
        <w:trPr>
          <w:trHeight w:val="396"/>
          <w:tblHeader/>
        </w:trPr>
        <w:tc>
          <w:tcPr>
            <w:tcW w:w="2778" w:type="dxa"/>
            <w:shd w:val="clear" w:color="auto" w:fill="auto"/>
            <w:hideMark/>
          </w:tcPr>
          <w:p w14:paraId="7274ECE6" w14:textId="77777777" w:rsidR="00F8599A" w:rsidRDefault="00F8599A" w:rsidP="00F8599A">
            <w:pPr>
              <w:pStyle w:val="DHHStablecolhead"/>
              <w:rPr>
                <w:rFonts w:ascii="Trebuchet MS"/>
              </w:rPr>
            </w:pPr>
            <w:r>
              <w:rPr>
                <w:w w:val="105"/>
              </w:rPr>
              <w:t>Service performance</w:t>
            </w:r>
          </w:p>
        </w:tc>
        <w:tc>
          <w:tcPr>
            <w:tcW w:w="3436" w:type="dxa"/>
            <w:shd w:val="clear" w:color="auto" w:fill="auto"/>
            <w:hideMark/>
          </w:tcPr>
          <w:p w14:paraId="0AB12261" w14:textId="77777777" w:rsidR="00F8599A" w:rsidRDefault="00F8599A" w:rsidP="00F8599A">
            <w:pPr>
              <w:pStyle w:val="DHHStablecolhead"/>
            </w:pPr>
            <w:r>
              <w:rPr>
                <w:w w:val="105"/>
              </w:rPr>
              <w:t>Population</w:t>
            </w:r>
          </w:p>
        </w:tc>
        <w:tc>
          <w:tcPr>
            <w:tcW w:w="1244" w:type="dxa"/>
            <w:shd w:val="clear" w:color="auto" w:fill="auto"/>
            <w:hideMark/>
          </w:tcPr>
          <w:p w14:paraId="4880893A" w14:textId="65D4EFF2" w:rsidR="00F8599A" w:rsidRDefault="00F8599A" w:rsidP="00F8599A">
            <w:pPr>
              <w:pStyle w:val="DHHStablecolhead"/>
            </w:pPr>
            <w:r w:rsidRPr="009F0C73">
              <w:t>2015–16</w:t>
            </w:r>
          </w:p>
        </w:tc>
        <w:tc>
          <w:tcPr>
            <w:tcW w:w="1244" w:type="dxa"/>
            <w:shd w:val="clear" w:color="auto" w:fill="auto"/>
            <w:hideMark/>
          </w:tcPr>
          <w:p w14:paraId="061D536F" w14:textId="4092E68B" w:rsidR="00F8599A" w:rsidRDefault="00F8599A" w:rsidP="00F8599A">
            <w:pPr>
              <w:pStyle w:val="DHHStablecolhead"/>
            </w:pPr>
            <w:r w:rsidRPr="009F0C73">
              <w:t>201</w:t>
            </w:r>
            <w:r>
              <w:t>6</w:t>
            </w:r>
            <w:r w:rsidRPr="009F0C73">
              <w:t>–1</w:t>
            </w:r>
            <w:r>
              <w:t>7</w:t>
            </w:r>
          </w:p>
        </w:tc>
        <w:tc>
          <w:tcPr>
            <w:tcW w:w="1241" w:type="dxa"/>
            <w:shd w:val="clear" w:color="auto" w:fill="auto"/>
            <w:hideMark/>
          </w:tcPr>
          <w:p w14:paraId="2E16893D" w14:textId="372642BA" w:rsidR="00F8599A" w:rsidRDefault="00F8599A" w:rsidP="00F8599A">
            <w:pPr>
              <w:pStyle w:val="DHHStablecolhead"/>
            </w:pPr>
            <w:r w:rsidRPr="009F0C73">
              <w:t>201</w:t>
            </w:r>
            <w:r>
              <w:t>7</w:t>
            </w:r>
            <w:r w:rsidRPr="009F0C73">
              <w:t>–1</w:t>
            </w:r>
            <w:r>
              <w:t>8</w:t>
            </w:r>
          </w:p>
        </w:tc>
      </w:tr>
      <w:tr w:rsidR="00F8599A" w14:paraId="79F5CE74" w14:textId="77777777" w:rsidTr="00235E13">
        <w:trPr>
          <w:trHeight w:val="335"/>
        </w:trPr>
        <w:tc>
          <w:tcPr>
            <w:tcW w:w="2778" w:type="dxa"/>
            <w:vMerge w:val="restart"/>
            <w:hideMark/>
          </w:tcPr>
          <w:p w14:paraId="3F3B8CAE" w14:textId="77777777" w:rsidR="00F8599A" w:rsidRPr="008A08FD" w:rsidRDefault="00F8599A" w:rsidP="00F8599A">
            <w:pPr>
              <w:pStyle w:val="DHHStabletext"/>
            </w:pPr>
            <w:r w:rsidRPr="008A08FD">
              <w:t>Readmission to inpatient rate 28 day (lagged 1 month)</w:t>
            </w:r>
          </w:p>
        </w:tc>
        <w:tc>
          <w:tcPr>
            <w:tcW w:w="3436" w:type="dxa"/>
            <w:hideMark/>
          </w:tcPr>
          <w:p w14:paraId="6A90D543" w14:textId="77777777" w:rsidR="00F8599A" w:rsidRPr="008A08FD" w:rsidRDefault="00F8599A" w:rsidP="00F8599A">
            <w:pPr>
              <w:pStyle w:val="DHHStabletext"/>
            </w:pPr>
            <w:r w:rsidRPr="008A08FD">
              <w:t>Adult</w:t>
            </w:r>
          </w:p>
        </w:tc>
        <w:tc>
          <w:tcPr>
            <w:tcW w:w="1244" w:type="dxa"/>
            <w:hideMark/>
          </w:tcPr>
          <w:p w14:paraId="51525450" w14:textId="6C59E08C" w:rsidR="00F8599A" w:rsidRPr="0075709B" w:rsidRDefault="00F8599A" w:rsidP="0075709B">
            <w:pPr>
              <w:pStyle w:val="DHHStabletext"/>
            </w:pPr>
            <w:r w:rsidRPr="0075709B">
              <w:t>14.9%</w:t>
            </w:r>
          </w:p>
        </w:tc>
        <w:tc>
          <w:tcPr>
            <w:tcW w:w="1244" w:type="dxa"/>
            <w:hideMark/>
          </w:tcPr>
          <w:p w14:paraId="5E796D42" w14:textId="0BD166A3" w:rsidR="00F8599A" w:rsidRPr="0075709B" w:rsidRDefault="00F8599A" w:rsidP="0075709B">
            <w:pPr>
              <w:pStyle w:val="DHHStabletext"/>
            </w:pPr>
            <w:r w:rsidRPr="0075709B">
              <w:t>14.3%</w:t>
            </w:r>
          </w:p>
        </w:tc>
        <w:tc>
          <w:tcPr>
            <w:tcW w:w="1241" w:type="dxa"/>
            <w:hideMark/>
          </w:tcPr>
          <w:p w14:paraId="736161E7" w14:textId="73043A84" w:rsidR="00F8599A" w:rsidRPr="0075709B" w:rsidRDefault="00F8599A" w:rsidP="0075709B">
            <w:pPr>
              <w:pStyle w:val="DHHStabletext"/>
            </w:pPr>
            <w:r w:rsidRPr="0075709B">
              <w:t>14.4%</w:t>
            </w:r>
          </w:p>
        </w:tc>
      </w:tr>
      <w:tr w:rsidR="00F8599A" w14:paraId="38B4215A" w14:textId="77777777" w:rsidTr="00235E13">
        <w:trPr>
          <w:trHeight w:val="330"/>
        </w:trPr>
        <w:tc>
          <w:tcPr>
            <w:tcW w:w="2778" w:type="dxa"/>
            <w:vMerge/>
            <w:vAlign w:val="center"/>
            <w:hideMark/>
          </w:tcPr>
          <w:p w14:paraId="65FE3BF0" w14:textId="77777777" w:rsidR="00F8599A" w:rsidRPr="008A08FD" w:rsidRDefault="00F8599A" w:rsidP="00F8599A">
            <w:pPr>
              <w:pStyle w:val="DHHStabletext"/>
              <w:rPr>
                <w:rFonts w:eastAsia="Trebuchet MS"/>
              </w:rPr>
            </w:pPr>
          </w:p>
        </w:tc>
        <w:tc>
          <w:tcPr>
            <w:tcW w:w="3436" w:type="dxa"/>
            <w:hideMark/>
          </w:tcPr>
          <w:p w14:paraId="654E5382" w14:textId="77777777" w:rsidR="00F8599A" w:rsidRPr="008A08FD" w:rsidRDefault="00F8599A" w:rsidP="00F8599A">
            <w:pPr>
              <w:pStyle w:val="DHHStabletext"/>
            </w:pPr>
            <w:r w:rsidRPr="008A08FD">
              <w:t>Aged</w:t>
            </w:r>
          </w:p>
        </w:tc>
        <w:tc>
          <w:tcPr>
            <w:tcW w:w="1244" w:type="dxa"/>
            <w:hideMark/>
          </w:tcPr>
          <w:p w14:paraId="08E67C98" w14:textId="036AE957" w:rsidR="00F8599A" w:rsidRPr="0075709B" w:rsidRDefault="00F8599A" w:rsidP="0075709B">
            <w:pPr>
              <w:pStyle w:val="DHHStabletext"/>
            </w:pPr>
            <w:r w:rsidRPr="0075709B">
              <w:t>7.0%</w:t>
            </w:r>
          </w:p>
        </w:tc>
        <w:tc>
          <w:tcPr>
            <w:tcW w:w="1244" w:type="dxa"/>
            <w:hideMark/>
          </w:tcPr>
          <w:p w14:paraId="0D4688F2" w14:textId="37318B0A" w:rsidR="00F8599A" w:rsidRPr="0075709B" w:rsidRDefault="00F8599A" w:rsidP="0075709B">
            <w:pPr>
              <w:pStyle w:val="DHHStabletext"/>
            </w:pPr>
            <w:r w:rsidRPr="0075709B">
              <w:t>6.8%</w:t>
            </w:r>
          </w:p>
        </w:tc>
        <w:tc>
          <w:tcPr>
            <w:tcW w:w="1241" w:type="dxa"/>
            <w:hideMark/>
          </w:tcPr>
          <w:p w14:paraId="66006874" w14:textId="2B6A35A9" w:rsidR="00F8599A" w:rsidRPr="0075709B" w:rsidRDefault="00F8599A" w:rsidP="0075709B">
            <w:pPr>
              <w:pStyle w:val="DHHStabletext"/>
            </w:pPr>
            <w:r w:rsidRPr="0075709B">
              <w:t>8.5%</w:t>
            </w:r>
          </w:p>
        </w:tc>
      </w:tr>
      <w:tr w:rsidR="00F8599A" w14:paraId="77635265" w14:textId="77777777" w:rsidTr="00235E13">
        <w:trPr>
          <w:trHeight w:val="330"/>
        </w:trPr>
        <w:tc>
          <w:tcPr>
            <w:tcW w:w="2778" w:type="dxa"/>
            <w:vMerge/>
            <w:vAlign w:val="center"/>
            <w:hideMark/>
          </w:tcPr>
          <w:p w14:paraId="71705328" w14:textId="77777777" w:rsidR="00F8599A" w:rsidRPr="008A08FD" w:rsidRDefault="00F8599A" w:rsidP="00F8599A">
            <w:pPr>
              <w:pStyle w:val="DHHStabletext"/>
              <w:rPr>
                <w:rFonts w:eastAsia="Trebuchet MS"/>
              </w:rPr>
            </w:pPr>
          </w:p>
        </w:tc>
        <w:tc>
          <w:tcPr>
            <w:tcW w:w="3436" w:type="dxa"/>
            <w:hideMark/>
          </w:tcPr>
          <w:p w14:paraId="7D332116" w14:textId="77777777" w:rsidR="00F8599A" w:rsidRPr="008A08FD" w:rsidRDefault="00F8599A" w:rsidP="00F8599A">
            <w:pPr>
              <w:pStyle w:val="DHHStabletext"/>
            </w:pPr>
            <w:r w:rsidRPr="008A08FD">
              <w:t>CAMHS</w:t>
            </w:r>
          </w:p>
        </w:tc>
        <w:tc>
          <w:tcPr>
            <w:tcW w:w="1244" w:type="dxa"/>
            <w:hideMark/>
          </w:tcPr>
          <w:p w14:paraId="2D893710" w14:textId="2C944312" w:rsidR="00F8599A" w:rsidRPr="0075709B" w:rsidRDefault="00F8599A" w:rsidP="0075709B">
            <w:pPr>
              <w:pStyle w:val="DHHStabletext"/>
            </w:pPr>
            <w:r w:rsidRPr="0075709B">
              <w:t>16.8%</w:t>
            </w:r>
          </w:p>
        </w:tc>
        <w:tc>
          <w:tcPr>
            <w:tcW w:w="1244" w:type="dxa"/>
            <w:hideMark/>
          </w:tcPr>
          <w:p w14:paraId="04123436" w14:textId="2CFC44DE" w:rsidR="00F8599A" w:rsidRPr="0075709B" w:rsidRDefault="00F8599A" w:rsidP="0075709B">
            <w:pPr>
              <w:pStyle w:val="DHHStabletext"/>
            </w:pPr>
            <w:r w:rsidRPr="0075709B">
              <w:t>17.6%</w:t>
            </w:r>
          </w:p>
        </w:tc>
        <w:tc>
          <w:tcPr>
            <w:tcW w:w="1241" w:type="dxa"/>
            <w:hideMark/>
          </w:tcPr>
          <w:p w14:paraId="4969B576" w14:textId="1BA6049B" w:rsidR="00F8599A" w:rsidRPr="0075709B" w:rsidRDefault="00F8599A" w:rsidP="0075709B">
            <w:pPr>
              <w:pStyle w:val="DHHStabletext"/>
            </w:pPr>
            <w:r w:rsidRPr="0075709B">
              <w:t>19.3%</w:t>
            </w:r>
          </w:p>
        </w:tc>
      </w:tr>
      <w:tr w:rsidR="00F8599A" w14:paraId="5A1CEB85" w14:textId="77777777" w:rsidTr="00235E13">
        <w:trPr>
          <w:trHeight w:val="330"/>
        </w:trPr>
        <w:tc>
          <w:tcPr>
            <w:tcW w:w="2778" w:type="dxa"/>
            <w:vMerge/>
            <w:vAlign w:val="center"/>
            <w:hideMark/>
          </w:tcPr>
          <w:p w14:paraId="385CE76D" w14:textId="77777777" w:rsidR="00F8599A" w:rsidRPr="008A08FD" w:rsidRDefault="00F8599A" w:rsidP="00F8599A">
            <w:pPr>
              <w:pStyle w:val="DHHStabletext"/>
              <w:rPr>
                <w:rFonts w:eastAsia="Trebuchet MS"/>
              </w:rPr>
            </w:pPr>
          </w:p>
        </w:tc>
        <w:tc>
          <w:tcPr>
            <w:tcW w:w="3436" w:type="dxa"/>
            <w:hideMark/>
          </w:tcPr>
          <w:p w14:paraId="5F270874" w14:textId="77777777" w:rsidR="00F8599A" w:rsidRPr="008A08FD" w:rsidRDefault="00F8599A" w:rsidP="00F8599A">
            <w:pPr>
              <w:pStyle w:val="DHHStabletext"/>
            </w:pPr>
            <w:r w:rsidRPr="008A08FD">
              <w:t>Forensic</w:t>
            </w:r>
          </w:p>
        </w:tc>
        <w:tc>
          <w:tcPr>
            <w:tcW w:w="1244" w:type="dxa"/>
            <w:hideMark/>
          </w:tcPr>
          <w:p w14:paraId="777C2B65" w14:textId="134DB8AC" w:rsidR="00F8599A" w:rsidRPr="0075709B" w:rsidRDefault="00F8599A" w:rsidP="0075709B">
            <w:pPr>
              <w:pStyle w:val="DHHStabletext"/>
            </w:pPr>
            <w:r w:rsidRPr="0075709B">
              <w:t>10.0%</w:t>
            </w:r>
          </w:p>
        </w:tc>
        <w:tc>
          <w:tcPr>
            <w:tcW w:w="1244" w:type="dxa"/>
            <w:hideMark/>
          </w:tcPr>
          <w:p w14:paraId="7199B90D" w14:textId="7EAE9FA8" w:rsidR="00F8599A" w:rsidRPr="0075709B" w:rsidRDefault="00F8599A" w:rsidP="0075709B">
            <w:pPr>
              <w:pStyle w:val="DHHStabletext"/>
            </w:pPr>
            <w:r w:rsidRPr="0075709B">
              <w:t>12.3%</w:t>
            </w:r>
          </w:p>
        </w:tc>
        <w:tc>
          <w:tcPr>
            <w:tcW w:w="1241" w:type="dxa"/>
            <w:hideMark/>
          </w:tcPr>
          <w:p w14:paraId="315D0F33" w14:textId="261A3FCE" w:rsidR="00F8599A" w:rsidRPr="0075709B" w:rsidRDefault="00F8599A" w:rsidP="0075709B">
            <w:pPr>
              <w:pStyle w:val="DHHStabletext"/>
            </w:pPr>
            <w:r w:rsidRPr="0075709B">
              <w:t>7.8%</w:t>
            </w:r>
          </w:p>
        </w:tc>
      </w:tr>
      <w:tr w:rsidR="00F8599A" w14:paraId="4A466E61" w14:textId="77777777" w:rsidTr="00235E13">
        <w:trPr>
          <w:trHeight w:val="330"/>
        </w:trPr>
        <w:tc>
          <w:tcPr>
            <w:tcW w:w="2778" w:type="dxa"/>
            <w:vMerge/>
            <w:vAlign w:val="center"/>
            <w:hideMark/>
          </w:tcPr>
          <w:p w14:paraId="22843EE9" w14:textId="77777777" w:rsidR="00F8599A" w:rsidRPr="008A08FD" w:rsidRDefault="00F8599A" w:rsidP="00F8599A">
            <w:pPr>
              <w:pStyle w:val="DHHStabletext"/>
              <w:rPr>
                <w:rFonts w:eastAsia="Trebuchet MS"/>
              </w:rPr>
            </w:pPr>
          </w:p>
        </w:tc>
        <w:tc>
          <w:tcPr>
            <w:tcW w:w="3436" w:type="dxa"/>
            <w:hideMark/>
          </w:tcPr>
          <w:p w14:paraId="466E3235" w14:textId="77777777" w:rsidR="00F8599A" w:rsidRPr="008A08FD" w:rsidRDefault="00F8599A" w:rsidP="00F8599A">
            <w:pPr>
              <w:pStyle w:val="DHHStabletext"/>
            </w:pPr>
            <w:r w:rsidRPr="008A08FD">
              <w:t>Specialist</w:t>
            </w:r>
          </w:p>
        </w:tc>
        <w:tc>
          <w:tcPr>
            <w:tcW w:w="1244" w:type="dxa"/>
            <w:hideMark/>
          </w:tcPr>
          <w:p w14:paraId="0C88F2A0" w14:textId="3FED9642" w:rsidR="00F8599A" w:rsidRPr="0075709B" w:rsidRDefault="00F8599A" w:rsidP="0075709B">
            <w:pPr>
              <w:pStyle w:val="DHHStabletext"/>
            </w:pPr>
            <w:r w:rsidRPr="0075709B">
              <w:t>2.0%</w:t>
            </w:r>
          </w:p>
        </w:tc>
        <w:tc>
          <w:tcPr>
            <w:tcW w:w="1244" w:type="dxa"/>
            <w:hideMark/>
          </w:tcPr>
          <w:p w14:paraId="7CD08FA8" w14:textId="54C5BE1B" w:rsidR="00F8599A" w:rsidRPr="0075709B" w:rsidRDefault="00F8599A" w:rsidP="0075709B">
            <w:pPr>
              <w:pStyle w:val="DHHStabletext"/>
            </w:pPr>
            <w:r w:rsidRPr="0075709B">
              <w:t>2.0%</w:t>
            </w:r>
          </w:p>
        </w:tc>
        <w:tc>
          <w:tcPr>
            <w:tcW w:w="1241" w:type="dxa"/>
            <w:hideMark/>
          </w:tcPr>
          <w:p w14:paraId="68240E53" w14:textId="43F6CCA3" w:rsidR="00F8599A" w:rsidRPr="0075709B" w:rsidRDefault="00F8599A" w:rsidP="0075709B">
            <w:pPr>
              <w:pStyle w:val="DHHStabletext"/>
            </w:pPr>
            <w:r w:rsidRPr="0075709B">
              <w:t>1.2%</w:t>
            </w:r>
          </w:p>
        </w:tc>
      </w:tr>
      <w:tr w:rsidR="00F8599A" w14:paraId="3136E5B5" w14:textId="77777777" w:rsidTr="00235E13">
        <w:trPr>
          <w:trHeight w:val="330"/>
        </w:trPr>
        <w:tc>
          <w:tcPr>
            <w:tcW w:w="2778" w:type="dxa"/>
            <w:vMerge/>
            <w:vAlign w:val="center"/>
            <w:hideMark/>
          </w:tcPr>
          <w:p w14:paraId="0B054C1E" w14:textId="77777777" w:rsidR="00F8599A" w:rsidRPr="008A08FD" w:rsidRDefault="00F8599A" w:rsidP="00F8599A">
            <w:pPr>
              <w:pStyle w:val="DHHStabletext"/>
              <w:rPr>
                <w:rFonts w:eastAsia="Trebuchet MS"/>
              </w:rPr>
            </w:pPr>
          </w:p>
        </w:tc>
        <w:tc>
          <w:tcPr>
            <w:tcW w:w="3436" w:type="dxa"/>
            <w:shd w:val="clear" w:color="auto" w:fill="DCDDDE"/>
            <w:hideMark/>
          </w:tcPr>
          <w:p w14:paraId="6545DC4F" w14:textId="77777777" w:rsidR="00F8599A" w:rsidRPr="008A08FD" w:rsidRDefault="00F8599A" w:rsidP="00F8599A">
            <w:pPr>
              <w:pStyle w:val="DHHStabletext"/>
            </w:pPr>
            <w:r w:rsidRPr="008A08FD">
              <w:t>Total</w:t>
            </w:r>
          </w:p>
        </w:tc>
        <w:tc>
          <w:tcPr>
            <w:tcW w:w="1244" w:type="dxa"/>
            <w:shd w:val="clear" w:color="auto" w:fill="DCDDDE"/>
            <w:hideMark/>
          </w:tcPr>
          <w:p w14:paraId="4421B27E" w14:textId="44638ED2" w:rsidR="00F8599A" w:rsidRPr="0075709B" w:rsidRDefault="00F8599A" w:rsidP="0075709B">
            <w:pPr>
              <w:pStyle w:val="DHHStabletext"/>
            </w:pPr>
            <w:r w:rsidRPr="0075709B">
              <w:t>13.9%</w:t>
            </w:r>
          </w:p>
        </w:tc>
        <w:tc>
          <w:tcPr>
            <w:tcW w:w="1244" w:type="dxa"/>
            <w:shd w:val="clear" w:color="auto" w:fill="DCDDDE"/>
            <w:hideMark/>
          </w:tcPr>
          <w:p w14:paraId="5BC965E9" w14:textId="316C5644" w:rsidR="00F8599A" w:rsidRPr="0075709B" w:rsidRDefault="00F8599A" w:rsidP="0075709B">
            <w:pPr>
              <w:pStyle w:val="DHHStabletext"/>
            </w:pPr>
            <w:r w:rsidRPr="0075709B">
              <w:t>13.4%</w:t>
            </w:r>
          </w:p>
        </w:tc>
        <w:tc>
          <w:tcPr>
            <w:tcW w:w="1241" w:type="dxa"/>
            <w:shd w:val="clear" w:color="auto" w:fill="DCDDDE"/>
            <w:hideMark/>
          </w:tcPr>
          <w:p w14:paraId="58578930" w14:textId="505EDB9E" w:rsidR="00F8599A" w:rsidRPr="0075709B" w:rsidRDefault="00F8599A" w:rsidP="0075709B">
            <w:pPr>
              <w:pStyle w:val="DHHStabletext"/>
            </w:pPr>
            <w:r w:rsidRPr="0075709B">
              <w:t>13.8%</w:t>
            </w:r>
          </w:p>
        </w:tc>
      </w:tr>
      <w:tr w:rsidR="00F8599A" w14:paraId="2A058F23" w14:textId="77777777" w:rsidTr="00235E13">
        <w:trPr>
          <w:trHeight w:val="406"/>
        </w:trPr>
        <w:tc>
          <w:tcPr>
            <w:tcW w:w="2778" w:type="dxa"/>
            <w:vMerge w:val="restart"/>
            <w:hideMark/>
          </w:tcPr>
          <w:p w14:paraId="2217207B" w14:textId="6D3AD156" w:rsidR="00F8599A" w:rsidRPr="008A08FD" w:rsidRDefault="00F8599A" w:rsidP="00F8599A">
            <w:pPr>
              <w:pStyle w:val="DHHStabletext"/>
            </w:pPr>
            <w:r w:rsidRPr="008A08FD">
              <w:t xml:space="preserve">Preadmission contact rate, all </w:t>
            </w:r>
            <w:r w:rsidR="00E66A2D">
              <w:t>consumers</w:t>
            </w:r>
            <w:r w:rsidRPr="008A08FD">
              <w:t>**</w:t>
            </w:r>
          </w:p>
        </w:tc>
        <w:tc>
          <w:tcPr>
            <w:tcW w:w="3436" w:type="dxa"/>
            <w:hideMark/>
          </w:tcPr>
          <w:p w14:paraId="6C45CC59" w14:textId="77777777" w:rsidR="00F8599A" w:rsidRPr="008A08FD" w:rsidRDefault="00F8599A" w:rsidP="00F8599A">
            <w:pPr>
              <w:pStyle w:val="DHHStabletext"/>
            </w:pPr>
            <w:r w:rsidRPr="008A08FD">
              <w:t>Adult</w:t>
            </w:r>
          </w:p>
        </w:tc>
        <w:tc>
          <w:tcPr>
            <w:tcW w:w="1244" w:type="dxa"/>
            <w:hideMark/>
          </w:tcPr>
          <w:p w14:paraId="4CBD5EFA" w14:textId="6B79A93A" w:rsidR="00F8599A" w:rsidRPr="0075709B" w:rsidRDefault="00F8599A" w:rsidP="0075709B">
            <w:pPr>
              <w:pStyle w:val="DHHStabletext"/>
            </w:pPr>
            <w:r w:rsidRPr="0075709B">
              <w:t>58.2%</w:t>
            </w:r>
          </w:p>
        </w:tc>
        <w:tc>
          <w:tcPr>
            <w:tcW w:w="1244" w:type="dxa"/>
            <w:hideMark/>
          </w:tcPr>
          <w:p w14:paraId="17F18559" w14:textId="70D2037E" w:rsidR="00F8599A" w:rsidRPr="0075709B" w:rsidRDefault="00F8599A" w:rsidP="0075709B">
            <w:pPr>
              <w:pStyle w:val="DHHStabletext"/>
            </w:pPr>
            <w:r w:rsidRPr="0075709B">
              <w:t>53.1%</w:t>
            </w:r>
          </w:p>
        </w:tc>
        <w:tc>
          <w:tcPr>
            <w:tcW w:w="1241" w:type="dxa"/>
            <w:hideMark/>
          </w:tcPr>
          <w:p w14:paraId="279569B8" w14:textId="0B2F2FD9" w:rsidR="00F8599A" w:rsidRPr="0075709B" w:rsidRDefault="00F8599A" w:rsidP="0075709B">
            <w:pPr>
              <w:pStyle w:val="DHHStabletext"/>
            </w:pPr>
            <w:r w:rsidRPr="0075709B">
              <w:t>60.2%</w:t>
            </w:r>
          </w:p>
        </w:tc>
      </w:tr>
      <w:tr w:rsidR="00F8599A" w14:paraId="17E5ED16" w14:textId="77777777" w:rsidTr="00235E13">
        <w:trPr>
          <w:trHeight w:val="330"/>
        </w:trPr>
        <w:tc>
          <w:tcPr>
            <w:tcW w:w="2778" w:type="dxa"/>
            <w:vMerge/>
            <w:vAlign w:val="center"/>
            <w:hideMark/>
          </w:tcPr>
          <w:p w14:paraId="3250FCA5" w14:textId="77777777" w:rsidR="00F8599A" w:rsidRPr="008A08FD" w:rsidRDefault="00F8599A" w:rsidP="00F8599A">
            <w:pPr>
              <w:pStyle w:val="DHHStabletext"/>
              <w:rPr>
                <w:rFonts w:eastAsia="Trebuchet MS"/>
              </w:rPr>
            </w:pPr>
          </w:p>
        </w:tc>
        <w:tc>
          <w:tcPr>
            <w:tcW w:w="3436" w:type="dxa"/>
            <w:hideMark/>
          </w:tcPr>
          <w:p w14:paraId="67F911FE" w14:textId="77777777" w:rsidR="00F8599A" w:rsidRPr="008A08FD" w:rsidRDefault="00F8599A" w:rsidP="00F8599A">
            <w:pPr>
              <w:pStyle w:val="DHHStabletext"/>
            </w:pPr>
            <w:r w:rsidRPr="008A08FD">
              <w:t>Aged</w:t>
            </w:r>
          </w:p>
        </w:tc>
        <w:tc>
          <w:tcPr>
            <w:tcW w:w="1244" w:type="dxa"/>
            <w:hideMark/>
          </w:tcPr>
          <w:p w14:paraId="5934251F" w14:textId="62CDE241" w:rsidR="00F8599A" w:rsidRPr="0075709B" w:rsidRDefault="00F8599A" w:rsidP="0075709B">
            <w:pPr>
              <w:pStyle w:val="DHHStabletext"/>
            </w:pPr>
            <w:r w:rsidRPr="0075709B">
              <w:t>64.8%</w:t>
            </w:r>
          </w:p>
        </w:tc>
        <w:tc>
          <w:tcPr>
            <w:tcW w:w="1244" w:type="dxa"/>
            <w:hideMark/>
          </w:tcPr>
          <w:p w14:paraId="40810D06" w14:textId="7F265655" w:rsidR="00F8599A" w:rsidRPr="0075709B" w:rsidRDefault="00F8599A" w:rsidP="0075709B">
            <w:pPr>
              <w:pStyle w:val="DHHStabletext"/>
            </w:pPr>
            <w:r w:rsidRPr="0075709B">
              <w:t>54.0%</w:t>
            </w:r>
          </w:p>
        </w:tc>
        <w:tc>
          <w:tcPr>
            <w:tcW w:w="1241" w:type="dxa"/>
            <w:hideMark/>
          </w:tcPr>
          <w:p w14:paraId="31DD7533" w14:textId="13B5B371" w:rsidR="00F8599A" w:rsidRPr="0075709B" w:rsidRDefault="00F8599A" w:rsidP="0075709B">
            <w:pPr>
              <w:pStyle w:val="DHHStabletext"/>
            </w:pPr>
            <w:r w:rsidRPr="0075709B">
              <w:t>65.0%</w:t>
            </w:r>
          </w:p>
        </w:tc>
      </w:tr>
      <w:tr w:rsidR="00F8599A" w14:paraId="282082F1" w14:textId="77777777" w:rsidTr="00235E13">
        <w:trPr>
          <w:trHeight w:val="327"/>
        </w:trPr>
        <w:tc>
          <w:tcPr>
            <w:tcW w:w="2778" w:type="dxa"/>
            <w:vMerge/>
            <w:vAlign w:val="center"/>
            <w:hideMark/>
          </w:tcPr>
          <w:p w14:paraId="6AC52A60" w14:textId="77777777" w:rsidR="00F8599A" w:rsidRPr="008A08FD" w:rsidRDefault="00F8599A" w:rsidP="00F8599A">
            <w:pPr>
              <w:pStyle w:val="DHHStabletext"/>
              <w:rPr>
                <w:rFonts w:eastAsia="Trebuchet MS"/>
              </w:rPr>
            </w:pPr>
          </w:p>
        </w:tc>
        <w:tc>
          <w:tcPr>
            <w:tcW w:w="3436" w:type="dxa"/>
            <w:hideMark/>
          </w:tcPr>
          <w:p w14:paraId="28F7865C" w14:textId="77777777" w:rsidR="00F8599A" w:rsidRPr="008A08FD" w:rsidRDefault="00F8599A" w:rsidP="00F8599A">
            <w:pPr>
              <w:pStyle w:val="DHHStabletext"/>
            </w:pPr>
            <w:r w:rsidRPr="008A08FD">
              <w:t>CAMHS</w:t>
            </w:r>
          </w:p>
        </w:tc>
        <w:tc>
          <w:tcPr>
            <w:tcW w:w="1244" w:type="dxa"/>
            <w:hideMark/>
          </w:tcPr>
          <w:p w14:paraId="3AEA3709" w14:textId="09FD4C79" w:rsidR="00F8599A" w:rsidRPr="0075709B" w:rsidRDefault="00F8599A" w:rsidP="0075709B">
            <w:pPr>
              <w:pStyle w:val="DHHStabletext"/>
            </w:pPr>
            <w:r w:rsidRPr="0075709B">
              <w:t>53.8%</w:t>
            </w:r>
          </w:p>
        </w:tc>
        <w:tc>
          <w:tcPr>
            <w:tcW w:w="1244" w:type="dxa"/>
            <w:hideMark/>
          </w:tcPr>
          <w:p w14:paraId="464E3647" w14:textId="16363DA3" w:rsidR="00F8599A" w:rsidRPr="0075709B" w:rsidRDefault="00F8599A" w:rsidP="0075709B">
            <w:pPr>
              <w:pStyle w:val="DHHStabletext"/>
            </w:pPr>
            <w:r w:rsidRPr="0075709B">
              <w:t>49.5%</w:t>
            </w:r>
          </w:p>
        </w:tc>
        <w:tc>
          <w:tcPr>
            <w:tcW w:w="1241" w:type="dxa"/>
            <w:hideMark/>
          </w:tcPr>
          <w:p w14:paraId="41850BBF" w14:textId="7A225009" w:rsidR="00F8599A" w:rsidRPr="0075709B" w:rsidRDefault="00F8599A" w:rsidP="0075709B">
            <w:pPr>
              <w:pStyle w:val="DHHStabletext"/>
            </w:pPr>
            <w:r w:rsidRPr="0075709B">
              <w:t>58.1%</w:t>
            </w:r>
          </w:p>
        </w:tc>
      </w:tr>
      <w:tr w:rsidR="00F8599A" w14:paraId="25D8386F" w14:textId="77777777" w:rsidTr="00235E13">
        <w:trPr>
          <w:trHeight w:val="327"/>
        </w:trPr>
        <w:tc>
          <w:tcPr>
            <w:tcW w:w="2778" w:type="dxa"/>
            <w:vMerge/>
            <w:vAlign w:val="center"/>
            <w:hideMark/>
          </w:tcPr>
          <w:p w14:paraId="024C2841" w14:textId="77777777" w:rsidR="00F8599A" w:rsidRPr="008A08FD" w:rsidRDefault="00F8599A" w:rsidP="00F8599A">
            <w:pPr>
              <w:pStyle w:val="DHHStabletext"/>
              <w:rPr>
                <w:rFonts w:eastAsia="Trebuchet MS"/>
              </w:rPr>
            </w:pPr>
          </w:p>
        </w:tc>
        <w:tc>
          <w:tcPr>
            <w:tcW w:w="3436" w:type="dxa"/>
            <w:hideMark/>
          </w:tcPr>
          <w:p w14:paraId="3EB0EAC7" w14:textId="77777777" w:rsidR="00F8599A" w:rsidRPr="008A08FD" w:rsidRDefault="00F8599A" w:rsidP="00F8599A">
            <w:pPr>
              <w:pStyle w:val="DHHStabletext"/>
            </w:pPr>
            <w:r w:rsidRPr="008A08FD">
              <w:t>Forensic</w:t>
            </w:r>
          </w:p>
        </w:tc>
        <w:tc>
          <w:tcPr>
            <w:tcW w:w="1244" w:type="dxa"/>
            <w:hideMark/>
          </w:tcPr>
          <w:p w14:paraId="242BB1BC" w14:textId="7BF64868" w:rsidR="00F8599A" w:rsidRPr="0075709B" w:rsidRDefault="00F8599A" w:rsidP="0075709B">
            <w:pPr>
              <w:pStyle w:val="DHHStabletext"/>
            </w:pPr>
            <w:r w:rsidRPr="0075709B">
              <w:t>18.6%</w:t>
            </w:r>
          </w:p>
        </w:tc>
        <w:tc>
          <w:tcPr>
            <w:tcW w:w="1244" w:type="dxa"/>
            <w:hideMark/>
          </w:tcPr>
          <w:p w14:paraId="3B4E30D2" w14:textId="101FB668" w:rsidR="00F8599A" w:rsidRPr="0075709B" w:rsidRDefault="00F8599A" w:rsidP="0075709B">
            <w:pPr>
              <w:pStyle w:val="DHHStabletext"/>
            </w:pPr>
            <w:r w:rsidRPr="0075709B">
              <w:t>17.6%</w:t>
            </w:r>
          </w:p>
        </w:tc>
        <w:tc>
          <w:tcPr>
            <w:tcW w:w="1241" w:type="dxa"/>
            <w:hideMark/>
          </w:tcPr>
          <w:p w14:paraId="41B3B29E" w14:textId="03E73B9C" w:rsidR="00F8599A" w:rsidRPr="0075709B" w:rsidRDefault="00F8599A" w:rsidP="0075709B">
            <w:pPr>
              <w:pStyle w:val="DHHStabletext"/>
            </w:pPr>
            <w:r w:rsidRPr="0075709B">
              <w:t>21.6%</w:t>
            </w:r>
          </w:p>
        </w:tc>
      </w:tr>
      <w:tr w:rsidR="00F8599A" w14:paraId="4FFD3020" w14:textId="77777777" w:rsidTr="00235E13">
        <w:trPr>
          <w:trHeight w:val="327"/>
        </w:trPr>
        <w:tc>
          <w:tcPr>
            <w:tcW w:w="2778" w:type="dxa"/>
            <w:vMerge/>
            <w:vAlign w:val="center"/>
            <w:hideMark/>
          </w:tcPr>
          <w:p w14:paraId="72F9B66A" w14:textId="77777777" w:rsidR="00F8599A" w:rsidRPr="008A08FD" w:rsidRDefault="00F8599A" w:rsidP="00F8599A">
            <w:pPr>
              <w:pStyle w:val="DHHStabletext"/>
              <w:rPr>
                <w:rFonts w:eastAsia="Trebuchet MS"/>
              </w:rPr>
            </w:pPr>
          </w:p>
        </w:tc>
        <w:tc>
          <w:tcPr>
            <w:tcW w:w="3436" w:type="dxa"/>
            <w:hideMark/>
          </w:tcPr>
          <w:p w14:paraId="70D7F445" w14:textId="77777777" w:rsidR="00F8599A" w:rsidRPr="008A08FD" w:rsidRDefault="00F8599A" w:rsidP="00F8599A">
            <w:pPr>
              <w:pStyle w:val="DHHStabletext"/>
            </w:pPr>
            <w:r w:rsidRPr="008A08FD">
              <w:t>Specialist</w:t>
            </w:r>
          </w:p>
        </w:tc>
        <w:tc>
          <w:tcPr>
            <w:tcW w:w="1244" w:type="dxa"/>
            <w:hideMark/>
          </w:tcPr>
          <w:p w14:paraId="27C2ED55" w14:textId="1D1A07CD" w:rsidR="00F8599A" w:rsidRPr="0075709B" w:rsidRDefault="00F8599A" w:rsidP="0075709B">
            <w:pPr>
              <w:pStyle w:val="DHHStabletext"/>
            </w:pPr>
            <w:r w:rsidRPr="0075709B">
              <w:t>34.5%</w:t>
            </w:r>
          </w:p>
        </w:tc>
        <w:tc>
          <w:tcPr>
            <w:tcW w:w="1244" w:type="dxa"/>
            <w:hideMark/>
          </w:tcPr>
          <w:p w14:paraId="7C17AFDD" w14:textId="35C13675" w:rsidR="00F8599A" w:rsidRPr="0075709B" w:rsidRDefault="00F8599A" w:rsidP="0075709B">
            <w:pPr>
              <w:pStyle w:val="DHHStabletext"/>
            </w:pPr>
            <w:r w:rsidRPr="0075709B">
              <w:t>30.6%</w:t>
            </w:r>
          </w:p>
        </w:tc>
        <w:tc>
          <w:tcPr>
            <w:tcW w:w="1241" w:type="dxa"/>
            <w:hideMark/>
          </w:tcPr>
          <w:p w14:paraId="33C2B742" w14:textId="1BC25BD3" w:rsidR="00F8599A" w:rsidRPr="0075709B" w:rsidRDefault="00F8599A" w:rsidP="0075709B">
            <w:pPr>
              <w:pStyle w:val="DHHStabletext"/>
            </w:pPr>
            <w:r w:rsidRPr="0075709B">
              <w:t>38.5%</w:t>
            </w:r>
          </w:p>
        </w:tc>
      </w:tr>
      <w:tr w:rsidR="00F8599A" w14:paraId="04E552BE" w14:textId="77777777" w:rsidTr="00235E13">
        <w:trPr>
          <w:trHeight w:val="404"/>
        </w:trPr>
        <w:tc>
          <w:tcPr>
            <w:tcW w:w="2778" w:type="dxa"/>
            <w:vMerge/>
            <w:vAlign w:val="center"/>
            <w:hideMark/>
          </w:tcPr>
          <w:p w14:paraId="3F2C0A9A" w14:textId="77777777" w:rsidR="00F8599A" w:rsidRPr="008A08FD" w:rsidRDefault="00F8599A" w:rsidP="00F8599A">
            <w:pPr>
              <w:pStyle w:val="DHHStabletext"/>
              <w:rPr>
                <w:rFonts w:eastAsia="Trebuchet MS"/>
              </w:rPr>
            </w:pPr>
          </w:p>
        </w:tc>
        <w:tc>
          <w:tcPr>
            <w:tcW w:w="3436" w:type="dxa"/>
            <w:shd w:val="clear" w:color="auto" w:fill="DCDDDE"/>
            <w:hideMark/>
          </w:tcPr>
          <w:p w14:paraId="179F7AA8" w14:textId="77777777" w:rsidR="00F8599A" w:rsidRPr="008A08FD" w:rsidRDefault="00F8599A" w:rsidP="00F8599A">
            <w:pPr>
              <w:pStyle w:val="DHHStabletext"/>
            </w:pPr>
            <w:r w:rsidRPr="008A08FD">
              <w:t>Total</w:t>
            </w:r>
          </w:p>
        </w:tc>
        <w:tc>
          <w:tcPr>
            <w:tcW w:w="1244" w:type="dxa"/>
            <w:shd w:val="clear" w:color="auto" w:fill="DCDDDE"/>
            <w:hideMark/>
          </w:tcPr>
          <w:p w14:paraId="5C314829" w14:textId="3D031672" w:rsidR="00F8599A" w:rsidRPr="0075709B" w:rsidRDefault="00F8599A" w:rsidP="0075709B">
            <w:pPr>
              <w:pStyle w:val="DHHStabletext"/>
            </w:pPr>
            <w:r w:rsidRPr="0075709B">
              <w:t>57.2%</w:t>
            </w:r>
          </w:p>
        </w:tc>
        <w:tc>
          <w:tcPr>
            <w:tcW w:w="1244" w:type="dxa"/>
            <w:shd w:val="clear" w:color="auto" w:fill="DCDDDE"/>
            <w:hideMark/>
          </w:tcPr>
          <w:p w14:paraId="69AA3185" w14:textId="7C3DA943" w:rsidR="00F8599A" w:rsidRPr="0075709B" w:rsidRDefault="00F8599A" w:rsidP="0075709B">
            <w:pPr>
              <w:pStyle w:val="DHHStabletext"/>
            </w:pPr>
            <w:r w:rsidRPr="0075709B">
              <w:t>51.8%</w:t>
            </w:r>
          </w:p>
        </w:tc>
        <w:tc>
          <w:tcPr>
            <w:tcW w:w="1241" w:type="dxa"/>
            <w:shd w:val="clear" w:color="auto" w:fill="DCDDDE"/>
            <w:hideMark/>
          </w:tcPr>
          <w:p w14:paraId="413AB959" w14:textId="039BC251" w:rsidR="00F8599A" w:rsidRPr="0075709B" w:rsidRDefault="00F8599A" w:rsidP="0075709B">
            <w:pPr>
              <w:pStyle w:val="DHHStabletext"/>
            </w:pPr>
            <w:r w:rsidRPr="0075709B">
              <w:t>59.4%</w:t>
            </w:r>
          </w:p>
        </w:tc>
      </w:tr>
      <w:tr w:rsidR="00F8599A" w14:paraId="65AB137D" w14:textId="77777777" w:rsidTr="00235E13">
        <w:trPr>
          <w:trHeight w:val="406"/>
        </w:trPr>
        <w:tc>
          <w:tcPr>
            <w:tcW w:w="2778" w:type="dxa"/>
            <w:vMerge w:val="restart"/>
            <w:hideMark/>
          </w:tcPr>
          <w:p w14:paraId="6CA3FA78" w14:textId="77777777" w:rsidR="00F8599A" w:rsidRPr="008A08FD" w:rsidRDefault="00F8599A" w:rsidP="00F8599A">
            <w:pPr>
              <w:pStyle w:val="DHHStabletext"/>
            </w:pPr>
            <w:r w:rsidRPr="008A08FD">
              <w:t>Post-discharge follow up rate (lagged seven days)**</w:t>
            </w:r>
          </w:p>
        </w:tc>
        <w:tc>
          <w:tcPr>
            <w:tcW w:w="3436" w:type="dxa"/>
            <w:hideMark/>
          </w:tcPr>
          <w:p w14:paraId="69CCB751" w14:textId="77777777" w:rsidR="00F8599A" w:rsidRPr="008A08FD" w:rsidRDefault="00F8599A" w:rsidP="00F8599A">
            <w:pPr>
              <w:pStyle w:val="DHHStabletext"/>
            </w:pPr>
            <w:r w:rsidRPr="008A08FD">
              <w:t>Adult</w:t>
            </w:r>
          </w:p>
        </w:tc>
        <w:tc>
          <w:tcPr>
            <w:tcW w:w="1244" w:type="dxa"/>
            <w:hideMark/>
          </w:tcPr>
          <w:p w14:paraId="6DA183A7" w14:textId="36D184D2" w:rsidR="00F8599A" w:rsidRPr="0075709B" w:rsidRDefault="00F8599A" w:rsidP="0075709B">
            <w:pPr>
              <w:pStyle w:val="DHHStabletext"/>
            </w:pPr>
            <w:r w:rsidRPr="0075709B">
              <w:t>85.7%</w:t>
            </w:r>
          </w:p>
        </w:tc>
        <w:tc>
          <w:tcPr>
            <w:tcW w:w="1244" w:type="dxa"/>
            <w:hideMark/>
          </w:tcPr>
          <w:p w14:paraId="684486B7" w14:textId="41DF2216" w:rsidR="00F8599A" w:rsidRPr="0075709B" w:rsidRDefault="00F8599A" w:rsidP="0075709B">
            <w:pPr>
              <w:pStyle w:val="DHHStabletext"/>
            </w:pPr>
            <w:r w:rsidRPr="0075709B">
              <w:t>79.3%</w:t>
            </w:r>
          </w:p>
        </w:tc>
        <w:tc>
          <w:tcPr>
            <w:tcW w:w="1241" w:type="dxa"/>
            <w:hideMark/>
          </w:tcPr>
          <w:p w14:paraId="27F10DCC" w14:textId="25B4987F" w:rsidR="00F8599A" w:rsidRPr="0075709B" w:rsidRDefault="00F8599A" w:rsidP="0075709B">
            <w:pPr>
              <w:pStyle w:val="DHHStabletext"/>
            </w:pPr>
            <w:r w:rsidRPr="0075709B">
              <w:t>88.5%</w:t>
            </w:r>
          </w:p>
        </w:tc>
      </w:tr>
      <w:tr w:rsidR="00F8599A" w14:paraId="663199E0" w14:textId="77777777" w:rsidTr="00235E13">
        <w:trPr>
          <w:trHeight w:val="330"/>
        </w:trPr>
        <w:tc>
          <w:tcPr>
            <w:tcW w:w="2778" w:type="dxa"/>
            <w:vMerge/>
            <w:vAlign w:val="center"/>
            <w:hideMark/>
          </w:tcPr>
          <w:p w14:paraId="6F178E14" w14:textId="77777777" w:rsidR="00F8599A" w:rsidRPr="008A08FD" w:rsidRDefault="00F8599A" w:rsidP="00F8599A">
            <w:pPr>
              <w:pStyle w:val="DHHStabletext"/>
              <w:rPr>
                <w:rFonts w:eastAsia="Trebuchet MS"/>
              </w:rPr>
            </w:pPr>
          </w:p>
        </w:tc>
        <w:tc>
          <w:tcPr>
            <w:tcW w:w="3436" w:type="dxa"/>
            <w:hideMark/>
          </w:tcPr>
          <w:p w14:paraId="75B29624" w14:textId="77777777" w:rsidR="00F8599A" w:rsidRPr="008A08FD" w:rsidRDefault="00F8599A" w:rsidP="00F8599A">
            <w:pPr>
              <w:pStyle w:val="DHHStabletext"/>
            </w:pPr>
            <w:r w:rsidRPr="008A08FD">
              <w:t>Aged</w:t>
            </w:r>
          </w:p>
        </w:tc>
        <w:tc>
          <w:tcPr>
            <w:tcW w:w="1244" w:type="dxa"/>
            <w:hideMark/>
          </w:tcPr>
          <w:p w14:paraId="5F36CD1A" w14:textId="041CEC71" w:rsidR="00F8599A" w:rsidRPr="0075709B" w:rsidRDefault="00F8599A" w:rsidP="0075709B">
            <w:pPr>
              <w:pStyle w:val="DHHStabletext"/>
            </w:pPr>
            <w:r w:rsidRPr="0075709B">
              <w:t>90.0%</w:t>
            </w:r>
          </w:p>
        </w:tc>
        <w:tc>
          <w:tcPr>
            <w:tcW w:w="1244" w:type="dxa"/>
            <w:hideMark/>
          </w:tcPr>
          <w:p w14:paraId="5467392F" w14:textId="03C853E2" w:rsidR="00F8599A" w:rsidRPr="0075709B" w:rsidRDefault="00F8599A" w:rsidP="0075709B">
            <w:pPr>
              <w:pStyle w:val="DHHStabletext"/>
            </w:pPr>
            <w:r w:rsidRPr="0075709B">
              <w:t>74.6%</w:t>
            </w:r>
          </w:p>
        </w:tc>
        <w:tc>
          <w:tcPr>
            <w:tcW w:w="1241" w:type="dxa"/>
            <w:hideMark/>
          </w:tcPr>
          <w:p w14:paraId="170998A4" w14:textId="2EE1BA6A" w:rsidR="00F8599A" w:rsidRPr="0075709B" w:rsidRDefault="00F8599A" w:rsidP="0075709B">
            <w:pPr>
              <w:pStyle w:val="DHHStabletext"/>
            </w:pPr>
            <w:r w:rsidRPr="0075709B">
              <w:t>93.2%</w:t>
            </w:r>
          </w:p>
        </w:tc>
      </w:tr>
      <w:tr w:rsidR="00F8599A" w14:paraId="273167DB" w14:textId="77777777" w:rsidTr="00235E13">
        <w:trPr>
          <w:trHeight w:val="327"/>
        </w:trPr>
        <w:tc>
          <w:tcPr>
            <w:tcW w:w="2778" w:type="dxa"/>
            <w:vMerge/>
            <w:vAlign w:val="center"/>
            <w:hideMark/>
          </w:tcPr>
          <w:p w14:paraId="17E91F76" w14:textId="77777777" w:rsidR="00F8599A" w:rsidRPr="008A08FD" w:rsidRDefault="00F8599A" w:rsidP="00F8599A">
            <w:pPr>
              <w:pStyle w:val="DHHStabletext"/>
              <w:rPr>
                <w:rFonts w:eastAsia="Trebuchet MS"/>
              </w:rPr>
            </w:pPr>
          </w:p>
        </w:tc>
        <w:tc>
          <w:tcPr>
            <w:tcW w:w="3436" w:type="dxa"/>
            <w:hideMark/>
          </w:tcPr>
          <w:p w14:paraId="6568B9B9" w14:textId="77777777" w:rsidR="00F8599A" w:rsidRPr="008A08FD" w:rsidRDefault="00F8599A" w:rsidP="00F8599A">
            <w:pPr>
              <w:pStyle w:val="DHHStabletext"/>
            </w:pPr>
            <w:r w:rsidRPr="008A08FD">
              <w:t>CAMHS</w:t>
            </w:r>
          </w:p>
        </w:tc>
        <w:tc>
          <w:tcPr>
            <w:tcW w:w="1244" w:type="dxa"/>
            <w:hideMark/>
          </w:tcPr>
          <w:p w14:paraId="7DA9CF76" w14:textId="70E341D3" w:rsidR="00F8599A" w:rsidRPr="0075709B" w:rsidRDefault="00F8599A" w:rsidP="0075709B">
            <w:pPr>
              <w:pStyle w:val="DHHStabletext"/>
            </w:pPr>
            <w:r w:rsidRPr="0075709B">
              <w:t>85.8%</w:t>
            </w:r>
          </w:p>
        </w:tc>
        <w:tc>
          <w:tcPr>
            <w:tcW w:w="1244" w:type="dxa"/>
            <w:hideMark/>
          </w:tcPr>
          <w:p w14:paraId="7688D93A" w14:textId="00C9832D" w:rsidR="00F8599A" w:rsidRPr="0075709B" w:rsidRDefault="00F8599A" w:rsidP="0075709B">
            <w:pPr>
              <w:pStyle w:val="DHHStabletext"/>
            </w:pPr>
            <w:r w:rsidRPr="0075709B">
              <w:t>83.9%</w:t>
            </w:r>
          </w:p>
        </w:tc>
        <w:tc>
          <w:tcPr>
            <w:tcW w:w="1241" w:type="dxa"/>
            <w:hideMark/>
          </w:tcPr>
          <w:p w14:paraId="7B026D8B" w14:textId="754A7450" w:rsidR="00F8599A" w:rsidRPr="0075709B" w:rsidRDefault="00F8599A" w:rsidP="0075709B">
            <w:pPr>
              <w:pStyle w:val="DHHStabletext"/>
            </w:pPr>
            <w:r w:rsidRPr="0075709B">
              <w:t>86.2%</w:t>
            </w:r>
          </w:p>
        </w:tc>
      </w:tr>
      <w:tr w:rsidR="00F8599A" w14:paraId="12E0A554" w14:textId="77777777" w:rsidTr="00235E13">
        <w:trPr>
          <w:trHeight w:val="327"/>
        </w:trPr>
        <w:tc>
          <w:tcPr>
            <w:tcW w:w="2778" w:type="dxa"/>
            <w:vMerge/>
            <w:vAlign w:val="center"/>
            <w:hideMark/>
          </w:tcPr>
          <w:p w14:paraId="2D6A07DD" w14:textId="77777777" w:rsidR="00F8599A" w:rsidRPr="008A08FD" w:rsidRDefault="00F8599A" w:rsidP="00F8599A">
            <w:pPr>
              <w:pStyle w:val="DHHStabletext"/>
              <w:rPr>
                <w:rFonts w:eastAsia="Trebuchet MS"/>
              </w:rPr>
            </w:pPr>
          </w:p>
        </w:tc>
        <w:tc>
          <w:tcPr>
            <w:tcW w:w="3436" w:type="dxa"/>
            <w:hideMark/>
          </w:tcPr>
          <w:p w14:paraId="57BC71D1" w14:textId="77777777" w:rsidR="00F8599A" w:rsidRPr="008A08FD" w:rsidRDefault="00F8599A" w:rsidP="00F8599A">
            <w:pPr>
              <w:pStyle w:val="DHHStabletext"/>
            </w:pPr>
            <w:r w:rsidRPr="008A08FD">
              <w:t>Forensic</w:t>
            </w:r>
          </w:p>
        </w:tc>
        <w:tc>
          <w:tcPr>
            <w:tcW w:w="1244" w:type="dxa"/>
            <w:hideMark/>
          </w:tcPr>
          <w:p w14:paraId="7367322B" w14:textId="4392C24C" w:rsidR="00F8599A" w:rsidRPr="0075709B" w:rsidRDefault="00F8599A" w:rsidP="0075709B">
            <w:pPr>
              <w:pStyle w:val="DHHStabletext"/>
            </w:pPr>
            <w:r w:rsidRPr="0075709B">
              <w:t>36.8%</w:t>
            </w:r>
          </w:p>
        </w:tc>
        <w:tc>
          <w:tcPr>
            <w:tcW w:w="1244" w:type="dxa"/>
            <w:hideMark/>
          </w:tcPr>
          <w:p w14:paraId="58FC9441" w14:textId="2EBF875C" w:rsidR="00F8599A" w:rsidRPr="0075709B" w:rsidRDefault="00F8599A" w:rsidP="0075709B">
            <w:pPr>
              <w:pStyle w:val="DHHStabletext"/>
            </w:pPr>
            <w:r w:rsidRPr="0075709B">
              <w:t>31.2%</w:t>
            </w:r>
          </w:p>
        </w:tc>
        <w:tc>
          <w:tcPr>
            <w:tcW w:w="1241" w:type="dxa"/>
            <w:hideMark/>
          </w:tcPr>
          <w:p w14:paraId="6CD06C89" w14:textId="3A13A842" w:rsidR="00F8599A" w:rsidRPr="0075709B" w:rsidRDefault="00F8599A" w:rsidP="0075709B">
            <w:pPr>
              <w:pStyle w:val="DHHStabletext"/>
            </w:pPr>
            <w:r w:rsidRPr="0075709B">
              <w:t>26.4%</w:t>
            </w:r>
          </w:p>
        </w:tc>
      </w:tr>
      <w:tr w:rsidR="00F8599A" w14:paraId="3A496C18" w14:textId="77777777" w:rsidTr="00235E13">
        <w:trPr>
          <w:trHeight w:val="330"/>
        </w:trPr>
        <w:tc>
          <w:tcPr>
            <w:tcW w:w="2778" w:type="dxa"/>
            <w:vMerge/>
            <w:vAlign w:val="center"/>
            <w:hideMark/>
          </w:tcPr>
          <w:p w14:paraId="4F334E2C" w14:textId="77777777" w:rsidR="00F8599A" w:rsidRPr="008A08FD" w:rsidRDefault="00F8599A" w:rsidP="00F8599A">
            <w:pPr>
              <w:pStyle w:val="DHHStabletext"/>
              <w:rPr>
                <w:rFonts w:eastAsia="Trebuchet MS"/>
              </w:rPr>
            </w:pPr>
          </w:p>
        </w:tc>
        <w:tc>
          <w:tcPr>
            <w:tcW w:w="3436" w:type="dxa"/>
            <w:hideMark/>
          </w:tcPr>
          <w:p w14:paraId="7E4AD2D6" w14:textId="77777777" w:rsidR="00F8599A" w:rsidRPr="008A08FD" w:rsidRDefault="00F8599A" w:rsidP="00F8599A">
            <w:pPr>
              <w:pStyle w:val="DHHStabletext"/>
            </w:pPr>
            <w:r w:rsidRPr="008A08FD">
              <w:t>Specialist</w:t>
            </w:r>
          </w:p>
        </w:tc>
        <w:tc>
          <w:tcPr>
            <w:tcW w:w="1244" w:type="dxa"/>
            <w:hideMark/>
          </w:tcPr>
          <w:p w14:paraId="17874851" w14:textId="43E01808" w:rsidR="00F8599A" w:rsidRPr="0075709B" w:rsidRDefault="00F8599A" w:rsidP="0075709B">
            <w:pPr>
              <w:pStyle w:val="DHHStabletext"/>
            </w:pPr>
            <w:r w:rsidRPr="0075709B">
              <w:t>44.0%</w:t>
            </w:r>
          </w:p>
        </w:tc>
        <w:tc>
          <w:tcPr>
            <w:tcW w:w="1244" w:type="dxa"/>
            <w:hideMark/>
          </w:tcPr>
          <w:p w14:paraId="3BEE068B" w14:textId="2C238920" w:rsidR="00F8599A" w:rsidRPr="0075709B" w:rsidRDefault="00F8599A" w:rsidP="0075709B">
            <w:pPr>
              <w:pStyle w:val="DHHStabletext"/>
            </w:pPr>
            <w:r w:rsidRPr="0075709B">
              <w:t>41.1%</w:t>
            </w:r>
          </w:p>
        </w:tc>
        <w:tc>
          <w:tcPr>
            <w:tcW w:w="1241" w:type="dxa"/>
            <w:hideMark/>
          </w:tcPr>
          <w:p w14:paraId="357DE866" w14:textId="28D4F721" w:rsidR="00F8599A" w:rsidRPr="0075709B" w:rsidRDefault="00F8599A" w:rsidP="0075709B">
            <w:pPr>
              <w:pStyle w:val="DHHStabletext"/>
            </w:pPr>
            <w:r w:rsidRPr="0075709B">
              <w:t>53.8%</w:t>
            </w:r>
          </w:p>
        </w:tc>
      </w:tr>
      <w:tr w:rsidR="00F8599A" w14:paraId="3A1D8B3B" w14:textId="77777777" w:rsidTr="00235E13">
        <w:trPr>
          <w:trHeight w:val="384"/>
        </w:trPr>
        <w:tc>
          <w:tcPr>
            <w:tcW w:w="2778" w:type="dxa"/>
            <w:vMerge/>
            <w:vAlign w:val="center"/>
            <w:hideMark/>
          </w:tcPr>
          <w:p w14:paraId="2DC4A2CC" w14:textId="77777777" w:rsidR="00F8599A" w:rsidRPr="008A08FD" w:rsidRDefault="00F8599A" w:rsidP="00F8599A">
            <w:pPr>
              <w:pStyle w:val="DHHStabletext"/>
              <w:rPr>
                <w:rFonts w:eastAsia="Trebuchet MS"/>
              </w:rPr>
            </w:pPr>
          </w:p>
        </w:tc>
        <w:tc>
          <w:tcPr>
            <w:tcW w:w="3436" w:type="dxa"/>
            <w:shd w:val="clear" w:color="auto" w:fill="DCDDDE"/>
            <w:hideMark/>
          </w:tcPr>
          <w:p w14:paraId="6BA629EC" w14:textId="77777777" w:rsidR="00F8599A" w:rsidRPr="008A08FD" w:rsidRDefault="00F8599A" w:rsidP="00F8599A">
            <w:pPr>
              <w:pStyle w:val="DHHStabletext"/>
            </w:pPr>
            <w:r w:rsidRPr="008A08FD">
              <w:t>Total</w:t>
            </w:r>
          </w:p>
        </w:tc>
        <w:tc>
          <w:tcPr>
            <w:tcW w:w="1244" w:type="dxa"/>
            <w:shd w:val="clear" w:color="auto" w:fill="DCDDDE"/>
            <w:hideMark/>
          </w:tcPr>
          <w:p w14:paraId="60A33D51" w14:textId="2636D19F" w:rsidR="00F8599A" w:rsidRPr="0075709B" w:rsidRDefault="00F8599A" w:rsidP="0075709B">
            <w:pPr>
              <w:pStyle w:val="DHHStabletext"/>
            </w:pPr>
            <w:r w:rsidRPr="0075709B">
              <w:t>84.2%</w:t>
            </w:r>
          </w:p>
        </w:tc>
        <w:tc>
          <w:tcPr>
            <w:tcW w:w="1244" w:type="dxa"/>
            <w:shd w:val="clear" w:color="auto" w:fill="DCDDDE"/>
            <w:hideMark/>
          </w:tcPr>
          <w:p w14:paraId="71742C8E" w14:textId="4FEF2977" w:rsidR="00F8599A" w:rsidRPr="0075709B" w:rsidRDefault="00F8599A" w:rsidP="0075709B">
            <w:pPr>
              <w:pStyle w:val="DHHStabletext"/>
            </w:pPr>
            <w:r w:rsidRPr="0075709B">
              <w:t>77.6%</w:t>
            </w:r>
          </w:p>
        </w:tc>
        <w:tc>
          <w:tcPr>
            <w:tcW w:w="1241" w:type="dxa"/>
            <w:shd w:val="clear" w:color="auto" w:fill="DCDDDE"/>
            <w:hideMark/>
          </w:tcPr>
          <w:p w14:paraId="10DE4584" w14:textId="6D2754A0" w:rsidR="00F8599A" w:rsidRPr="0075709B" w:rsidRDefault="00F8599A" w:rsidP="0075709B">
            <w:pPr>
              <w:pStyle w:val="DHHStabletext"/>
            </w:pPr>
            <w:r w:rsidRPr="0075709B">
              <w:t>87.0%</w:t>
            </w:r>
          </w:p>
        </w:tc>
      </w:tr>
      <w:tr w:rsidR="00F8599A" w14:paraId="60B7D5A8" w14:textId="77777777" w:rsidTr="00235E13">
        <w:trPr>
          <w:trHeight w:val="406"/>
        </w:trPr>
        <w:tc>
          <w:tcPr>
            <w:tcW w:w="2778" w:type="dxa"/>
            <w:vMerge w:val="restart"/>
            <w:hideMark/>
          </w:tcPr>
          <w:p w14:paraId="4F6066FD" w14:textId="31B0A38B" w:rsidR="00F8599A" w:rsidRPr="008A08FD" w:rsidRDefault="00F8599A" w:rsidP="00F8599A">
            <w:pPr>
              <w:pStyle w:val="DHHStabletext"/>
            </w:pPr>
            <w:r w:rsidRPr="008A08FD">
              <w:t>Trimmed average length of stay ≤35 days – inpatient</w:t>
            </w:r>
          </w:p>
        </w:tc>
        <w:tc>
          <w:tcPr>
            <w:tcW w:w="3436" w:type="dxa"/>
            <w:hideMark/>
          </w:tcPr>
          <w:p w14:paraId="405BE681" w14:textId="77777777" w:rsidR="00F8599A" w:rsidRPr="008A08FD" w:rsidRDefault="00F8599A" w:rsidP="00F8599A">
            <w:pPr>
              <w:pStyle w:val="DHHStabletext"/>
            </w:pPr>
            <w:r w:rsidRPr="008A08FD">
              <w:t>Adult</w:t>
            </w:r>
          </w:p>
        </w:tc>
        <w:tc>
          <w:tcPr>
            <w:tcW w:w="1244" w:type="dxa"/>
            <w:hideMark/>
          </w:tcPr>
          <w:p w14:paraId="20A6C09A" w14:textId="59841C8F" w:rsidR="00F8599A" w:rsidRPr="0075709B" w:rsidRDefault="00F8599A" w:rsidP="0075709B">
            <w:pPr>
              <w:pStyle w:val="DHHStabletext"/>
            </w:pPr>
            <w:r w:rsidRPr="0075709B">
              <w:t>9.6</w:t>
            </w:r>
          </w:p>
        </w:tc>
        <w:tc>
          <w:tcPr>
            <w:tcW w:w="1244" w:type="dxa"/>
            <w:hideMark/>
          </w:tcPr>
          <w:p w14:paraId="38379057" w14:textId="4629948A" w:rsidR="00F8599A" w:rsidRPr="0075709B" w:rsidRDefault="00F8599A" w:rsidP="0075709B">
            <w:pPr>
              <w:pStyle w:val="DHHStabletext"/>
            </w:pPr>
            <w:r w:rsidRPr="0075709B">
              <w:t>9.5</w:t>
            </w:r>
          </w:p>
        </w:tc>
        <w:tc>
          <w:tcPr>
            <w:tcW w:w="1241" w:type="dxa"/>
            <w:hideMark/>
          </w:tcPr>
          <w:p w14:paraId="46A91C84" w14:textId="283BDFA3" w:rsidR="00F8599A" w:rsidRPr="0075709B" w:rsidRDefault="00F8599A" w:rsidP="0075709B">
            <w:pPr>
              <w:pStyle w:val="DHHStabletext"/>
            </w:pPr>
            <w:r w:rsidRPr="0075709B">
              <w:t>9.1</w:t>
            </w:r>
          </w:p>
        </w:tc>
      </w:tr>
      <w:tr w:rsidR="00F8599A" w14:paraId="1EF4E14A" w14:textId="77777777" w:rsidTr="00235E13">
        <w:trPr>
          <w:trHeight w:val="330"/>
        </w:trPr>
        <w:tc>
          <w:tcPr>
            <w:tcW w:w="2778" w:type="dxa"/>
            <w:vMerge/>
            <w:vAlign w:val="center"/>
            <w:hideMark/>
          </w:tcPr>
          <w:p w14:paraId="078C88D8" w14:textId="77777777" w:rsidR="00F8599A" w:rsidRPr="008A08FD" w:rsidRDefault="00F8599A" w:rsidP="00F8599A">
            <w:pPr>
              <w:pStyle w:val="DHHStabletext"/>
              <w:rPr>
                <w:rFonts w:eastAsia="Trebuchet MS"/>
              </w:rPr>
            </w:pPr>
          </w:p>
        </w:tc>
        <w:tc>
          <w:tcPr>
            <w:tcW w:w="3436" w:type="dxa"/>
            <w:hideMark/>
          </w:tcPr>
          <w:p w14:paraId="356A6EC8" w14:textId="77777777" w:rsidR="00F8599A" w:rsidRPr="008A08FD" w:rsidRDefault="00F8599A" w:rsidP="00F8599A">
            <w:pPr>
              <w:pStyle w:val="DHHStabletext"/>
            </w:pPr>
            <w:r w:rsidRPr="008A08FD">
              <w:t>Aged</w:t>
            </w:r>
          </w:p>
        </w:tc>
        <w:tc>
          <w:tcPr>
            <w:tcW w:w="1244" w:type="dxa"/>
            <w:hideMark/>
          </w:tcPr>
          <w:p w14:paraId="4F28BDDB" w14:textId="26FD63FB" w:rsidR="00F8599A" w:rsidRPr="0075709B" w:rsidRDefault="00F8599A" w:rsidP="0075709B">
            <w:pPr>
              <w:pStyle w:val="DHHStabletext"/>
            </w:pPr>
            <w:r w:rsidRPr="0075709B">
              <w:t>16.0</w:t>
            </w:r>
          </w:p>
        </w:tc>
        <w:tc>
          <w:tcPr>
            <w:tcW w:w="1244" w:type="dxa"/>
            <w:hideMark/>
          </w:tcPr>
          <w:p w14:paraId="6908542C" w14:textId="0544D74C" w:rsidR="00F8599A" w:rsidRPr="0075709B" w:rsidRDefault="00F8599A" w:rsidP="0075709B">
            <w:pPr>
              <w:pStyle w:val="DHHStabletext"/>
            </w:pPr>
            <w:r w:rsidRPr="0075709B">
              <w:t>15.7</w:t>
            </w:r>
          </w:p>
        </w:tc>
        <w:tc>
          <w:tcPr>
            <w:tcW w:w="1241" w:type="dxa"/>
            <w:hideMark/>
          </w:tcPr>
          <w:p w14:paraId="7F91FF1C" w14:textId="640832EA" w:rsidR="00F8599A" w:rsidRPr="0075709B" w:rsidRDefault="00F8599A" w:rsidP="0075709B">
            <w:pPr>
              <w:pStyle w:val="DHHStabletext"/>
            </w:pPr>
            <w:r w:rsidRPr="0075709B">
              <w:t>15.5</w:t>
            </w:r>
          </w:p>
        </w:tc>
      </w:tr>
      <w:tr w:rsidR="00F8599A" w14:paraId="6AF306C0" w14:textId="77777777" w:rsidTr="00235E13">
        <w:trPr>
          <w:trHeight w:val="330"/>
        </w:trPr>
        <w:tc>
          <w:tcPr>
            <w:tcW w:w="2778" w:type="dxa"/>
            <w:vMerge/>
            <w:vAlign w:val="center"/>
            <w:hideMark/>
          </w:tcPr>
          <w:p w14:paraId="3373A123" w14:textId="77777777" w:rsidR="00F8599A" w:rsidRPr="008A08FD" w:rsidRDefault="00F8599A" w:rsidP="00F8599A">
            <w:pPr>
              <w:pStyle w:val="DHHStabletext"/>
              <w:rPr>
                <w:rFonts w:eastAsia="Trebuchet MS"/>
              </w:rPr>
            </w:pPr>
          </w:p>
        </w:tc>
        <w:tc>
          <w:tcPr>
            <w:tcW w:w="3436" w:type="dxa"/>
            <w:hideMark/>
          </w:tcPr>
          <w:p w14:paraId="75F9799A" w14:textId="77777777" w:rsidR="00F8599A" w:rsidRPr="008A08FD" w:rsidRDefault="00F8599A" w:rsidP="00F8599A">
            <w:pPr>
              <w:pStyle w:val="DHHStabletext"/>
            </w:pPr>
            <w:r w:rsidRPr="008A08FD">
              <w:t>CAMHS</w:t>
            </w:r>
          </w:p>
        </w:tc>
        <w:tc>
          <w:tcPr>
            <w:tcW w:w="1244" w:type="dxa"/>
            <w:hideMark/>
          </w:tcPr>
          <w:p w14:paraId="7EBB0A7E" w14:textId="7F962463" w:rsidR="00F8599A" w:rsidRPr="0075709B" w:rsidRDefault="00F8599A" w:rsidP="0075709B">
            <w:pPr>
              <w:pStyle w:val="DHHStabletext"/>
            </w:pPr>
            <w:r w:rsidRPr="0075709B">
              <w:t>7.5</w:t>
            </w:r>
          </w:p>
        </w:tc>
        <w:tc>
          <w:tcPr>
            <w:tcW w:w="1244" w:type="dxa"/>
            <w:hideMark/>
          </w:tcPr>
          <w:p w14:paraId="688E8639" w14:textId="7539BE82" w:rsidR="00F8599A" w:rsidRPr="0075709B" w:rsidRDefault="00F8599A" w:rsidP="0075709B">
            <w:pPr>
              <w:pStyle w:val="DHHStabletext"/>
            </w:pPr>
            <w:r w:rsidRPr="0075709B">
              <w:t>6.9</w:t>
            </w:r>
          </w:p>
        </w:tc>
        <w:tc>
          <w:tcPr>
            <w:tcW w:w="1241" w:type="dxa"/>
            <w:hideMark/>
          </w:tcPr>
          <w:p w14:paraId="3EC01BB0" w14:textId="35694F0D" w:rsidR="00F8599A" w:rsidRPr="0075709B" w:rsidRDefault="00F8599A" w:rsidP="0075709B">
            <w:pPr>
              <w:pStyle w:val="DHHStabletext"/>
            </w:pPr>
            <w:r w:rsidRPr="0075709B">
              <w:t>6.6</w:t>
            </w:r>
          </w:p>
        </w:tc>
      </w:tr>
      <w:tr w:rsidR="00F8599A" w14:paraId="43843DE2" w14:textId="77777777" w:rsidTr="00235E13">
        <w:trPr>
          <w:trHeight w:val="327"/>
        </w:trPr>
        <w:tc>
          <w:tcPr>
            <w:tcW w:w="2778" w:type="dxa"/>
            <w:vMerge/>
            <w:vAlign w:val="center"/>
            <w:hideMark/>
          </w:tcPr>
          <w:p w14:paraId="0856EF76" w14:textId="77777777" w:rsidR="00F8599A" w:rsidRPr="008A08FD" w:rsidRDefault="00F8599A" w:rsidP="00F8599A">
            <w:pPr>
              <w:pStyle w:val="DHHStabletext"/>
              <w:rPr>
                <w:rFonts w:eastAsia="Trebuchet MS"/>
              </w:rPr>
            </w:pPr>
          </w:p>
        </w:tc>
        <w:tc>
          <w:tcPr>
            <w:tcW w:w="3436" w:type="dxa"/>
            <w:hideMark/>
          </w:tcPr>
          <w:p w14:paraId="0A2D3127" w14:textId="77777777" w:rsidR="00F8599A" w:rsidRPr="008A08FD" w:rsidRDefault="00F8599A" w:rsidP="00F8599A">
            <w:pPr>
              <w:pStyle w:val="DHHStabletext"/>
            </w:pPr>
            <w:r w:rsidRPr="008A08FD">
              <w:t>Forensic</w:t>
            </w:r>
          </w:p>
        </w:tc>
        <w:tc>
          <w:tcPr>
            <w:tcW w:w="1244" w:type="dxa"/>
            <w:hideMark/>
          </w:tcPr>
          <w:p w14:paraId="02C349E3" w14:textId="41342FD7" w:rsidR="00F8599A" w:rsidRPr="0075709B" w:rsidRDefault="00F8599A" w:rsidP="0075709B">
            <w:pPr>
              <w:pStyle w:val="DHHStabletext"/>
            </w:pPr>
            <w:r w:rsidRPr="0075709B">
              <w:t>18.8</w:t>
            </w:r>
          </w:p>
        </w:tc>
        <w:tc>
          <w:tcPr>
            <w:tcW w:w="1244" w:type="dxa"/>
            <w:hideMark/>
          </w:tcPr>
          <w:p w14:paraId="18F63D18" w14:textId="72ED9EAA" w:rsidR="00F8599A" w:rsidRPr="0075709B" w:rsidRDefault="00F8599A" w:rsidP="0075709B">
            <w:pPr>
              <w:pStyle w:val="DHHStabletext"/>
            </w:pPr>
            <w:r w:rsidRPr="0075709B">
              <w:t>20.5</w:t>
            </w:r>
          </w:p>
        </w:tc>
        <w:tc>
          <w:tcPr>
            <w:tcW w:w="1241" w:type="dxa"/>
            <w:hideMark/>
          </w:tcPr>
          <w:p w14:paraId="39927AF8" w14:textId="3775F36D" w:rsidR="00F8599A" w:rsidRPr="0075709B" w:rsidRDefault="00F8599A" w:rsidP="0075709B">
            <w:pPr>
              <w:pStyle w:val="DHHStabletext"/>
            </w:pPr>
            <w:r w:rsidRPr="0075709B">
              <w:t>21.7</w:t>
            </w:r>
          </w:p>
        </w:tc>
      </w:tr>
      <w:tr w:rsidR="00F8599A" w14:paraId="0DBD6AC0" w14:textId="77777777" w:rsidTr="00235E13">
        <w:trPr>
          <w:trHeight w:val="327"/>
        </w:trPr>
        <w:tc>
          <w:tcPr>
            <w:tcW w:w="2778" w:type="dxa"/>
            <w:vMerge/>
            <w:vAlign w:val="center"/>
            <w:hideMark/>
          </w:tcPr>
          <w:p w14:paraId="4346CD03" w14:textId="77777777" w:rsidR="00F8599A" w:rsidRPr="008A08FD" w:rsidRDefault="00F8599A" w:rsidP="00F8599A">
            <w:pPr>
              <w:pStyle w:val="DHHStabletext"/>
              <w:rPr>
                <w:rFonts w:eastAsia="Trebuchet MS"/>
              </w:rPr>
            </w:pPr>
          </w:p>
        </w:tc>
        <w:tc>
          <w:tcPr>
            <w:tcW w:w="3436" w:type="dxa"/>
            <w:hideMark/>
          </w:tcPr>
          <w:p w14:paraId="0E33B1A0" w14:textId="77777777" w:rsidR="00F8599A" w:rsidRPr="008A08FD" w:rsidRDefault="00F8599A" w:rsidP="00F8599A">
            <w:pPr>
              <w:pStyle w:val="DHHStabletext"/>
            </w:pPr>
            <w:r w:rsidRPr="008A08FD">
              <w:t>Specialist</w:t>
            </w:r>
          </w:p>
        </w:tc>
        <w:tc>
          <w:tcPr>
            <w:tcW w:w="1244" w:type="dxa"/>
            <w:hideMark/>
          </w:tcPr>
          <w:p w14:paraId="7032102D" w14:textId="36781B13" w:rsidR="00F8599A" w:rsidRPr="0075709B" w:rsidRDefault="00F8599A" w:rsidP="0075709B">
            <w:pPr>
              <w:pStyle w:val="DHHStabletext"/>
            </w:pPr>
            <w:r w:rsidRPr="0075709B">
              <w:t>16.7</w:t>
            </w:r>
          </w:p>
        </w:tc>
        <w:tc>
          <w:tcPr>
            <w:tcW w:w="1244" w:type="dxa"/>
            <w:hideMark/>
          </w:tcPr>
          <w:p w14:paraId="4BA3925F" w14:textId="5AEC7787" w:rsidR="00F8599A" w:rsidRPr="0075709B" w:rsidRDefault="00F8599A" w:rsidP="0075709B">
            <w:pPr>
              <w:pStyle w:val="DHHStabletext"/>
            </w:pPr>
            <w:r w:rsidRPr="0075709B">
              <w:t>15.8</w:t>
            </w:r>
          </w:p>
        </w:tc>
        <w:tc>
          <w:tcPr>
            <w:tcW w:w="1241" w:type="dxa"/>
            <w:hideMark/>
          </w:tcPr>
          <w:p w14:paraId="5D332273" w14:textId="22E85DA9" w:rsidR="00F8599A" w:rsidRPr="0075709B" w:rsidRDefault="00F8599A" w:rsidP="0075709B">
            <w:pPr>
              <w:pStyle w:val="DHHStabletext"/>
            </w:pPr>
            <w:r w:rsidRPr="0075709B">
              <w:t>15.3</w:t>
            </w:r>
          </w:p>
        </w:tc>
      </w:tr>
      <w:tr w:rsidR="00F8599A" w14:paraId="12D484B7" w14:textId="77777777" w:rsidTr="00235E13">
        <w:trPr>
          <w:trHeight w:val="384"/>
        </w:trPr>
        <w:tc>
          <w:tcPr>
            <w:tcW w:w="2778" w:type="dxa"/>
            <w:vMerge/>
            <w:vAlign w:val="center"/>
            <w:hideMark/>
          </w:tcPr>
          <w:p w14:paraId="36B4FA7A" w14:textId="77777777" w:rsidR="00F8599A" w:rsidRPr="008A08FD" w:rsidRDefault="00F8599A" w:rsidP="00F8599A">
            <w:pPr>
              <w:pStyle w:val="DHHStabletext"/>
              <w:rPr>
                <w:rFonts w:eastAsia="Trebuchet MS"/>
              </w:rPr>
            </w:pPr>
          </w:p>
        </w:tc>
        <w:tc>
          <w:tcPr>
            <w:tcW w:w="3436" w:type="dxa"/>
            <w:shd w:val="clear" w:color="auto" w:fill="DCDDDE"/>
            <w:hideMark/>
          </w:tcPr>
          <w:p w14:paraId="57F9F309" w14:textId="77777777" w:rsidR="00F8599A" w:rsidRPr="008A08FD" w:rsidRDefault="00F8599A" w:rsidP="00F8599A">
            <w:pPr>
              <w:pStyle w:val="DHHStabletext"/>
            </w:pPr>
            <w:r w:rsidRPr="008A08FD">
              <w:t>Total</w:t>
            </w:r>
          </w:p>
        </w:tc>
        <w:tc>
          <w:tcPr>
            <w:tcW w:w="1244" w:type="dxa"/>
            <w:shd w:val="clear" w:color="auto" w:fill="DCDDDE"/>
            <w:hideMark/>
          </w:tcPr>
          <w:p w14:paraId="2AED7C82" w14:textId="75E54535" w:rsidR="00F8599A" w:rsidRPr="0075709B" w:rsidRDefault="00F8599A" w:rsidP="0075709B">
            <w:pPr>
              <w:pStyle w:val="DHHStabletext"/>
            </w:pPr>
            <w:r w:rsidRPr="0075709B">
              <w:t>10.1</w:t>
            </w:r>
          </w:p>
        </w:tc>
        <w:tc>
          <w:tcPr>
            <w:tcW w:w="1244" w:type="dxa"/>
            <w:shd w:val="clear" w:color="auto" w:fill="DCDDDE"/>
            <w:hideMark/>
          </w:tcPr>
          <w:p w14:paraId="73CE51B4" w14:textId="595AE387" w:rsidR="00F8599A" w:rsidRPr="0075709B" w:rsidRDefault="00F8599A" w:rsidP="0075709B">
            <w:pPr>
              <w:pStyle w:val="DHHStabletext"/>
            </w:pPr>
            <w:r w:rsidRPr="0075709B">
              <w:t>10.0</w:t>
            </w:r>
          </w:p>
        </w:tc>
        <w:tc>
          <w:tcPr>
            <w:tcW w:w="1241" w:type="dxa"/>
            <w:shd w:val="clear" w:color="auto" w:fill="DCDDDE"/>
            <w:hideMark/>
          </w:tcPr>
          <w:p w14:paraId="4D21555C" w14:textId="015A0988" w:rsidR="00F8599A" w:rsidRPr="0075709B" w:rsidRDefault="00F8599A" w:rsidP="0075709B">
            <w:pPr>
              <w:pStyle w:val="DHHStabletext"/>
            </w:pPr>
            <w:r w:rsidRPr="0075709B">
              <w:t>9.6</w:t>
            </w:r>
          </w:p>
        </w:tc>
      </w:tr>
    </w:tbl>
    <w:p w14:paraId="7DF40F3B" w14:textId="77777777" w:rsidR="004E24F2" w:rsidRDefault="004E24F2" w:rsidP="004E24F2">
      <w:pPr>
        <w:rPr>
          <w:sz w:val="19"/>
        </w:rPr>
        <w:sectPr w:rsidR="004E24F2" w:rsidSect="004E24F2">
          <w:pgSz w:w="11910" w:h="16840"/>
          <w:pgMar w:top="1699" w:right="1310" w:bottom="1138" w:left="1310" w:header="1" w:footer="493" w:gutter="0"/>
          <w:cols w:space="720"/>
        </w:sectPr>
      </w:pPr>
    </w:p>
    <w:p w14:paraId="16F957D3" w14:textId="77777777" w:rsidR="004E24F2" w:rsidRDefault="004E24F2" w:rsidP="00985332">
      <w:pPr>
        <w:pStyle w:val="DHHSbody"/>
      </w:pPr>
    </w:p>
    <w:tbl>
      <w:tblPr>
        <w:tblpPr w:leftFromText="180" w:rightFromText="180" w:horzAnchor="margin" w:tblpY="240"/>
        <w:tblW w:w="9937"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8"/>
        <w:gridCol w:w="3436"/>
        <w:gridCol w:w="1244"/>
        <w:gridCol w:w="1244"/>
        <w:gridCol w:w="1235"/>
      </w:tblGrid>
      <w:tr w:rsidR="00F8599A" w14:paraId="0EC1C0AA" w14:textId="77777777" w:rsidTr="00235E13">
        <w:trPr>
          <w:trHeight w:val="396"/>
          <w:tblHeader/>
        </w:trPr>
        <w:tc>
          <w:tcPr>
            <w:tcW w:w="2778" w:type="dxa"/>
            <w:shd w:val="clear" w:color="auto" w:fill="auto"/>
            <w:hideMark/>
          </w:tcPr>
          <w:p w14:paraId="76AB0A32" w14:textId="77777777" w:rsidR="00F8599A" w:rsidRPr="00EE31F2" w:rsidRDefault="00F8599A" w:rsidP="00F8599A">
            <w:pPr>
              <w:pStyle w:val="DHHStablecolhead"/>
            </w:pPr>
            <w:r w:rsidRPr="00EE31F2">
              <w:t>Compulsory treatment</w:t>
            </w:r>
          </w:p>
        </w:tc>
        <w:tc>
          <w:tcPr>
            <w:tcW w:w="3436" w:type="dxa"/>
            <w:shd w:val="clear" w:color="auto" w:fill="auto"/>
            <w:hideMark/>
          </w:tcPr>
          <w:p w14:paraId="1AB32A7C" w14:textId="77777777" w:rsidR="00F8599A" w:rsidRPr="00EE31F2" w:rsidRDefault="00F8599A" w:rsidP="00F8599A">
            <w:pPr>
              <w:pStyle w:val="DHHStablecolhead"/>
            </w:pPr>
            <w:r w:rsidRPr="00EE31F2">
              <w:t>Population</w:t>
            </w:r>
          </w:p>
        </w:tc>
        <w:tc>
          <w:tcPr>
            <w:tcW w:w="1244" w:type="dxa"/>
            <w:shd w:val="clear" w:color="auto" w:fill="auto"/>
            <w:hideMark/>
          </w:tcPr>
          <w:p w14:paraId="66719682" w14:textId="53173589" w:rsidR="00F8599A" w:rsidRPr="00EE31F2" w:rsidRDefault="00F8599A" w:rsidP="00F8599A">
            <w:pPr>
              <w:pStyle w:val="DHHStablecolhead"/>
            </w:pPr>
            <w:r w:rsidRPr="009F0C73">
              <w:t>2015–16</w:t>
            </w:r>
          </w:p>
        </w:tc>
        <w:tc>
          <w:tcPr>
            <w:tcW w:w="1244" w:type="dxa"/>
            <w:shd w:val="clear" w:color="auto" w:fill="auto"/>
            <w:hideMark/>
          </w:tcPr>
          <w:p w14:paraId="2EA7F3A9" w14:textId="57D2AC03" w:rsidR="00F8599A" w:rsidRPr="00EE31F2" w:rsidRDefault="00F8599A" w:rsidP="00F8599A">
            <w:pPr>
              <w:pStyle w:val="DHHStablecolhead"/>
            </w:pPr>
            <w:r w:rsidRPr="009F0C73">
              <w:t>201</w:t>
            </w:r>
            <w:r>
              <w:t>6</w:t>
            </w:r>
            <w:r w:rsidRPr="009F0C73">
              <w:t>–1</w:t>
            </w:r>
            <w:r>
              <w:t>7</w:t>
            </w:r>
          </w:p>
        </w:tc>
        <w:tc>
          <w:tcPr>
            <w:tcW w:w="1235" w:type="dxa"/>
            <w:shd w:val="clear" w:color="auto" w:fill="auto"/>
            <w:hideMark/>
          </w:tcPr>
          <w:p w14:paraId="7C3B6C96" w14:textId="3A759B57" w:rsidR="00F8599A" w:rsidRPr="00EE31F2" w:rsidRDefault="00F8599A" w:rsidP="00F8599A">
            <w:pPr>
              <w:pStyle w:val="DHHStablecolhead"/>
            </w:pPr>
            <w:r w:rsidRPr="009F0C73">
              <w:t>201</w:t>
            </w:r>
            <w:r>
              <w:t>7</w:t>
            </w:r>
            <w:r w:rsidRPr="009F0C73">
              <w:t>–1</w:t>
            </w:r>
            <w:r>
              <w:t>8</w:t>
            </w:r>
          </w:p>
        </w:tc>
      </w:tr>
      <w:tr w:rsidR="00F8599A" w14:paraId="38E2CC9E" w14:textId="77777777" w:rsidTr="00235E13">
        <w:trPr>
          <w:trHeight w:val="335"/>
        </w:trPr>
        <w:tc>
          <w:tcPr>
            <w:tcW w:w="2778" w:type="dxa"/>
            <w:vMerge w:val="restart"/>
            <w:hideMark/>
          </w:tcPr>
          <w:p w14:paraId="3A08EB23" w14:textId="047DB4BA" w:rsidR="00F8599A" w:rsidRPr="00EE31F2" w:rsidRDefault="00F8599A" w:rsidP="00F8599A">
            <w:pPr>
              <w:pStyle w:val="DHHStabletext"/>
            </w:pPr>
            <w:r w:rsidRPr="00EE31F2">
              <w:t xml:space="preserve">Community cases with </w:t>
            </w:r>
            <w:r w:rsidR="0063113F">
              <w:t>consumers</w:t>
            </w:r>
            <w:r w:rsidR="0063113F" w:rsidRPr="00EE31F2">
              <w:t xml:space="preserve"> </w:t>
            </w:r>
            <w:r w:rsidRPr="00EE31F2">
              <w:t>on treatment order (%)</w:t>
            </w:r>
          </w:p>
        </w:tc>
        <w:tc>
          <w:tcPr>
            <w:tcW w:w="3436" w:type="dxa"/>
            <w:hideMark/>
          </w:tcPr>
          <w:p w14:paraId="03316C18" w14:textId="77777777" w:rsidR="00F8599A" w:rsidRPr="00EE31F2" w:rsidRDefault="00F8599A" w:rsidP="00F8599A">
            <w:pPr>
              <w:pStyle w:val="DHHStabletext"/>
            </w:pPr>
            <w:r w:rsidRPr="00EE31F2">
              <w:t>Adult</w:t>
            </w:r>
          </w:p>
        </w:tc>
        <w:tc>
          <w:tcPr>
            <w:tcW w:w="1244" w:type="dxa"/>
            <w:hideMark/>
          </w:tcPr>
          <w:p w14:paraId="1A0C880C" w14:textId="5B4CBAE9" w:rsidR="00F8599A" w:rsidRPr="0075709B" w:rsidRDefault="00F8599A" w:rsidP="0075709B">
            <w:pPr>
              <w:pStyle w:val="DHHStabletext"/>
            </w:pPr>
            <w:r w:rsidRPr="0075709B">
              <w:t>15.0%</w:t>
            </w:r>
          </w:p>
        </w:tc>
        <w:tc>
          <w:tcPr>
            <w:tcW w:w="1244" w:type="dxa"/>
            <w:hideMark/>
          </w:tcPr>
          <w:p w14:paraId="6DCBF818" w14:textId="2EA2D364" w:rsidR="00F8599A" w:rsidRPr="0075709B" w:rsidRDefault="00F8599A" w:rsidP="0075709B">
            <w:pPr>
              <w:pStyle w:val="DHHStabletext"/>
            </w:pPr>
            <w:r w:rsidRPr="0075709B">
              <w:t>14.5%</w:t>
            </w:r>
          </w:p>
        </w:tc>
        <w:tc>
          <w:tcPr>
            <w:tcW w:w="1235" w:type="dxa"/>
            <w:hideMark/>
          </w:tcPr>
          <w:p w14:paraId="44F9A95A" w14:textId="543CC731" w:rsidR="00F8599A" w:rsidRPr="0075709B" w:rsidRDefault="00F8599A" w:rsidP="0075709B">
            <w:pPr>
              <w:pStyle w:val="DHHStabletext"/>
            </w:pPr>
            <w:r w:rsidRPr="0075709B">
              <w:t>14.9%</w:t>
            </w:r>
          </w:p>
        </w:tc>
      </w:tr>
      <w:tr w:rsidR="00F8599A" w14:paraId="2E4B330C" w14:textId="77777777" w:rsidTr="00235E13">
        <w:trPr>
          <w:trHeight w:val="330"/>
        </w:trPr>
        <w:tc>
          <w:tcPr>
            <w:tcW w:w="2778" w:type="dxa"/>
            <w:vMerge/>
            <w:vAlign w:val="center"/>
            <w:hideMark/>
          </w:tcPr>
          <w:p w14:paraId="6FD0AAF4" w14:textId="77777777" w:rsidR="00F8599A" w:rsidRPr="00EE31F2" w:rsidRDefault="00F8599A" w:rsidP="00F8599A">
            <w:pPr>
              <w:pStyle w:val="DHHStabletext"/>
              <w:rPr>
                <w:rFonts w:eastAsia="Trebuchet MS"/>
              </w:rPr>
            </w:pPr>
          </w:p>
        </w:tc>
        <w:tc>
          <w:tcPr>
            <w:tcW w:w="3436" w:type="dxa"/>
            <w:hideMark/>
          </w:tcPr>
          <w:p w14:paraId="333B3F83" w14:textId="77777777" w:rsidR="00F8599A" w:rsidRPr="00EE31F2" w:rsidRDefault="00F8599A" w:rsidP="00F8599A">
            <w:pPr>
              <w:pStyle w:val="DHHStabletext"/>
            </w:pPr>
            <w:r w:rsidRPr="00EE31F2">
              <w:t>Aged</w:t>
            </w:r>
          </w:p>
        </w:tc>
        <w:tc>
          <w:tcPr>
            <w:tcW w:w="1244" w:type="dxa"/>
            <w:hideMark/>
          </w:tcPr>
          <w:p w14:paraId="03005B96" w14:textId="6E4D1B43" w:rsidR="00F8599A" w:rsidRPr="0075709B" w:rsidRDefault="00F8599A" w:rsidP="0075709B">
            <w:pPr>
              <w:pStyle w:val="DHHStabletext"/>
            </w:pPr>
            <w:r w:rsidRPr="0075709B">
              <w:t>4.2%</w:t>
            </w:r>
          </w:p>
        </w:tc>
        <w:tc>
          <w:tcPr>
            <w:tcW w:w="1244" w:type="dxa"/>
            <w:hideMark/>
          </w:tcPr>
          <w:p w14:paraId="3FC6388C" w14:textId="08E30D5A" w:rsidR="00F8599A" w:rsidRPr="0075709B" w:rsidRDefault="00F8599A" w:rsidP="0075709B">
            <w:pPr>
              <w:pStyle w:val="DHHStabletext"/>
            </w:pPr>
            <w:r w:rsidRPr="0075709B">
              <w:t>4.5%</w:t>
            </w:r>
          </w:p>
        </w:tc>
        <w:tc>
          <w:tcPr>
            <w:tcW w:w="1235" w:type="dxa"/>
            <w:hideMark/>
          </w:tcPr>
          <w:p w14:paraId="32742F66" w14:textId="25C8A0D2" w:rsidR="00F8599A" w:rsidRPr="0075709B" w:rsidRDefault="00F8599A" w:rsidP="0075709B">
            <w:pPr>
              <w:pStyle w:val="DHHStabletext"/>
            </w:pPr>
            <w:r w:rsidRPr="0075709B">
              <w:t>5.0%</w:t>
            </w:r>
          </w:p>
        </w:tc>
      </w:tr>
      <w:tr w:rsidR="00F8599A" w14:paraId="03D9D5BE" w14:textId="77777777" w:rsidTr="00235E13">
        <w:trPr>
          <w:trHeight w:val="330"/>
        </w:trPr>
        <w:tc>
          <w:tcPr>
            <w:tcW w:w="2778" w:type="dxa"/>
            <w:vMerge/>
            <w:vAlign w:val="center"/>
            <w:hideMark/>
          </w:tcPr>
          <w:p w14:paraId="15F228C8" w14:textId="77777777" w:rsidR="00F8599A" w:rsidRPr="00EE31F2" w:rsidRDefault="00F8599A" w:rsidP="00F8599A">
            <w:pPr>
              <w:pStyle w:val="DHHStabletext"/>
              <w:rPr>
                <w:rFonts w:eastAsia="Trebuchet MS"/>
              </w:rPr>
            </w:pPr>
          </w:p>
        </w:tc>
        <w:tc>
          <w:tcPr>
            <w:tcW w:w="3436" w:type="dxa"/>
            <w:hideMark/>
          </w:tcPr>
          <w:p w14:paraId="061336D5" w14:textId="77777777" w:rsidR="00F8599A" w:rsidRPr="00EE31F2" w:rsidRDefault="00F8599A" w:rsidP="00F8599A">
            <w:pPr>
              <w:pStyle w:val="DHHStabletext"/>
            </w:pPr>
            <w:r w:rsidRPr="00EE31F2">
              <w:t>CAMHS</w:t>
            </w:r>
          </w:p>
        </w:tc>
        <w:tc>
          <w:tcPr>
            <w:tcW w:w="1244" w:type="dxa"/>
            <w:hideMark/>
          </w:tcPr>
          <w:p w14:paraId="2A2B495F" w14:textId="3414AF28" w:rsidR="00F8599A" w:rsidRPr="0075709B" w:rsidRDefault="00F8599A" w:rsidP="0075709B">
            <w:pPr>
              <w:pStyle w:val="DHHStabletext"/>
            </w:pPr>
            <w:r w:rsidRPr="0075709B">
              <w:t>0.9%</w:t>
            </w:r>
          </w:p>
        </w:tc>
        <w:tc>
          <w:tcPr>
            <w:tcW w:w="1244" w:type="dxa"/>
            <w:hideMark/>
          </w:tcPr>
          <w:p w14:paraId="59AA79A2" w14:textId="765D19BA" w:rsidR="00F8599A" w:rsidRPr="0075709B" w:rsidRDefault="00F8599A" w:rsidP="0075709B">
            <w:pPr>
              <w:pStyle w:val="DHHStabletext"/>
            </w:pPr>
            <w:r w:rsidRPr="0075709B">
              <w:t>1.1%</w:t>
            </w:r>
          </w:p>
        </w:tc>
        <w:tc>
          <w:tcPr>
            <w:tcW w:w="1235" w:type="dxa"/>
            <w:hideMark/>
          </w:tcPr>
          <w:p w14:paraId="7C09178F" w14:textId="584428C9" w:rsidR="00F8599A" w:rsidRPr="0075709B" w:rsidRDefault="00F8599A" w:rsidP="0075709B">
            <w:pPr>
              <w:pStyle w:val="DHHStabletext"/>
            </w:pPr>
            <w:r w:rsidRPr="0075709B">
              <w:t>1.1%</w:t>
            </w:r>
          </w:p>
        </w:tc>
      </w:tr>
      <w:tr w:rsidR="00F8599A" w14:paraId="22CEB9E9" w14:textId="77777777" w:rsidTr="00235E13">
        <w:trPr>
          <w:trHeight w:val="330"/>
        </w:trPr>
        <w:tc>
          <w:tcPr>
            <w:tcW w:w="2778" w:type="dxa"/>
            <w:vMerge/>
            <w:vAlign w:val="center"/>
            <w:hideMark/>
          </w:tcPr>
          <w:p w14:paraId="56E99930" w14:textId="77777777" w:rsidR="00F8599A" w:rsidRPr="00EE31F2" w:rsidRDefault="00F8599A" w:rsidP="00F8599A">
            <w:pPr>
              <w:pStyle w:val="DHHStabletext"/>
              <w:rPr>
                <w:rFonts w:eastAsia="Trebuchet MS"/>
              </w:rPr>
            </w:pPr>
          </w:p>
        </w:tc>
        <w:tc>
          <w:tcPr>
            <w:tcW w:w="3436" w:type="dxa"/>
            <w:hideMark/>
          </w:tcPr>
          <w:p w14:paraId="5AA6A4FF" w14:textId="77777777" w:rsidR="00F8599A" w:rsidRPr="00EE31F2" w:rsidRDefault="00F8599A" w:rsidP="00F8599A">
            <w:pPr>
              <w:pStyle w:val="DHHStabletext"/>
            </w:pPr>
            <w:r w:rsidRPr="00EE31F2">
              <w:t>Forensic</w:t>
            </w:r>
          </w:p>
        </w:tc>
        <w:tc>
          <w:tcPr>
            <w:tcW w:w="1244" w:type="dxa"/>
            <w:hideMark/>
          </w:tcPr>
          <w:p w14:paraId="4614AD51" w14:textId="54BEA5E6" w:rsidR="00F8599A" w:rsidRPr="0075709B" w:rsidRDefault="00F8599A" w:rsidP="0075709B">
            <w:pPr>
              <w:pStyle w:val="DHHStabletext"/>
            </w:pPr>
            <w:r w:rsidRPr="0075709B">
              <w:t>15.3%</w:t>
            </w:r>
          </w:p>
        </w:tc>
        <w:tc>
          <w:tcPr>
            <w:tcW w:w="1244" w:type="dxa"/>
            <w:hideMark/>
          </w:tcPr>
          <w:p w14:paraId="2249DEBC" w14:textId="67C717DC" w:rsidR="00F8599A" w:rsidRPr="0075709B" w:rsidRDefault="00F8599A" w:rsidP="0075709B">
            <w:pPr>
              <w:pStyle w:val="DHHStabletext"/>
            </w:pPr>
            <w:r w:rsidRPr="0075709B">
              <w:t>16.3%</w:t>
            </w:r>
          </w:p>
        </w:tc>
        <w:tc>
          <w:tcPr>
            <w:tcW w:w="1235" w:type="dxa"/>
            <w:hideMark/>
          </w:tcPr>
          <w:p w14:paraId="06F291C4" w14:textId="69D5F2DA" w:rsidR="00F8599A" w:rsidRPr="0075709B" w:rsidRDefault="00F8599A" w:rsidP="0075709B">
            <w:pPr>
              <w:pStyle w:val="DHHStabletext"/>
            </w:pPr>
            <w:r w:rsidRPr="0075709B">
              <w:t>13.3%</w:t>
            </w:r>
          </w:p>
        </w:tc>
      </w:tr>
      <w:tr w:rsidR="00F8599A" w14:paraId="45E95458" w14:textId="77777777" w:rsidTr="00235E13">
        <w:trPr>
          <w:trHeight w:val="330"/>
        </w:trPr>
        <w:tc>
          <w:tcPr>
            <w:tcW w:w="2778" w:type="dxa"/>
            <w:vMerge/>
            <w:vAlign w:val="center"/>
            <w:hideMark/>
          </w:tcPr>
          <w:p w14:paraId="6FBEF1D7" w14:textId="77777777" w:rsidR="00F8599A" w:rsidRPr="00EE31F2" w:rsidRDefault="00F8599A" w:rsidP="00F8599A">
            <w:pPr>
              <w:pStyle w:val="DHHStabletext"/>
              <w:rPr>
                <w:rFonts w:eastAsia="Trebuchet MS"/>
              </w:rPr>
            </w:pPr>
          </w:p>
        </w:tc>
        <w:tc>
          <w:tcPr>
            <w:tcW w:w="3436" w:type="dxa"/>
            <w:hideMark/>
          </w:tcPr>
          <w:p w14:paraId="0B50A8EA" w14:textId="77777777" w:rsidR="00F8599A" w:rsidRPr="00EE31F2" w:rsidRDefault="00F8599A" w:rsidP="00F8599A">
            <w:pPr>
              <w:pStyle w:val="DHHStabletext"/>
            </w:pPr>
            <w:r w:rsidRPr="00EE31F2">
              <w:t>Specialist</w:t>
            </w:r>
          </w:p>
        </w:tc>
        <w:tc>
          <w:tcPr>
            <w:tcW w:w="1244" w:type="dxa"/>
            <w:hideMark/>
          </w:tcPr>
          <w:p w14:paraId="306CCA63" w14:textId="5AC6123A" w:rsidR="00F8599A" w:rsidRPr="0075709B" w:rsidRDefault="00F8599A" w:rsidP="0075709B">
            <w:pPr>
              <w:pStyle w:val="DHHStabletext"/>
            </w:pPr>
            <w:r w:rsidRPr="0075709B">
              <w:t>1.8%</w:t>
            </w:r>
          </w:p>
        </w:tc>
        <w:tc>
          <w:tcPr>
            <w:tcW w:w="1244" w:type="dxa"/>
            <w:hideMark/>
          </w:tcPr>
          <w:p w14:paraId="589D0657" w14:textId="17355350" w:rsidR="00F8599A" w:rsidRPr="0075709B" w:rsidRDefault="00F8599A" w:rsidP="0075709B">
            <w:pPr>
              <w:pStyle w:val="DHHStabletext"/>
            </w:pPr>
            <w:r w:rsidRPr="0075709B">
              <w:t>2.2%</w:t>
            </w:r>
          </w:p>
        </w:tc>
        <w:tc>
          <w:tcPr>
            <w:tcW w:w="1235" w:type="dxa"/>
            <w:hideMark/>
          </w:tcPr>
          <w:p w14:paraId="1B09114C" w14:textId="24DF7275" w:rsidR="00F8599A" w:rsidRPr="0075709B" w:rsidRDefault="00F8599A" w:rsidP="0075709B">
            <w:pPr>
              <w:pStyle w:val="DHHStabletext"/>
            </w:pPr>
            <w:r w:rsidRPr="0075709B">
              <w:t>5.4%</w:t>
            </w:r>
          </w:p>
        </w:tc>
      </w:tr>
      <w:tr w:rsidR="00F8599A" w14:paraId="42F16FE9" w14:textId="77777777" w:rsidTr="00235E13">
        <w:trPr>
          <w:trHeight w:val="330"/>
        </w:trPr>
        <w:tc>
          <w:tcPr>
            <w:tcW w:w="2778" w:type="dxa"/>
            <w:vMerge/>
            <w:vAlign w:val="center"/>
            <w:hideMark/>
          </w:tcPr>
          <w:p w14:paraId="2355959A" w14:textId="77777777" w:rsidR="00F8599A" w:rsidRPr="00EE31F2" w:rsidRDefault="00F8599A" w:rsidP="00F8599A">
            <w:pPr>
              <w:pStyle w:val="DHHStabletext"/>
              <w:rPr>
                <w:rFonts w:eastAsia="Trebuchet MS"/>
              </w:rPr>
            </w:pPr>
          </w:p>
        </w:tc>
        <w:tc>
          <w:tcPr>
            <w:tcW w:w="3436" w:type="dxa"/>
            <w:shd w:val="clear" w:color="auto" w:fill="DCDDDE"/>
            <w:hideMark/>
          </w:tcPr>
          <w:p w14:paraId="2559026C" w14:textId="77777777" w:rsidR="00F8599A" w:rsidRPr="00EE31F2" w:rsidRDefault="00F8599A" w:rsidP="00F8599A">
            <w:pPr>
              <w:pStyle w:val="DHHStabletext"/>
            </w:pPr>
            <w:r w:rsidRPr="00EE31F2">
              <w:t>Total</w:t>
            </w:r>
          </w:p>
        </w:tc>
        <w:tc>
          <w:tcPr>
            <w:tcW w:w="1244" w:type="dxa"/>
            <w:shd w:val="clear" w:color="auto" w:fill="DCDDDE"/>
            <w:hideMark/>
          </w:tcPr>
          <w:p w14:paraId="62BEBC07" w14:textId="6D47C04C" w:rsidR="00F8599A" w:rsidRPr="0075709B" w:rsidRDefault="00F8599A" w:rsidP="0075709B">
            <w:pPr>
              <w:pStyle w:val="DHHStabletext"/>
            </w:pPr>
            <w:r w:rsidRPr="0075709B">
              <w:t>11.1%</w:t>
            </w:r>
          </w:p>
        </w:tc>
        <w:tc>
          <w:tcPr>
            <w:tcW w:w="1244" w:type="dxa"/>
            <w:shd w:val="clear" w:color="auto" w:fill="DCDDDE"/>
            <w:hideMark/>
          </w:tcPr>
          <w:p w14:paraId="4A404DBB" w14:textId="1688030E" w:rsidR="00F8599A" w:rsidRPr="0075709B" w:rsidRDefault="00F8599A" w:rsidP="0075709B">
            <w:pPr>
              <w:pStyle w:val="DHHStabletext"/>
            </w:pPr>
            <w:r w:rsidRPr="0075709B">
              <w:t>11.0%</w:t>
            </w:r>
          </w:p>
        </w:tc>
        <w:tc>
          <w:tcPr>
            <w:tcW w:w="1235" w:type="dxa"/>
            <w:shd w:val="clear" w:color="auto" w:fill="DCDDDE"/>
            <w:hideMark/>
          </w:tcPr>
          <w:p w14:paraId="1FF2DC12" w14:textId="7C33014E" w:rsidR="00F8599A" w:rsidRPr="0075709B" w:rsidRDefault="00F8599A" w:rsidP="0075709B">
            <w:pPr>
              <w:pStyle w:val="DHHStabletext"/>
            </w:pPr>
            <w:r w:rsidRPr="0075709B">
              <w:t>11.3%</w:t>
            </w:r>
          </w:p>
        </w:tc>
      </w:tr>
      <w:tr w:rsidR="00F8599A" w14:paraId="6972C843" w14:textId="77777777" w:rsidTr="00235E13">
        <w:trPr>
          <w:trHeight w:val="406"/>
        </w:trPr>
        <w:tc>
          <w:tcPr>
            <w:tcW w:w="2778" w:type="dxa"/>
            <w:vMerge w:val="restart"/>
            <w:hideMark/>
          </w:tcPr>
          <w:p w14:paraId="435F2186" w14:textId="77777777" w:rsidR="00F8599A" w:rsidRPr="00EE31F2" w:rsidRDefault="00F8599A" w:rsidP="00F8599A">
            <w:pPr>
              <w:pStyle w:val="DHHStabletext"/>
            </w:pPr>
            <w:r w:rsidRPr="00EE31F2">
              <w:t>Compulsory admissions – inpatient (%)</w:t>
            </w:r>
          </w:p>
        </w:tc>
        <w:tc>
          <w:tcPr>
            <w:tcW w:w="3436" w:type="dxa"/>
            <w:hideMark/>
          </w:tcPr>
          <w:p w14:paraId="3395F064" w14:textId="77777777" w:rsidR="00F8599A" w:rsidRPr="00EE31F2" w:rsidRDefault="00F8599A" w:rsidP="00F8599A">
            <w:pPr>
              <w:pStyle w:val="DHHStabletext"/>
            </w:pPr>
            <w:r w:rsidRPr="00EE31F2">
              <w:t>Adult</w:t>
            </w:r>
          </w:p>
        </w:tc>
        <w:tc>
          <w:tcPr>
            <w:tcW w:w="1244" w:type="dxa"/>
            <w:hideMark/>
          </w:tcPr>
          <w:p w14:paraId="1A33F696" w14:textId="080238E2" w:rsidR="00F8599A" w:rsidRPr="0075709B" w:rsidRDefault="00F8599A" w:rsidP="0075709B">
            <w:pPr>
              <w:pStyle w:val="DHHStabletext"/>
            </w:pPr>
            <w:r w:rsidRPr="0075709B">
              <w:t>57.8%</w:t>
            </w:r>
          </w:p>
        </w:tc>
        <w:tc>
          <w:tcPr>
            <w:tcW w:w="1244" w:type="dxa"/>
            <w:hideMark/>
          </w:tcPr>
          <w:p w14:paraId="56878C31" w14:textId="1AA3B930" w:rsidR="00F8599A" w:rsidRPr="0075709B" w:rsidRDefault="00F8599A" w:rsidP="0075709B">
            <w:pPr>
              <w:pStyle w:val="DHHStabletext"/>
            </w:pPr>
            <w:r w:rsidRPr="0075709B">
              <w:t>56.9%</w:t>
            </w:r>
          </w:p>
        </w:tc>
        <w:tc>
          <w:tcPr>
            <w:tcW w:w="1235" w:type="dxa"/>
            <w:hideMark/>
          </w:tcPr>
          <w:p w14:paraId="291A1A61" w14:textId="3A14AD22" w:rsidR="00F8599A" w:rsidRPr="0075709B" w:rsidRDefault="00F8599A" w:rsidP="0075709B">
            <w:pPr>
              <w:pStyle w:val="DHHStabletext"/>
            </w:pPr>
            <w:r w:rsidRPr="0075709B">
              <w:t>55.4%</w:t>
            </w:r>
          </w:p>
        </w:tc>
      </w:tr>
      <w:tr w:rsidR="00F8599A" w14:paraId="38501CEF" w14:textId="77777777" w:rsidTr="00235E13">
        <w:trPr>
          <w:trHeight w:val="330"/>
        </w:trPr>
        <w:tc>
          <w:tcPr>
            <w:tcW w:w="2778" w:type="dxa"/>
            <w:vMerge/>
            <w:vAlign w:val="center"/>
            <w:hideMark/>
          </w:tcPr>
          <w:p w14:paraId="7379A80D" w14:textId="77777777" w:rsidR="00F8599A" w:rsidRPr="00EE31F2" w:rsidRDefault="00F8599A" w:rsidP="00F8599A">
            <w:pPr>
              <w:pStyle w:val="DHHStabletext"/>
              <w:rPr>
                <w:rFonts w:eastAsia="Trebuchet MS"/>
              </w:rPr>
            </w:pPr>
          </w:p>
        </w:tc>
        <w:tc>
          <w:tcPr>
            <w:tcW w:w="3436" w:type="dxa"/>
            <w:hideMark/>
          </w:tcPr>
          <w:p w14:paraId="1D30E247" w14:textId="77777777" w:rsidR="00F8599A" w:rsidRPr="00EE31F2" w:rsidRDefault="00F8599A" w:rsidP="00F8599A">
            <w:pPr>
              <w:pStyle w:val="DHHStabletext"/>
            </w:pPr>
            <w:r w:rsidRPr="00EE31F2">
              <w:t>Aged</w:t>
            </w:r>
          </w:p>
        </w:tc>
        <w:tc>
          <w:tcPr>
            <w:tcW w:w="1244" w:type="dxa"/>
            <w:hideMark/>
          </w:tcPr>
          <w:p w14:paraId="77657277" w14:textId="09719FE2" w:rsidR="00F8599A" w:rsidRPr="0075709B" w:rsidRDefault="00F8599A" w:rsidP="0075709B">
            <w:pPr>
              <w:pStyle w:val="DHHStabletext"/>
            </w:pPr>
            <w:r w:rsidRPr="0075709B">
              <w:t>46.0%</w:t>
            </w:r>
          </w:p>
        </w:tc>
        <w:tc>
          <w:tcPr>
            <w:tcW w:w="1244" w:type="dxa"/>
            <w:hideMark/>
          </w:tcPr>
          <w:p w14:paraId="09E533AC" w14:textId="54A7C6DB" w:rsidR="00F8599A" w:rsidRPr="0075709B" w:rsidRDefault="00F8599A" w:rsidP="0075709B">
            <w:pPr>
              <w:pStyle w:val="DHHStabletext"/>
            </w:pPr>
            <w:r w:rsidRPr="0075709B">
              <w:t>48.3%</w:t>
            </w:r>
          </w:p>
        </w:tc>
        <w:tc>
          <w:tcPr>
            <w:tcW w:w="1235" w:type="dxa"/>
            <w:hideMark/>
          </w:tcPr>
          <w:p w14:paraId="38FC0B73" w14:textId="526ABF4D" w:rsidR="00F8599A" w:rsidRPr="0075709B" w:rsidRDefault="00F8599A" w:rsidP="0075709B">
            <w:pPr>
              <w:pStyle w:val="DHHStabletext"/>
            </w:pPr>
            <w:r w:rsidRPr="0075709B">
              <w:t>46.9%</w:t>
            </w:r>
          </w:p>
        </w:tc>
      </w:tr>
      <w:tr w:rsidR="00F8599A" w14:paraId="26C126B6" w14:textId="77777777" w:rsidTr="00235E13">
        <w:trPr>
          <w:trHeight w:val="327"/>
        </w:trPr>
        <w:tc>
          <w:tcPr>
            <w:tcW w:w="2778" w:type="dxa"/>
            <w:vMerge/>
            <w:vAlign w:val="center"/>
            <w:hideMark/>
          </w:tcPr>
          <w:p w14:paraId="7472D4B6" w14:textId="77777777" w:rsidR="00F8599A" w:rsidRPr="00EE31F2" w:rsidRDefault="00F8599A" w:rsidP="00F8599A">
            <w:pPr>
              <w:pStyle w:val="DHHStabletext"/>
              <w:rPr>
                <w:rFonts w:eastAsia="Trebuchet MS"/>
              </w:rPr>
            </w:pPr>
          </w:p>
        </w:tc>
        <w:tc>
          <w:tcPr>
            <w:tcW w:w="3436" w:type="dxa"/>
            <w:hideMark/>
          </w:tcPr>
          <w:p w14:paraId="74574CCA" w14:textId="77777777" w:rsidR="00F8599A" w:rsidRPr="00EE31F2" w:rsidRDefault="00F8599A" w:rsidP="00F8599A">
            <w:pPr>
              <w:pStyle w:val="DHHStabletext"/>
            </w:pPr>
            <w:r w:rsidRPr="00EE31F2">
              <w:t>CAMHS</w:t>
            </w:r>
          </w:p>
        </w:tc>
        <w:tc>
          <w:tcPr>
            <w:tcW w:w="1244" w:type="dxa"/>
            <w:hideMark/>
          </w:tcPr>
          <w:p w14:paraId="5429D931" w14:textId="1989B459" w:rsidR="00F8599A" w:rsidRPr="0075709B" w:rsidRDefault="00F8599A" w:rsidP="0075709B">
            <w:pPr>
              <w:pStyle w:val="DHHStabletext"/>
            </w:pPr>
            <w:r w:rsidRPr="0075709B">
              <w:t>16.7%</w:t>
            </w:r>
          </w:p>
        </w:tc>
        <w:tc>
          <w:tcPr>
            <w:tcW w:w="1244" w:type="dxa"/>
            <w:hideMark/>
          </w:tcPr>
          <w:p w14:paraId="647E17B9" w14:textId="53D4118D" w:rsidR="00F8599A" w:rsidRPr="0075709B" w:rsidRDefault="00F8599A" w:rsidP="0075709B">
            <w:pPr>
              <w:pStyle w:val="DHHStabletext"/>
            </w:pPr>
            <w:r w:rsidRPr="0075709B">
              <w:t>17.0%</w:t>
            </w:r>
          </w:p>
        </w:tc>
        <w:tc>
          <w:tcPr>
            <w:tcW w:w="1235" w:type="dxa"/>
            <w:hideMark/>
          </w:tcPr>
          <w:p w14:paraId="5460F5C3" w14:textId="14EE0603" w:rsidR="00F8599A" w:rsidRPr="0075709B" w:rsidRDefault="00F8599A" w:rsidP="0075709B">
            <w:pPr>
              <w:pStyle w:val="DHHStabletext"/>
            </w:pPr>
            <w:r w:rsidRPr="0075709B">
              <w:t>20.2%</w:t>
            </w:r>
          </w:p>
        </w:tc>
      </w:tr>
      <w:tr w:rsidR="00F8599A" w14:paraId="54A7FB78" w14:textId="77777777" w:rsidTr="00235E13">
        <w:trPr>
          <w:trHeight w:val="327"/>
        </w:trPr>
        <w:tc>
          <w:tcPr>
            <w:tcW w:w="2778" w:type="dxa"/>
            <w:vMerge/>
            <w:vAlign w:val="center"/>
            <w:hideMark/>
          </w:tcPr>
          <w:p w14:paraId="5AF6EB08" w14:textId="77777777" w:rsidR="00F8599A" w:rsidRPr="00EE31F2" w:rsidRDefault="00F8599A" w:rsidP="00F8599A">
            <w:pPr>
              <w:pStyle w:val="DHHStabletext"/>
              <w:rPr>
                <w:rFonts w:eastAsia="Trebuchet MS"/>
              </w:rPr>
            </w:pPr>
          </w:p>
        </w:tc>
        <w:tc>
          <w:tcPr>
            <w:tcW w:w="3436" w:type="dxa"/>
            <w:hideMark/>
          </w:tcPr>
          <w:p w14:paraId="4DA386B8" w14:textId="77777777" w:rsidR="00F8599A" w:rsidRPr="00EE31F2" w:rsidRDefault="00F8599A" w:rsidP="00F8599A">
            <w:pPr>
              <w:pStyle w:val="DHHStabletext"/>
            </w:pPr>
            <w:r w:rsidRPr="00EE31F2">
              <w:t>Forensic</w:t>
            </w:r>
          </w:p>
        </w:tc>
        <w:tc>
          <w:tcPr>
            <w:tcW w:w="1244" w:type="dxa"/>
            <w:hideMark/>
          </w:tcPr>
          <w:p w14:paraId="15742181" w14:textId="04DE3BDD" w:rsidR="00F8599A" w:rsidRPr="0075709B" w:rsidRDefault="00F8599A" w:rsidP="0075709B">
            <w:pPr>
              <w:pStyle w:val="DHHStabletext"/>
            </w:pPr>
            <w:r w:rsidRPr="0075709B">
              <w:t>100.0%</w:t>
            </w:r>
          </w:p>
        </w:tc>
        <w:tc>
          <w:tcPr>
            <w:tcW w:w="1244" w:type="dxa"/>
            <w:hideMark/>
          </w:tcPr>
          <w:p w14:paraId="2336117B" w14:textId="2E484863" w:rsidR="00F8599A" w:rsidRPr="0075709B" w:rsidRDefault="00F8599A" w:rsidP="0075709B">
            <w:pPr>
              <w:pStyle w:val="DHHStabletext"/>
            </w:pPr>
            <w:r w:rsidRPr="0075709B">
              <w:t>100.0%</w:t>
            </w:r>
          </w:p>
        </w:tc>
        <w:tc>
          <w:tcPr>
            <w:tcW w:w="1235" w:type="dxa"/>
            <w:hideMark/>
          </w:tcPr>
          <w:p w14:paraId="6C495753" w14:textId="7AFA7891" w:rsidR="00F8599A" w:rsidRPr="0075709B" w:rsidRDefault="00F8599A" w:rsidP="0075709B">
            <w:pPr>
              <w:pStyle w:val="DHHStabletext"/>
            </w:pPr>
            <w:r w:rsidRPr="0075709B">
              <w:t>100.0%</w:t>
            </w:r>
          </w:p>
        </w:tc>
      </w:tr>
      <w:tr w:rsidR="00F8599A" w14:paraId="3EF4364C" w14:textId="77777777" w:rsidTr="00235E13">
        <w:trPr>
          <w:trHeight w:val="327"/>
        </w:trPr>
        <w:tc>
          <w:tcPr>
            <w:tcW w:w="2778" w:type="dxa"/>
            <w:vMerge/>
            <w:vAlign w:val="center"/>
            <w:hideMark/>
          </w:tcPr>
          <w:p w14:paraId="4B670F39" w14:textId="77777777" w:rsidR="00F8599A" w:rsidRPr="00EE31F2" w:rsidRDefault="00F8599A" w:rsidP="00F8599A">
            <w:pPr>
              <w:pStyle w:val="DHHStabletext"/>
              <w:rPr>
                <w:rFonts w:eastAsia="Trebuchet MS"/>
              </w:rPr>
            </w:pPr>
          </w:p>
        </w:tc>
        <w:tc>
          <w:tcPr>
            <w:tcW w:w="3436" w:type="dxa"/>
            <w:hideMark/>
          </w:tcPr>
          <w:p w14:paraId="4BBFD55F" w14:textId="77777777" w:rsidR="00F8599A" w:rsidRPr="00EE31F2" w:rsidRDefault="00F8599A" w:rsidP="00F8599A">
            <w:pPr>
              <w:pStyle w:val="DHHStabletext"/>
            </w:pPr>
            <w:r w:rsidRPr="00EE31F2">
              <w:t>Specialist</w:t>
            </w:r>
          </w:p>
        </w:tc>
        <w:tc>
          <w:tcPr>
            <w:tcW w:w="1244" w:type="dxa"/>
            <w:hideMark/>
          </w:tcPr>
          <w:p w14:paraId="19698B49" w14:textId="1EB9BE26" w:rsidR="00F8599A" w:rsidRPr="0075709B" w:rsidRDefault="00F8599A" w:rsidP="0075709B">
            <w:pPr>
              <w:pStyle w:val="DHHStabletext"/>
            </w:pPr>
            <w:r w:rsidRPr="0075709B">
              <w:t>11.3%</w:t>
            </w:r>
          </w:p>
        </w:tc>
        <w:tc>
          <w:tcPr>
            <w:tcW w:w="1244" w:type="dxa"/>
            <w:hideMark/>
          </w:tcPr>
          <w:p w14:paraId="011126F8" w14:textId="2E56810A" w:rsidR="00F8599A" w:rsidRPr="0075709B" w:rsidRDefault="00F8599A" w:rsidP="0075709B">
            <w:pPr>
              <w:pStyle w:val="DHHStabletext"/>
            </w:pPr>
            <w:r w:rsidRPr="0075709B">
              <w:t>8.8%</w:t>
            </w:r>
          </w:p>
        </w:tc>
        <w:tc>
          <w:tcPr>
            <w:tcW w:w="1235" w:type="dxa"/>
            <w:hideMark/>
          </w:tcPr>
          <w:p w14:paraId="0A10BB75" w14:textId="09C88A47" w:rsidR="00F8599A" w:rsidRPr="0075709B" w:rsidRDefault="00F8599A" w:rsidP="0075709B">
            <w:pPr>
              <w:pStyle w:val="DHHStabletext"/>
            </w:pPr>
            <w:r w:rsidRPr="0075709B">
              <w:t>8.8%</w:t>
            </w:r>
          </w:p>
        </w:tc>
      </w:tr>
      <w:tr w:rsidR="00F8599A" w14:paraId="12DD0BE9" w14:textId="77777777" w:rsidTr="00235E13">
        <w:trPr>
          <w:trHeight w:val="404"/>
        </w:trPr>
        <w:tc>
          <w:tcPr>
            <w:tcW w:w="2778" w:type="dxa"/>
            <w:vMerge/>
            <w:vAlign w:val="center"/>
            <w:hideMark/>
          </w:tcPr>
          <w:p w14:paraId="39D3C8D4" w14:textId="77777777" w:rsidR="00F8599A" w:rsidRPr="00EE31F2" w:rsidRDefault="00F8599A" w:rsidP="00F8599A">
            <w:pPr>
              <w:pStyle w:val="DHHStabletext"/>
              <w:rPr>
                <w:rFonts w:eastAsia="Trebuchet MS"/>
              </w:rPr>
            </w:pPr>
          </w:p>
        </w:tc>
        <w:tc>
          <w:tcPr>
            <w:tcW w:w="3436" w:type="dxa"/>
            <w:shd w:val="clear" w:color="auto" w:fill="DCDDDE"/>
            <w:hideMark/>
          </w:tcPr>
          <w:p w14:paraId="0CCC4CA1" w14:textId="77777777" w:rsidR="00F8599A" w:rsidRPr="00EE31F2" w:rsidRDefault="00F8599A" w:rsidP="00F8599A">
            <w:pPr>
              <w:pStyle w:val="DHHStabletext"/>
            </w:pPr>
            <w:r w:rsidRPr="00EE31F2">
              <w:t>Total</w:t>
            </w:r>
          </w:p>
        </w:tc>
        <w:tc>
          <w:tcPr>
            <w:tcW w:w="1244" w:type="dxa"/>
            <w:shd w:val="clear" w:color="auto" w:fill="DCDDDE"/>
            <w:hideMark/>
          </w:tcPr>
          <w:p w14:paraId="14A46746" w14:textId="1C0B9B27" w:rsidR="00F8599A" w:rsidRPr="0075709B" w:rsidRDefault="00F8599A" w:rsidP="0075709B">
            <w:pPr>
              <w:pStyle w:val="DHHStabletext"/>
            </w:pPr>
            <w:r w:rsidRPr="0075709B">
              <w:t>52.2%</w:t>
            </w:r>
          </w:p>
        </w:tc>
        <w:tc>
          <w:tcPr>
            <w:tcW w:w="1244" w:type="dxa"/>
            <w:shd w:val="clear" w:color="auto" w:fill="DCDDDE"/>
            <w:hideMark/>
          </w:tcPr>
          <w:p w14:paraId="021AB769" w14:textId="71E985BE" w:rsidR="00F8599A" w:rsidRPr="0075709B" w:rsidRDefault="00F8599A" w:rsidP="0075709B">
            <w:pPr>
              <w:pStyle w:val="DHHStabletext"/>
            </w:pPr>
            <w:r w:rsidRPr="0075709B">
              <w:t>51.5%</w:t>
            </w:r>
          </w:p>
        </w:tc>
        <w:tc>
          <w:tcPr>
            <w:tcW w:w="1235" w:type="dxa"/>
            <w:shd w:val="clear" w:color="auto" w:fill="DCDDDE"/>
            <w:hideMark/>
          </w:tcPr>
          <w:p w14:paraId="55FAD57D" w14:textId="313FC07E" w:rsidR="00F8599A" w:rsidRPr="0075709B" w:rsidRDefault="00F8599A" w:rsidP="0075709B">
            <w:pPr>
              <w:pStyle w:val="DHHStabletext"/>
            </w:pPr>
            <w:r w:rsidRPr="0075709B">
              <w:t>50.3%</w:t>
            </w:r>
          </w:p>
        </w:tc>
      </w:tr>
      <w:tr w:rsidR="00F8599A" w14:paraId="1BB36DA4" w14:textId="77777777" w:rsidTr="00235E13">
        <w:trPr>
          <w:trHeight w:val="946"/>
        </w:trPr>
        <w:tc>
          <w:tcPr>
            <w:tcW w:w="2778" w:type="dxa"/>
            <w:hideMark/>
          </w:tcPr>
          <w:p w14:paraId="451E988D" w14:textId="77777777" w:rsidR="00F8599A" w:rsidRPr="008A08FD" w:rsidRDefault="00F8599A" w:rsidP="00F8599A">
            <w:pPr>
              <w:pStyle w:val="DHHStabletext"/>
            </w:pPr>
            <w:r w:rsidRPr="008A08FD">
              <w:t>The average duration (days) of a period of compulsory treatment</w:t>
            </w:r>
          </w:p>
        </w:tc>
        <w:tc>
          <w:tcPr>
            <w:tcW w:w="3436" w:type="dxa"/>
          </w:tcPr>
          <w:p w14:paraId="41CF27D3" w14:textId="77777777" w:rsidR="00F8599A" w:rsidRPr="008A08FD" w:rsidRDefault="00F8599A" w:rsidP="00F8599A">
            <w:pPr>
              <w:pStyle w:val="DHHStabletext"/>
            </w:pPr>
          </w:p>
        </w:tc>
        <w:tc>
          <w:tcPr>
            <w:tcW w:w="1244" w:type="dxa"/>
          </w:tcPr>
          <w:p w14:paraId="433791E2" w14:textId="5BB64C6B" w:rsidR="00F8599A" w:rsidRPr="0075709B" w:rsidRDefault="00F8599A" w:rsidP="0075709B">
            <w:pPr>
              <w:pStyle w:val="DHHStabletext"/>
            </w:pPr>
            <w:r w:rsidRPr="0075709B">
              <w:t>59.3</w:t>
            </w:r>
          </w:p>
        </w:tc>
        <w:tc>
          <w:tcPr>
            <w:tcW w:w="1244" w:type="dxa"/>
          </w:tcPr>
          <w:p w14:paraId="6696BC7F" w14:textId="7C714865" w:rsidR="00F8599A" w:rsidRPr="0075709B" w:rsidRDefault="00F8599A" w:rsidP="0075709B">
            <w:pPr>
              <w:pStyle w:val="DHHStabletext"/>
            </w:pPr>
            <w:r w:rsidRPr="0075709B">
              <w:t>64.1</w:t>
            </w:r>
          </w:p>
        </w:tc>
        <w:tc>
          <w:tcPr>
            <w:tcW w:w="1235" w:type="dxa"/>
          </w:tcPr>
          <w:p w14:paraId="4CA2C6DA" w14:textId="56476131" w:rsidR="00F8599A" w:rsidRPr="0075709B" w:rsidRDefault="00F8599A" w:rsidP="0075709B">
            <w:pPr>
              <w:pStyle w:val="DHHStabletext"/>
            </w:pPr>
            <w:r w:rsidRPr="0075709B">
              <w:t>76.7</w:t>
            </w:r>
          </w:p>
        </w:tc>
      </w:tr>
      <w:tr w:rsidR="00F8599A" w14:paraId="7DF613A3" w14:textId="77777777" w:rsidTr="00235E13">
        <w:trPr>
          <w:trHeight w:val="946"/>
        </w:trPr>
        <w:tc>
          <w:tcPr>
            <w:tcW w:w="2778" w:type="dxa"/>
            <w:hideMark/>
          </w:tcPr>
          <w:p w14:paraId="4D81FB41" w14:textId="658AFDF0" w:rsidR="00F8599A" w:rsidRPr="008A08FD" w:rsidRDefault="0063113F" w:rsidP="00F8599A">
            <w:pPr>
              <w:pStyle w:val="DHHStabletext"/>
            </w:pPr>
            <w:r>
              <w:t>Consumers</w:t>
            </w:r>
            <w:r w:rsidRPr="008A08FD">
              <w:t xml:space="preserve"> </w:t>
            </w:r>
            <w:r w:rsidR="00F8599A" w:rsidRPr="008A08FD">
              <w:t xml:space="preserve">on an order for more than </w:t>
            </w:r>
            <w:r w:rsidR="00B70821">
              <w:t>12</w:t>
            </w:r>
            <w:r w:rsidR="00F8599A" w:rsidRPr="008A08FD">
              <w:t xml:space="preserve"> months (%)</w:t>
            </w:r>
          </w:p>
        </w:tc>
        <w:tc>
          <w:tcPr>
            <w:tcW w:w="3436" w:type="dxa"/>
          </w:tcPr>
          <w:p w14:paraId="0E90BBD1" w14:textId="77777777" w:rsidR="00F8599A" w:rsidRPr="008A08FD" w:rsidRDefault="00F8599A" w:rsidP="00F8599A">
            <w:pPr>
              <w:pStyle w:val="DHHStabletext"/>
            </w:pPr>
          </w:p>
        </w:tc>
        <w:tc>
          <w:tcPr>
            <w:tcW w:w="1244" w:type="dxa"/>
          </w:tcPr>
          <w:p w14:paraId="6181F42D" w14:textId="40F914C9" w:rsidR="00F8599A" w:rsidRPr="0075709B" w:rsidRDefault="00F8599A" w:rsidP="0075709B">
            <w:pPr>
              <w:pStyle w:val="DHHStabletext"/>
            </w:pPr>
            <w:r w:rsidRPr="0075709B">
              <w:t>11.5%</w:t>
            </w:r>
          </w:p>
        </w:tc>
        <w:tc>
          <w:tcPr>
            <w:tcW w:w="1244" w:type="dxa"/>
          </w:tcPr>
          <w:p w14:paraId="67533F12" w14:textId="4704AF0A" w:rsidR="00F8599A" w:rsidRPr="0075709B" w:rsidRDefault="00F8599A" w:rsidP="0075709B">
            <w:pPr>
              <w:pStyle w:val="DHHStabletext"/>
            </w:pPr>
            <w:r w:rsidRPr="0075709B">
              <w:t>12.4%</w:t>
            </w:r>
          </w:p>
        </w:tc>
        <w:tc>
          <w:tcPr>
            <w:tcW w:w="1235" w:type="dxa"/>
          </w:tcPr>
          <w:p w14:paraId="593FC1AE" w14:textId="42B5A304" w:rsidR="00F8599A" w:rsidRPr="0075709B" w:rsidRDefault="00F8599A" w:rsidP="0075709B">
            <w:pPr>
              <w:pStyle w:val="DHHStabletext"/>
            </w:pPr>
            <w:r w:rsidRPr="0075709B">
              <w:t>13.0%</w:t>
            </w:r>
          </w:p>
        </w:tc>
      </w:tr>
      <w:tr w:rsidR="00F8599A" w14:paraId="268D8BB9" w14:textId="77777777" w:rsidTr="00235E13">
        <w:trPr>
          <w:trHeight w:val="944"/>
        </w:trPr>
        <w:tc>
          <w:tcPr>
            <w:tcW w:w="2778" w:type="dxa"/>
            <w:hideMark/>
          </w:tcPr>
          <w:p w14:paraId="645C55D7" w14:textId="203CCD23" w:rsidR="00F8599A" w:rsidRPr="008A08FD" w:rsidRDefault="00F8599A" w:rsidP="00F8599A">
            <w:pPr>
              <w:pStyle w:val="DHHStabletext"/>
            </w:pPr>
            <w:r w:rsidRPr="008A08FD">
              <w:t xml:space="preserve">Adult (18+) </w:t>
            </w:r>
            <w:r w:rsidR="0063113F">
              <w:t>consumers</w:t>
            </w:r>
            <w:r w:rsidR="0063113F" w:rsidRPr="008A08FD">
              <w:t xml:space="preserve"> </w:t>
            </w:r>
            <w:r w:rsidRPr="008A08FD">
              <w:t>who have an advance statement recorded (%)</w:t>
            </w:r>
          </w:p>
        </w:tc>
        <w:tc>
          <w:tcPr>
            <w:tcW w:w="3436" w:type="dxa"/>
          </w:tcPr>
          <w:p w14:paraId="4555FC3C" w14:textId="77777777" w:rsidR="00F8599A" w:rsidRPr="008A08FD" w:rsidRDefault="00F8599A" w:rsidP="00F8599A">
            <w:pPr>
              <w:pStyle w:val="DHHStabletext"/>
            </w:pPr>
          </w:p>
        </w:tc>
        <w:tc>
          <w:tcPr>
            <w:tcW w:w="1244" w:type="dxa"/>
          </w:tcPr>
          <w:p w14:paraId="21564153" w14:textId="40E5BA69" w:rsidR="00F8599A" w:rsidRPr="0075709B" w:rsidRDefault="00F8599A" w:rsidP="0075709B">
            <w:pPr>
              <w:pStyle w:val="DHHStabletext"/>
            </w:pPr>
            <w:r w:rsidRPr="0075709B">
              <w:t>2.02%</w:t>
            </w:r>
          </w:p>
        </w:tc>
        <w:tc>
          <w:tcPr>
            <w:tcW w:w="1244" w:type="dxa"/>
          </w:tcPr>
          <w:p w14:paraId="0D675607" w14:textId="7CFC6942" w:rsidR="00F8599A" w:rsidRPr="0075709B" w:rsidRDefault="00F8599A" w:rsidP="0075709B">
            <w:pPr>
              <w:pStyle w:val="DHHStabletext"/>
            </w:pPr>
            <w:r w:rsidRPr="0075709B">
              <w:t>2.37%</w:t>
            </w:r>
          </w:p>
        </w:tc>
        <w:tc>
          <w:tcPr>
            <w:tcW w:w="1235" w:type="dxa"/>
          </w:tcPr>
          <w:p w14:paraId="74637507" w14:textId="3C616FB8" w:rsidR="00F8599A" w:rsidRPr="0075709B" w:rsidRDefault="00F8599A" w:rsidP="0075709B">
            <w:pPr>
              <w:pStyle w:val="DHHStabletext"/>
            </w:pPr>
            <w:r w:rsidRPr="0075709B">
              <w:t>2.59%</w:t>
            </w:r>
          </w:p>
        </w:tc>
      </w:tr>
      <w:tr w:rsidR="00F8599A" w14:paraId="7B12A501" w14:textId="77777777" w:rsidTr="00235E13">
        <w:trPr>
          <w:trHeight w:val="941"/>
        </w:trPr>
        <w:tc>
          <w:tcPr>
            <w:tcW w:w="2778" w:type="dxa"/>
            <w:hideMark/>
          </w:tcPr>
          <w:p w14:paraId="1F360D8D" w14:textId="57966F3C" w:rsidR="00F8599A" w:rsidRPr="008A08FD" w:rsidRDefault="00F8599A" w:rsidP="00F8599A">
            <w:pPr>
              <w:pStyle w:val="DHHStabletext"/>
            </w:pPr>
            <w:r w:rsidRPr="008A08FD">
              <w:t xml:space="preserve">Adult (18+) </w:t>
            </w:r>
            <w:r w:rsidR="0063113F">
              <w:t>consumers</w:t>
            </w:r>
            <w:r w:rsidR="0063113F" w:rsidRPr="008A08FD">
              <w:t xml:space="preserve"> </w:t>
            </w:r>
            <w:r w:rsidRPr="008A08FD">
              <w:t>who have a nominated person recorded (%)</w:t>
            </w:r>
          </w:p>
        </w:tc>
        <w:tc>
          <w:tcPr>
            <w:tcW w:w="3436" w:type="dxa"/>
          </w:tcPr>
          <w:p w14:paraId="77B2AFCA" w14:textId="77777777" w:rsidR="00F8599A" w:rsidRPr="008A08FD" w:rsidRDefault="00F8599A" w:rsidP="00F8599A">
            <w:pPr>
              <w:pStyle w:val="DHHStabletext"/>
            </w:pPr>
          </w:p>
        </w:tc>
        <w:tc>
          <w:tcPr>
            <w:tcW w:w="1244" w:type="dxa"/>
          </w:tcPr>
          <w:p w14:paraId="5A5629BE" w14:textId="673B4AB4" w:rsidR="00F8599A" w:rsidRPr="0075709B" w:rsidRDefault="00F8599A" w:rsidP="0075709B">
            <w:pPr>
              <w:pStyle w:val="DHHStabletext"/>
            </w:pPr>
            <w:r w:rsidRPr="0075709B">
              <w:t>1.90%</w:t>
            </w:r>
          </w:p>
        </w:tc>
        <w:tc>
          <w:tcPr>
            <w:tcW w:w="1244" w:type="dxa"/>
          </w:tcPr>
          <w:p w14:paraId="3E22359E" w14:textId="78F9A46B" w:rsidR="00F8599A" w:rsidRPr="0075709B" w:rsidRDefault="00F8599A" w:rsidP="0075709B">
            <w:pPr>
              <w:pStyle w:val="DHHStabletext"/>
            </w:pPr>
            <w:r w:rsidRPr="0075709B">
              <w:t>2.40%</w:t>
            </w:r>
          </w:p>
        </w:tc>
        <w:tc>
          <w:tcPr>
            <w:tcW w:w="1235" w:type="dxa"/>
          </w:tcPr>
          <w:p w14:paraId="79E5AC5F" w14:textId="565C7AE1" w:rsidR="00F8599A" w:rsidRPr="0075709B" w:rsidRDefault="00F8599A" w:rsidP="0075709B">
            <w:pPr>
              <w:pStyle w:val="DHHStabletext"/>
            </w:pPr>
            <w:r w:rsidRPr="0075709B">
              <w:t>2.44%</w:t>
            </w:r>
          </w:p>
        </w:tc>
      </w:tr>
    </w:tbl>
    <w:tbl>
      <w:tblPr>
        <w:tblpPr w:leftFromText="180" w:rightFromText="180" w:vertAnchor="page" w:horzAnchor="margin" w:tblpY="11233"/>
        <w:tblW w:w="9937"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8"/>
        <w:gridCol w:w="3436"/>
        <w:gridCol w:w="1244"/>
        <w:gridCol w:w="1244"/>
        <w:gridCol w:w="1235"/>
      </w:tblGrid>
      <w:tr w:rsidR="00F8599A" w14:paraId="2E36793D" w14:textId="77777777" w:rsidTr="00235E13">
        <w:trPr>
          <w:trHeight w:val="436"/>
          <w:tblHeader/>
        </w:trPr>
        <w:tc>
          <w:tcPr>
            <w:tcW w:w="2778" w:type="dxa"/>
            <w:shd w:val="clear" w:color="auto" w:fill="auto"/>
            <w:hideMark/>
          </w:tcPr>
          <w:p w14:paraId="54A7C349" w14:textId="77777777" w:rsidR="00F8599A" w:rsidRDefault="00F8599A" w:rsidP="00F8599A">
            <w:pPr>
              <w:pStyle w:val="DHHStablecolhead"/>
            </w:pPr>
            <w:r>
              <w:rPr>
                <w:w w:val="105"/>
              </w:rPr>
              <w:t>Restrictive practice</w:t>
            </w:r>
          </w:p>
        </w:tc>
        <w:tc>
          <w:tcPr>
            <w:tcW w:w="3436" w:type="dxa"/>
            <w:shd w:val="clear" w:color="auto" w:fill="auto"/>
            <w:hideMark/>
          </w:tcPr>
          <w:p w14:paraId="42FBB045" w14:textId="77777777" w:rsidR="00F8599A" w:rsidRDefault="00F8599A" w:rsidP="00F8599A">
            <w:pPr>
              <w:pStyle w:val="DHHStablecolhead"/>
            </w:pPr>
            <w:r>
              <w:rPr>
                <w:w w:val="105"/>
              </w:rPr>
              <w:t>Population</w:t>
            </w:r>
          </w:p>
        </w:tc>
        <w:tc>
          <w:tcPr>
            <w:tcW w:w="1244" w:type="dxa"/>
            <w:shd w:val="clear" w:color="auto" w:fill="auto"/>
            <w:hideMark/>
          </w:tcPr>
          <w:p w14:paraId="4CA61E5B" w14:textId="7A8D09B2" w:rsidR="00F8599A" w:rsidRDefault="00F8599A" w:rsidP="00F8599A">
            <w:pPr>
              <w:pStyle w:val="DHHStablecolhead"/>
            </w:pPr>
            <w:r w:rsidRPr="009F0C73">
              <w:t>2015–16</w:t>
            </w:r>
          </w:p>
        </w:tc>
        <w:tc>
          <w:tcPr>
            <w:tcW w:w="1244" w:type="dxa"/>
            <w:shd w:val="clear" w:color="auto" w:fill="auto"/>
            <w:hideMark/>
          </w:tcPr>
          <w:p w14:paraId="1BE77A5A" w14:textId="6D13114A" w:rsidR="00F8599A" w:rsidRDefault="00F8599A" w:rsidP="00F8599A">
            <w:pPr>
              <w:pStyle w:val="DHHStablecolhead"/>
            </w:pPr>
            <w:r w:rsidRPr="009F0C73">
              <w:t>201</w:t>
            </w:r>
            <w:r>
              <w:t>6</w:t>
            </w:r>
            <w:r w:rsidRPr="009F0C73">
              <w:t>–1</w:t>
            </w:r>
            <w:r>
              <w:t>7</w:t>
            </w:r>
          </w:p>
        </w:tc>
        <w:tc>
          <w:tcPr>
            <w:tcW w:w="1235" w:type="dxa"/>
            <w:shd w:val="clear" w:color="auto" w:fill="auto"/>
            <w:hideMark/>
          </w:tcPr>
          <w:p w14:paraId="1A4D9AC0" w14:textId="67C0AB5D" w:rsidR="00F8599A" w:rsidRDefault="00F8599A" w:rsidP="00F8599A">
            <w:pPr>
              <w:pStyle w:val="DHHStablecolhead"/>
            </w:pPr>
            <w:r w:rsidRPr="009F0C73">
              <w:t>201</w:t>
            </w:r>
            <w:r>
              <w:t>7</w:t>
            </w:r>
            <w:r w:rsidRPr="009F0C73">
              <w:t>–1</w:t>
            </w:r>
            <w:r>
              <w:t>8</w:t>
            </w:r>
          </w:p>
        </w:tc>
      </w:tr>
      <w:tr w:rsidR="00B70821" w14:paraId="29D367AF" w14:textId="77777777" w:rsidTr="00235E13">
        <w:trPr>
          <w:trHeight w:val="987"/>
        </w:trPr>
        <w:tc>
          <w:tcPr>
            <w:tcW w:w="2778" w:type="dxa"/>
            <w:hideMark/>
          </w:tcPr>
          <w:p w14:paraId="7AD5E98E" w14:textId="5004DE94" w:rsidR="00B70821" w:rsidRPr="00B70821" w:rsidRDefault="00B70821" w:rsidP="00B70821">
            <w:pPr>
              <w:pStyle w:val="DHHStabletext"/>
            </w:pPr>
            <w:r w:rsidRPr="00B70821">
              <w:t>Seclusion episodes per 1,000 occupied bed days – inpatient</w:t>
            </w:r>
          </w:p>
        </w:tc>
        <w:tc>
          <w:tcPr>
            <w:tcW w:w="3436" w:type="dxa"/>
          </w:tcPr>
          <w:p w14:paraId="7B6DE8F7" w14:textId="7F87D1B1" w:rsidR="00B70821" w:rsidRPr="0075709B" w:rsidRDefault="00B70821" w:rsidP="0075709B">
            <w:pPr>
              <w:pStyle w:val="DHHStabletext"/>
            </w:pPr>
            <w:r w:rsidRPr="0075709B">
              <w:t>Total</w:t>
            </w:r>
          </w:p>
        </w:tc>
        <w:tc>
          <w:tcPr>
            <w:tcW w:w="1244" w:type="dxa"/>
          </w:tcPr>
          <w:p w14:paraId="428F39A7" w14:textId="11D7CE76" w:rsidR="00B70821" w:rsidRPr="0075709B" w:rsidRDefault="00B70821" w:rsidP="0075709B">
            <w:pPr>
              <w:pStyle w:val="DHHStabletext"/>
            </w:pPr>
            <w:r w:rsidRPr="0075709B">
              <w:t>9.1</w:t>
            </w:r>
          </w:p>
        </w:tc>
        <w:tc>
          <w:tcPr>
            <w:tcW w:w="1244" w:type="dxa"/>
          </w:tcPr>
          <w:p w14:paraId="0BA38121" w14:textId="16408321" w:rsidR="00B70821" w:rsidRPr="0075709B" w:rsidRDefault="00B70821" w:rsidP="0075709B">
            <w:pPr>
              <w:pStyle w:val="DHHStabletext"/>
            </w:pPr>
            <w:r w:rsidRPr="0075709B">
              <w:t>9.9</w:t>
            </w:r>
          </w:p>
        </w:tc>
        <w:tc>
          <w:tcPr>
            <w:tcW w:w="1235" w:type="dxa"/>
          </w:tcPr>
          <w:p w14:paraId="1A9D9114" w14:textId="5CA1F3EE" w:rsidR="00B70821" w:rsidRPr="0075709B" w:rsidRDefault="00B70821" w:rsidP="0075709B">
            <w:pPr>
              <w:pStyle w:val="DHHStabletext"/>
            </w:pPr>
            <w:r w:rsidRPr="0075709B">
              <w:t>9.7</w:t>
            </w:r>
          </w:p>
        </w:tc>
      </w:tr>
      <w:tr w:rsidR="00B70821" w14:paraId="1B92320C" w14:textId="77777777" w:rsidTr="00235E13">
        <w:trPr>
          <w:trHeight w:val="980"/>
        </w:trPr>
        <w:tc>
          <w:tcPr>
            <w:tcW w:w="2778" w:type="dxa"/>
            <w:hideMark/>
          </w:tcPr>
          <w:p w14:paraId="2E3D7FFD" w14:textId="4A885BFE" w:rsidR="00B70821" w:rsidRPr="00B70821" w:rsidRDefault="00B70821" w:rsidP="00B70821">
            <w:pPr>
              <w:pStyle w:val="DHHStabletext"/>
            </w:pPr>
            <w:r w:rsidRPr="00B70821">
              <w:t>Average inpatient seclusion duration (hours)</w:t>
            </w:r>
          </w:p>
        </w:tc>
        <w:tc>
          <w:tcPr>
            <w:tcW w:w="3436" w:type="dxa"/>
          </w:tcPr>
          <w:p w14:paraId="0863D778" w14:textId="3D94A617" w:rsidR="00B70821" w:rsidRPr="0075709B" w:rsidRDefault="00B70821" w:rsidP="0075709B">
            <w:pPr>
              <w:pStyle w:val="DHHStabletext"/>
            </w:pPr>
            <w:r w:rsidRPr="0075709B">
              <w:t>Total</w:t>
            </w:r>
          </w:p>
        </w:tc>
        <w:tc>
          <w:tcPr>
            <w:tcW w:w="1244" w:type="dxa"/>
          </w:tcPr>
          <w:p w14:paraId="794DBFCD" w14:textId="6BF004B3" w:rsidR="00B70821" w:rsidRPr="0075709B" w:rsidRDefault="00B70821" w:rsidP="0075709B">
            <w:pPr>
              <w:pStyle w:val="DHHStabletext"/>
            </w:pPr>
            <w:r w:rsidRPr="0075709B">
              <w:t>16.4</w:t>
            </w:r>
          </w:p>
        </w:tc>
        <w:tc>
          <w:tcPr>
            <w:tcW w:w="1244" w:type="dxa"/>
          </w:tcPr>
          <w:p w14:paraId="36C417EE" w14:textId="2EB8CAFA" w:rsidR="00B70821" w:rsidRPr="0075709B" w:rsidRDefault="00B70821" w:rsidP="0075709B">
            <w:pPr>
              <w:pStyle w:val="DHHStabletext"/>
            </w:pPr>
            <w:r w:rsidRPr="0075709B">
              <w:t>17.4</w:t>
            </w:r>
          </w:p>
        </w:tc>
        <w:tc>
          <w:tcPr>
            <w:tcW w:w="1235" w:type="dxa"/>
          </w:tcPr>
          <w:p w14:paraId="1BD6D410" w14:textId="1EDAF493" w:rsidR="00B70821" w:rsidRPr="0075709B" w:rsidRDefault="00B70821" w:rsidP="0075709B">
            <w:pPr>
              <w:pStyle w:val="DHHStabletext"/>
            </w:pPr>
            <w:r w:rsidRPr="0075709B">
              <w:t>16.7</w:t>
            </w:r>
          </w:p>
        </w:tc>
      </w:tr>
      <w:tr w:rsidR="00B70821" w14:paraId="03F80769" w14:textId="77777777" w:rsidTr="00235E13">
        <w:trPr>
          <w:trHeight w:val="980"/>
        </w:trPr>
        <w:tc>
          <w:tcPr>
            <w:tcW w:w="2778" w:type="dxa"/>
          </w:tcPr>
          <w:p w14:paraId="3A8C4E53" w14:textId="50E568D8" w:rsidR="00B70821" w:rsidRPr="00B70821" w:rsidRDefault="00B70821" w:rsidP="00B70821">
            <w:pPr>
              <w:pStyle w:val="DHHStabletext"/>
            </w:pPr>
            <w:r w:rsidRPr="00B70821">
              <w:t>Bodily restraint episodes per 1,000 occupied bed days – inpatient</w:t>
            </w:r>
          </w:p>
        </w:tc>
        <w:tc>
          <w:tcPr>
            <w:tcW w:w="3436" w:type="dxa"/>
          </w:tcPr>
          <w:p w14:paraId="33A5A696" w14:textId="2A6C2BFE" w:rsidR="00B70821" w:rsidRPr="0075709B" w:rsidRDefault="00B70821" w:rsidP="0075709B">
            <w:pPr>
              <w:pStyle w:val="DHHStabletext"/>
            </w:pPr>
            <w:r w:rsidRPr="0075709B">
              <w:t>Total</w:t>
            </w:r>
          </w:p>
        </w:tc>
        <w:tc>
          <w:tcPr>
            <w:tcW w:w="1244" w:type="dxa"/>
          </w:tcPr>
          <w:p w14:paraId="74F49990" w14:textId="4AF32F77" w:rsidR="00B70821" w:rsidRPr="0075709B" w:rsidRDefault="00B70821" w:rsidP="0075709B">
            <w:pPr>
              <w:pStyle w:val="DHHStabletext"/>
            </w:pPr>
            <w:r w:rsidRPr="0075709B">
              <w:t>25.6</w:t>
            </w:r>
          </w:p>
        </w:tc>
        <w:tc>
          <w:tcPr>
            <w:tcW w:w="1244" w:type="dxa"/>
          </w:tcPr>
          <w:p w14:paraId="66B417AE" w14:textId="77FCF0C2" w:rsidR="00B70821" w:rsidRPr="0075709B" w:rsidRDefault="00B70821" w:rsidP="0075709B">
            <w:pPr>
              <w:pStyle w:val="DHHStabletext"/>
            </w:pPr>
            <w:r w:rsidRPr="0075709B">
              <w:t>19.0</w:t>
            </w:r>
          </w:p>
        </w:tc>
        <w:tc>
          <w:tcPr>
            <w:tcW w:w="1235" w:type="dxa"/>
          </w:tcPr>
          <w:p w14:paraId="25FD5D7B" w14:textId="39DB6ADB" w:rsidR="00B70821" w:rsidRPr="0075709B" w:rsidRDefault="00B70821" w:rsidP="0075709B">
            <w:pPr>
              <w:pStyle w:val="DHHStabletext"/>
            </w:pPr>
            <w:r w:rsidRPr="0075709B">
              <w:t>22.6</w:t>
            </w:r>
          </w:p>
        </w:tc>
      </w:tr>
      <w:tr w:rsidR="00B70821" w14:paraId="221FFAA0" w14:textId="77777777" w:rsidTr="00235E13">
        <w:trPr>
          <w:trHeight w:val="980"/>
        </w:trPr>
        <w:tc>
          <w:tcPr>
            <w:tcW w:w="2778" w:type="dxa"/>
          </w:tcPr>
          <w:p w14:paraId="17F6497C" w14:textId="319F2F6C" w:rsidR="00B70821" w:rsidRPr="00B70821" w:rsidRDefault="00B70821" w:rsidP="00B70821">
            <w:pPr>
              <w:pStyle w:val="DHHStabletext"/>
            </w:pPr>
            <w:r w:rsidRPr="00B70821">
              <w:t>Average inpatient bodily restraint duration (hours)</w:t>
            </w:r>
          </w:p>
        </w:tc>
        <w:tc>
          <w:tcPr>
            <w:tcW w:w="3436" w:type="dxa"/>
          </w:tcPr>
          <w:p w14:paraId="5E6DC6ED" w14:textId="4EDAAB02" w:rsidR="00B70821" w:rsidRPr="0075709B" w:rsidRDefault="00B70821" w:rsidP="0075709B">
            <w:pPr>
              <w:pStyle w:val="DHHStabletext"/>
            </w:pPr>
            <w:r w:rsidRPr="0075709B">
              <w:t>Total</w:t>
            </w:r>
          </w:p>
        </w:tc>
        <w:tc>
          <w:tcPr>
            <w:tcW w:w="1244" w:type="dxa"/>
          </w:tcPr>
          <w:p w14:paraId="34756ABC" w14:textId="51431FEF" w:rsidR="00B70821" w:rsidRPr="0075709B" w:rsidRDefault="00B70821" w:rsidP="0075709B">
            <w:pPr>
              <w:pStyle w:val="DHHStabletext"/>
            </w:pPr>
            <w:r w:rsidRPr="0075709B">
              <w:t>0.6</w:t>
            </w:r>
          </w:p>
        </w:tc>
        <w:tc>
          <w:tcPr>
            <w:tcW w:w="1244" w:type="dxa"/>
          </w:tcPr>
          <w:p w14:paraId="178C72B6" w14:textId="326F9B61" w:rsidR="00B70821" w:rsidRPr="0075709B" w:rsidRDefault="00B70821" w:rsidP="0075709B">
            <w:pPr>
              <w:pStyle w:val="DHHStabletext"/>
            </w:pPr>
            <w:r w:rsidRPr="0075709B">
              <w:t>0.4</w:t>
            </w:r>
          </w:p>
        </w:tc>
        <w:tc>
          <w:tcPr>
            <w:tcW w:w="1235" w:type="dxa"/>
          </w:tcPr>
          <w:p w14:paraId="02195D61" w14:textId="25B69E1E" w:rsidR="00B70821" w:rsidRPr="0075709B" w:rsidRDefault="00B70821" w:rsidP="0075709B">
            <w:pPr>
              <w:pStyle w:val="DHHStabletext"/>
            </w:pPr>
            <w:r w:rsidRPr="0075709B">
              <w:t>0.3</w:t>
            </w:r>
          </w:p>
        </w:tc>
      </w:tr>
    </w:tbl>
    <w:p w14:paraId="75F5C64A" w14:textId="77777777" w:rsidR="004E24F2" w:rsidRDefault="004E24F2" w:rsidP="004E24F2">
      <w:pPr>
        <w:rPr>
          <w:sz w:val="19"/>
        </w:rPr>
        <w:sectPr w:rsidR="004E24F2" w:rsidSect="004E24F2">
          <w:pgSz w:w="11910" w:h="16840"/>
          <w:pgMar w:top="1699" w:right="1310" w:bottom="1138" w:left="1310" w:header="1" w:footer="413" w:gutter="0"/>
          <w:cols w:space="720"/>
        </w:sectPr>
      </w:pPr>
    </w:p>
    <w:p w14:paraId="70C50C47" w14:textId="77777777" w:rsidR="004E24F2" w:rsidRDefault="004E24F2" w:rsidP="00985332">
      <w:pPr>
        <w:pStyle w:val="DHHSbody"/>
      </w:pPr>
    </w:p>
    <w:tbl>
      <w:tblPr>
        <w:tblW w:w="9931"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7"/>
        <w:gridCol w:w="3441"/>
        <w:gridCol w:w="1244"/>
        <w:gridCol w:w="1244"/>
        <w:gridCol w:w="1225"/>
      </w:tblGrid>
      <w:tr w:rsidR="004E24F2" w14:paraId="666F907F" w14:textId="77777777" w:rsidTr="00235E13">
        <w:trPr>
          <w:trHeight w:val="396"/>
          <w:tblHeader/>
        </w:trPr>
        <w:tc>
          <w:tcPr>
            <w:tcW w:w="2777" w:type="dxa"/>
            <w:shd w:val="clear" w:color="auto" w:fill="auto"/>
            <w:hideMark/>
          </w:tcPr>
          <w:p w14:paraId="5274E253" w14:textId="77777777" w:rsidR="004E24F2" w:rsidRDefault="004E24F2" w:rsidP="00DF7F88">
            <w:pPr>
              <w:pStyle w:val="DHHStablecolhead"/>
              <w:rPr>
                <w:rFonts w:ascii="Trebuchet MS"/>
              </w:rPr>
            </w:pPr>
            <w:r>
              <w:rPr>
                <w:w w:val="105"/>
              </w:rPr>
              <w:t>Client outcomes</w:t>
            </w:r>
          </w:p>
        </w:tc>
        <w:tc>
          <w:tcPr>
            <w:tcW w:w="3441" w:type="dxa"/>
            <w:shd w:val="clear" w:color="auto" w:fill="auto"/>
            <w:hideMark/>
          </w:tcPr>
          <w:p w14:paraId="691B5E98" w14:textId="77777777" w:rsidR="004E24F2" w:rsidRDefault="004E24F2" w:rsidP="00DF7F88">
            <w:pPr>
              <w:pStyle w:val="DHHStablecolhead"/>
            </w:pPr>
            <w:r>
              <w:rPr>
                <w:w w:val="105"/>
              </w:rPr>
              <w:t>Population</w:t>
            </w:r>
          </w:p>
        </w:tc>
        <w:tc>
          <w:tcPr>
            <w:tcW w:w="1244" w:type="dxa"/>
            <w:shd w:val="clear" w:color="auto" w:fill="auto"/>
            <w:hideMark/>
          </w:tcPr>
          <w:p w14:paraId="5A08E241" w14:textId="77777777" w:rsidR="004E24F2" w:rsidRDefault="004E24F2" w:rsidP="00DF7F88">
            <w:pPr>
              <w:pStyle w:val="DHHStablecolhead"/>
            </w:pPr>
            <w:r>
              <w:t>2014–15</w:t>
            </w:r>
          </w:p>
        </w:tc>
        <w:tc>
          <w:tcPr>
            <w:tcW w:w="1244" w:type="dxa"/>
            <w:shd w:val="clear" w:color="auto" w:fill="auto"/>
            <w:hideMark/>
          </w:tcPr>
          <w:p w14:paraId="21DCCD2E" w14:textId="77777777" w:rsidR="004E24F2" w:rsidRDefault="004E24F2" w:rsidP="00DF7F88">
            <w:pPr>
              <w:pStyle w:val="DHHStablecolhead"/>
            </w:pPr>
            <w:r>
              <w:t>2015–16</w:t>
            </w:r>
          </w:p>
        </w:tc>
        <w:tc>
          <w:tcPr>
            <w:tcW w:w="1225" w:type="dxa"/>
            <w:shd w:val="clear" w:color="auto" w:fill="auto"/>
            <w:hideMark/>
          </w:tcPr>
          <w:p w14:paraId="2EB810F7" w14:textId="77777777" w:rsidR="004E24F2" w:rsidRDefault="004E24F2" w:rsidP="00DF7F88">
            <w:pPr>
              <w:pStyle w:val="DHHStablecolhead"/>
            </w:pPr>
            <w:r>
              <w:t>2016–17</w:t>
            </w:r>
          </w:p>
        </w:tc>
      </w:tr>
      <w:tr w:rsidR="00B70821" w14:paraId="632B3F71" w14:textId="77777777" w:rsidTr="00235E13">
        <w:trPr>
          <w:trHeight w:val="332"/>
        </w:trPr>
        <w:tc>
          <w:tcPr>
            <w:tcW w:w="2777" w:type="dxa"/>
            <w:vMerge w:val="restart"/>
            <w:hideMark/>
          </w:tcPr>
          <w:p w14:paraId="61073DE3" w14:textId="77777777" w:rsidR="00B70821" w:rsidRPr="008A08FD" w:rsidRDefault="00B70821" w:rsidP="00B70821">
            <w:pPr>
              <w:pStyle w:val="DHHStabletext"/>
            </w:pPr>
            <w:r w:rsidRPr="008A08FD">
              <w:t>Community cases with signiﬁcant improvement at case closure (%)**</w:t>
            </w:r>
          </w:p>
        </w:tc>
        <w:tc>
          <w:tcPr>
            <w:tcW w:w="3441" w:type="dxa"/>
            <w:hideMark/>
          </w:tcPr>
          <w:p w14:paraId="6DDE20ED" w14:textId="77777777" w:rsidR="00B70821" w:rsidRPr="008A08FD" w:rsidRDefault="00B70821" w:rsidP="00B70821">
            <w:pPr>
              <w:pStyle w:val="DHHStabletext"/>
            </w:pPr>
            <w:r w:rsidRPr="008A08FD">
              <w:t>Adult</w:t>
            </w:r>
          </w:p>
        </w:tc>
        <w:tc>
          <w:tcPr>
            <w:tcW w:w="1244" w:type="dxa"/>
            <w:hideMark/>
          </w:tcPr>
          <w:p w14:paraId="7DA220C6" w14:textId="72198417" w:rsidR="00B70821" w:rsidRPr="0075709B" w:rsidRDefault="00B70821" w:rsidP="0075709B">
            <w:pPr>
              <w:pStyle w:val="DHHStabletext"/>
            </w:pPr>
            <w:r w:rsidRPr="0075709B">
              <w:t>53.0%</w:t>
            </w:r>
          </w:p>
        </w:tc>
        <w:tc>
          <w:tcPr>
            <w:tcW w:w="1244" w:type="dxa"/>
            <w:hideMark/>
          </w:tcPr>
          <w:p w14:paraId="4FD055B9" w14:textId="4A75C2D5" w:rsidR="00B70821" w:rsidRPr="0075709B" w:rsidRDefault="00B70821" w:rsidP="0075709B">
            <w:pPr>
              <w:pStyle w:val="DHHStabletext"/>
            </w:pPr>
            <w:r w:rsidRPr="0075709B">
              <w:t>53.3%</w:t>
            </w:r>
          </w:p>
        </w:tc>
        <w:tc>
          <w:tcPr>
            <w:tcW w:w="1225" w:type="dxa"/>
            <w:hideMark/>
          </w:tcPr>
          <w:p w14:paraId="0675758C" w14:textId="451DAF51" w:rsidR="00B70821" w:rsidRPr="0075709B" w:rsidRDefault="00B70821" w:rsidP="0075709B">
            <w:pPr>
              <w:pStyle w:val="DHHStabletext"/>
            </w:pPr>
            <w:r w:rsidRPr="0075709B">
              <w:t>52.7%</w:t>
            </w:r>
          </w:p>
        </w:tc>
      </w:tr>
      <w:tr w:rsidR="00B70821" w14:paraId="6F9BE8DA" w14:textId="77777777" w:rsidTr="00235E13">
        <w:trPr>
          <w:trHeight w:val="325"/>
        </w:trPr>
        <w:tc>
          <w:tcPr>
            <w:tcW w:w="2777" w:type="dxa"/>
            <w:vMerge/>
            <w:vAlign w:val="center"/>
            <w:hideMark/>
          </w:tcPr>
          <w:p w14:paraId="0D2DCC1D" w14:textId="77777777" w:rsidR="00B70821" w:rsidRPr="008A08FD" w:rsidRDefault="00B70821" w:rsidP="00B70821">
            <w:pPr>
              <w:pStyle w:val="DHHStabletext"/>
              <w:rPr>
                <w:rFonts w:eastAsia="Trebuchet MS"/>
              </w:rPr>
            </w:pPr>
          </w:p>
        </w:tc>
        <w:tc>
          <w:tcPr>
            <w:tcW w:w="3441" w:type="dxa"/>
            <w:hideMark/>
          </w:tcPr>
          <w:p w14:paraId="30FC23E4" w14:textId="77777777" w:rsidR="00B70821" w:rsidRPr="008A08FD" w:rsidRDefault="00B70821" w:rsidP="00B70821">
            <w:pPr>
              <w:pStyle w:val="DHHStabletext"/>
            </w:pPr>
            <w:r w:rsidRPr="008A08FD">
              <w:t>Aged</w:t>
            </w:r>
          </w:p>
        </w:tc>
        <w:tc>
          <w:tcPr>
            <w:tcW w:w="1244" w:type="dxa"/>
            <w:hideMark/>
          </w:tcPr>
          <w:p w14:paraId="53F9B3E0" w14:textId="67D5B6E6" w:rsidR="00B70821" w:rsidRPr="0075709B" w:rsidRDefault="00B70821" w:rsidP="0075709B">
            <w:pPr>
              <w:pStyle w:val="DHHStabletext"/>
            </w:pPr>
            <w:r w:rsidRPr="0075709B">
              <w:t>54.3%</w:t>
            </w:r>
          </w:p>
        </w:tc>
        <w:tc>
          <w:tcPr>
            <w:tcW w:w="1244" w:type="dxa"/>
            <w:hideMark/>
          </w:tcPr>
          <w:p w14:paraId="2D766E3F" w14:textId="1DC935D5" w:rsidR="00B70821" w:rsidRPr="0075709B" w:rsidRDefault="00B70821" w:rsidP="0075709B">
            <w:pPr>
              <w:pStyle w:val="DHHStabletext"/>
            </w:pPr>
            <w:r w:rsidRPr="0075709B">
              <w:t>54.5%</w:t>
            </w:r>
          </w:p>
        </w:tc>
        <w:tc>
          <w:tcPr>
            <w:tcW w:w="1225" w:type="dxa"/>
            <w:hideMark/>
          </w:tcPr>
          <w:p w14:paraId="33702082" w14:textId="18CF4E3C" w:rsidR="00B70821" w:rsidRPr="0075709B" w:rsidRDefault="00B70821" w:rsidP="0075709B">
            <w:pPr>
              <w:pStyle w:val="DHHStabletext"/>
            </w:pPr>
            <w:r w:rsidRPr="0075709B">
              <w:t>56.3%</w:t>
            </w:r>
          </w:p>
        </w:tc>
      </w:tr>
      <w:tr w:rsidR="00B70821" w14:paraId="4F6B4519" w14:textId="77777777" w:rsidTr="00235E13">
        <w:trPr>
          <w:trHeight w:val="325"/>
        </w:trPr>
        <w:tc>
          <w:tcPr>
            <w:tcW w:w="2777" w:type="dxa"/>
            <w:vMerge/>
            <w:vAlign w:val="center"/>
            <w:hideMark/>
          </w:tcPr>
          <w:p w14:paraId="4B40D3ED" w14:textId="77777777" w:rsidR="00B70821" w:rsidRPr="008A08FD" w:rsidRDefault="00B70821" w:rsidP="00B70821">
            <w:pPr>
              <w:pStyle w:val="DHHStabletext"/>
              <w:rPr>
                <w:rFonts w:eastAsia="Trebuchet MS"/>
              </w:rPr>
            </w:pPr>
          </w:p>
        </w:tc>
        <w:tc>
          <w:tcPr>
            <w:tcW w:w="3441" w:type="dxa"/>
            <w:hideMark/>
          </w:tcPr>
          <w:p w14:paraId="110F181F" w14:textId="77777777" w:rsidR="00B70821" w:rsidRPr="008A08FD" w:rsidRDefault="00B70821" w:rsidP="00B70821">
            <w:pPr>
              <w:pStyle w:val="DHHStabletext"/>
            </w:pPr>
            <w:r w:rsidRPr="008A08FD">
              <w:t>CAMHS</w:t>
            </w:r>
          </w:p>
        </w:tc>
        <w:tc>
          <w:tcPr>
            <w:tcW w:w="1244" w:type="dxa"/>
            <w:hideMark/>
          </w:tcPr>
          <w:p w14:paraId="0B1D1BC1" w14:textId="66535AAC" w:rsidR="00B70821" w:rsidRPr="0075709B" w:rsidRDefault="00B70821" w:rsidP="0075709B">
            <w:pPr>
              <w:pStyle w:val="DHHStabletext"/>
            </w:pPr>
            <w:r w:rsidRPr="0075709B">
              <w:t>48.3%</w:t>
            </w:r>
          </w:p>
        </w:tc>
        <w:tc>
          <w:tcPr>
            <w:tcW w:w="1244" w:type="dxa"/>
            <w:hideMark/>
          </w:tcPr>
          <w:p w14:paraId="76BE8151" w14:textId="3FDB313D" w:rsidR="00B70821" w:rsidRPr="0075709B" w:rsidRDefault="00B70821" w:rsidP="0075709B">
            <w:pPr>
              <w:pStyle w:val="DHHStabletext"/>
            </w:pPr>
            <w:r w:rsidRPr="0075709B">
              <w:t>48.1%</w:t>
            </w:r>
          </w:p>
        </w:tc>
        <w:tc>
          <w:tcPr>
            <w:tcW w:w="1225" w:type="dxa"/>
            <w:hideMark/>
          </w:tcPr>
          <w:p w14:paraId="05740833" w14:textId="3CE49B13" w:rsidR="00B70821" w:rsidRPr="0075709B" w:rsidRDefault="00B70821" w:rsidP="0075709B">
            <w:pPr>
              <w:pStyle w:val="DHHStabletext"/>
            </w:pPr>
            <w:r w:rsidRPr="0075709B">
              <w:t>44.9%</w:t>
            </w:r>
          </w:p>
        </w:tc>
      </w:tr>
      <w:tr w:rsidR="00B70821" w14:paraId="4F5522FF" w14:textId="77777777" w:rsidTr="00235E13">
        <w:trPr>
          <w:trHeight w:val="325"/>
        </w:trPr>
        <w:tc>
          <w:tcPr>
            <w:tcW w:w="2777" w:type="dxa"/>
            <w:vMerge/>
            <w:vAlign w:val="center"/>
            <w:hideMark/>
          </w:tcPr>
          <w:p w14:paraId="6146AF3D" w14:textId="77777777" w:rsidR="00B70821" w:rsidRPr="008A08FD" w:rsidRDefault="00B70821" w:rsidP="00B70821">
            <w:pPr>
              <w:pStyle w:val="DHHStabletext"/>
              <w:rPr>
                <w:rFonts w:eastAsia="Trebuchet MS"/>
              </w:rPr>
            </w:pPr>
          </w:p>
        </w:tc>
        <w:tc>
          <w:tcPr>
            <w:tcW w:w="3441" w:type="dxa"/>
            <w:hideMark/>
          </w:tcPr>
          <w:p w14:paraId="6FBDAB39" w14:textId="77777777" w:rsidR="00B70821" w:rsidRPr="008A08FD" w:rsidRDefault="00B70821" w:rsidP="00B70821">
            <w:pPr>
              <w:pStyle w:val="DHHStabletext"/>
            </w:pPr>
            <w:r w:rsidRPr="008A08FD">
              <w:t>Forensic</w:t>
            </w:r>
          </w:p>
        </w:tc>
        <w:tc>
          <w:tcPr>
            <w:tcW w:w="1244" w:type="dxa"/>
            <w:hideMark/>
          </w:tcPr>
          <w:p w14:paraId="5A5E9168" w14:textId="7F7D8475" w:rsidR="00B70821" w:rsidRPr="0075709B" w:rsidRDefault="00B70821" w:rsidP="0075709B">
            <w:pPr>
              <w:pStyle w:val="DHHStabletext"/>
            </w:pPr>
            <w:r w:rsidRPr="0075709B">
              <w:t>28.6%</w:t>
            </w:r>
          </w:p>
        </w:tc>
        <w:tc>
          <w:tcPr>
            <w:tcW w:w="1244" w:type="dxa"/>
            <w:hideMark/>
          </w:tcPr>
          <w:p w14:paraId="78FD2B9A" w14:textId="3F2D8988" w:rsidR="00B70821" w:rsidRPr="0075709B" w:rsidRDefault="00B70821" w:rsidP="0075709B">
            <w:pPr>
              <w:pStyle w:val="DHHStabletext"/>
            </w:pPr>
            <w:r w:rsidRPr="0075709B">
              <w:t>42.9%</w:t>
            </w:r>
          </w:p>
        </w:tc>
        <w:tc>
          <w:tcPr>
            <w:tcW w:w="1225" w:type="dxa"/>
            <w:hideMark/>
          </w:tcPr>
          <w:p w14:paraId="237EB792" w14:textId="53187658" w:rsidR="00B70821" w:rsidRPr="0075709B" w:rsidRDefault="00B70821" w:rsidP="0075709B">
            <w:pPr>
              <w:pStyle w:val="DHHStabletext"/>
            </w:pPr>
            <w:r w:rsidRPr="0075709B">
              <w:t>33.3%</w:t>
            </w:r>
          </w:p>
        </w:tc>
      </w:tr>
      <w:tr w:rsidR="00B70821" w14:paraId="4863F472" w14:textId="77777777" w:rsidTr="00235E13">
        <w:trPr>
          <w:trHeight w:val="325"/>
        </w:trPr>
        <w:tc>
          <w:tcPr>
            <w:tcW w:w="2777" w:type="dxa"/>
            <w:vMerge/>
            <w:vAlign w:val="center"/>
            <w:hideMark/>
          </w:tcPr>
          <w:p w14:paraId="102C6B01" w14:textId="77777777" w:rsidR="00B70821" w:rsidRPr="008A08FD" w:rsidRDefault="00B70821" w:rsidP="00B70821">
            <w:pPr>
              <w:pStyle w:val="DHHStabletext"/>
              <w:rPr>
                <w:rFonts w:eastAsia="Trebuchet MS"/>
              </w:rPr>
            </w:pPr>
          </w:p>
        </w:tc>
        <w:tc>
          <w:tcPr>
            <w:tcW w:w="3441" w:type="dxa"/>
            <w:hideMark/>
          </w:tcPr>
          <w:p w14:paraId="1311BB17" w14:textId="77777777" w:rsidR="00B70821" w:rsidRPr="008A08FD" w:rsidRDefault="00B70821" w:rsidP="00B70821">
            <w:pPr>
              <w:pStyle w:val="DHHStabletext"/>
            </w:pPr>
            <w:r w:rsidRPr="008A08FD">
              <w:t>Specialist</w:t>
            </w:r>
          </w:p>
        </w:tc>
        <w:tc>
          <w:tcPr>
            <w:tcW w:w="1244" w:type="dxa"/>
            <w:hideMark/>
          </w:tcPr>
          <w:p w14:paraId="2A431DE6" w14:textId="2AB985CF" w:rsidR="00B70821" w:rsidRPr="0075709B" w:rsidRDefault="00B70821" w:rsidP="0075709B">
            <w:pPr>
              <w:pStyle w:val="DHHStabletext"/>
            </w:pPr>
            <w:r w:rsidRPr="0075709B">
              <w:t>24.3%</w:t>
            </w:r>
          </w:p>
        </w:tc>
        <w:tc>
          <w:tcPr>
            <w:tcW w:w="1244" w:type="dxa"/>
            <w:hideMark/>
          </w:tcPr>
          <w:p w14:paraId="6BDED166" w14:textId="391B5684" w:rsidR="00B70821" w:rsidRPr="0075709B" w:rsidRDefault="00B70821" w:rsidP="0075709B">
            <w:pPr>
              <w:pStyle w:val="DHHStabletext"/>
            </w:pPr>
            <w:r w:rsidRPr="0075709B">
              <w:t>21.1%</w:t>
            </w:r>
          </w:p>
        </w:tc>
        <w:tc>
          <w:tcPr>
            <w:tcW w:w="1225" w:type="dxa"/>
            <w:hideMark/>
          </w:tcPr>
          <w:p w14:paraId="5E1435E1" w14:textId="7A9B9A8A" w:rsidR="00B70821" w:rsidRPr="0075709B" w:rsidRDefault="00B70821" w:rsidP="0075709B">
            <w:pPr>
              <w:pStyle w:val="DHHStabletext"/>
            </w:pPr>
            <w:r w:rsidRPr="0075709B">
              <w:t>24.1%</w:t>
            </w:r>
          </w:p>
        </w:tc>
      </w:tr>
      <w:tr w:rsidR="00B70821" w14:paraId="00321E84" w14:textId="77777777" w:rsidTr="00235E13">
        <w:trPr>
          <w:trHeight w:val="325"/>
        </w:trPr>
        <w:tc>
          <w:tcPr>
            <w:tcW w:w="2777" w:type="dxa"/>
            <w:vMerge/>
            <w:vAlign w:val="center"/>
            <w:hideMark/>
          </w:tcPr>
          <w:p w14:paraId="3DA58EFC" w14:textId="77777777" w:rsidR="00B70821" w:rsidRPr="008A08FD" w:rsidRDefault="00B70821" w:rsidP="00B70821">
            <w:pPr>
              <w:pStyle w:val="DHHStabletext"/>
              <w:rPr>
                <w:rFonts w:eastAsia="Trebuchet MS"/>
              </w:rPr>
            </w:pPr>
          </w:p>
        </w:tc>
        <w:tc>
          <w:tcPr>
            <w:tcW w:w="3441" w:type="dxa"/>
            <w:shd w:val="clear" w:color="auto" w:fill="DCDDDE"/>
            <w:hideMark/>
          </w:tcPr>
          <w:p w14:paraId="136B1DA9" w14:textId="77777777" w:rsidR="00B70821" w:rsidRPr="008A08FD" w:rsidRDefault="00B70821" w:rsidP="00B70821">
            <w:pPr>
              <w:pStyle w:val="DHHStabletext"/>
            </w:pPr>
            <w:r w:rsidRPr="008A08FD">
              <w:t>Total</w:t>
            </w:r>
          </w:p>
        </w:tc>
        <w:tc>
          <w:tcPr>
            <w:tcW w:w="1244" w:type="dxa"/>
            <w:shd w:val="clear" w:color="auto" w:fill="DCDDDE"/>
            <w:hideMark/>
          </w:tcPr>
          <w:p w14:paraId="0F5D9425" w14:textId="7F3BE9AD" w:rsidR="00B70821" w:rsidRPr="0075709B" w:rsidRDefault="00B70821" w:rsidP="0075709B">
            <w:pPr>
              <w:pStyle w:val="DHHStabletext"/>
            </w:pPr>
            <w:r w:rsidRPr="0075709B">
              <w:t>52.1%</w:t>
            </w:r>
          </w:p>
        </w:tc>
        <w:tc>
          <w:tcPr>
            <w:tcW w:w="1244" w:type="dxa"/>
            <w:shd w:val="clear" w:color="auto" w:fill="DCDDDE"/>
            <w:hideMark/>
          </w:tcPr>
          <w:p w14:paraId="14090851" w14:textId="397DD6E1" w:rsidR="00B70821" w:rsidRPr="0075709B" w:rsidRDefault="00B70821" w:rsidP="0075709B">
            <w:pPr>
              <w:pStyle w:val="DHHStabletext"/>
            </w:pPr>
            <w:r w:rsidRPr="0075709B">
              <w:t>52.2%</w:t>
            </w:r>
          </w:p>
        </w:tc>
        <w:tc>
          <w:tcPr>
            <w:tcW w:w="1225" w:type="dxa"/>
            <w:shd w:val="clear" w:color="auto" w:fill="DCDDDE"/>
            <w:hideMark/>
          </w:tcPr>
          <w:p w14:paraId="3990B9BB" w14:textId="179B66BF" w:rsidR="00B70821" w:rsidRPr="0075709B" w:rsidRDefault="00B70821" w:rsidP="0075709B">
            <w:pPr>
              <w:pStyle w:val="DHHStabletext"/>
            </w:pPr>
            <w:r w:rsidRPr="0075709B">
              <w:t>51.7%</w:t>
            </w:r>
          </w:p>
        </w:tc>
      </w:tr>
      <w:tr w:rsidR="00B70821" w14:paraId="6E3BAA97" w14:textId="77777777" w:rsidTr="00235E13">
        <w:trPr>
          <w:trHeight w:val="404"/>
        </w:trPr>
        <w:tc>
          <w:tcPr>
            <w:tcW w:w="2777" w:type="dxa"/>
            <w:vMerge w:val="restart"/>
            <w:hideMark/>
          </w:tcPr>
          <w:p w14:paraId="1DC970CB" w14:textId="77777777" w:rsidR="00B70821" w:rsidRPr="008A08FD" w:rsidRDefault="00B70821" w:rsidP="00B70821">
            <w:pPr>
              <w:pStyle w:val="DHHStabletext"/>
            </w:pPr>
            <w:r w:rsidRPr="008A08FD">
              <w:t>Community cases stable at case closure (%)**</w:t>
            </w:r>
          </w:p>
        </w:tc>
        <w:tc>
          <w:tcPr>
            <w:tcW w:w="3441" w:type="dxa"/>
            <w:hideMark/>
          </w:tcPr>
          <w:p w14:paraId="53F8D01F" w14:textId="77777777" w:rsidR="00B70821" w:rsidRPr="008A08FD" w:rsidRDefault="00B70821" w:rsidP="00B70821">
            <w:pPr>
              <w:pStyle w:val="DHHStabletext"/>
            </w:pPr>
            <w:r w:rsidRPr="008A08FD">
              <w:t>Adult</w:t>
            </w:r>
          </w:p>
        </w:tc>
        <w:tc>
          <w:tcPr>
            <w:tcW w:w="1244" w:type="dxa"/>
            <w:hideMark/>
          </w:tcPr>
          <w:p w14:paraId="0B551C37" w14:textId="77D639A7" w:rsidR="00B70821" w:rsidRPr="0075709B" w:rsidRDefault="00B70821" w:rsidP="0075709B">
            <w:pPr>
              <w:pStyle w:val="DHHStabletext"/>
            </w:pPr>
            <w:r w:rsidRPr="0075709B">
              <w:t>38.1%</w:t>
            </w:r>
          </w:p>
        </w:tc>
        <w:tc>
          <w:tcPr>
            <w:tcW w:w="1244" w:type="dxa"/>
            <w:hideMark/>
          </w:tcPr>
          <w:p w14:paraId="5B28337C" w14:textId="636C48DB" w:rsidR="00B70821" w:rsidRPr="0075709B" w:rsidRDefault="00B70821" w:rsidP="0075709B">
            <w:pPr>
              <w:pStyle w:val="DHHStabletext"/>
            </w:pPr>
            <w:r w:rsidRPr="0075709B">
              <w:t>37.8%</w:t>
            </w:r>
          </w:p>
        </w:tc>
        <w:tc>
          <w:tcPr>
            <w:tcW w:w="1225" w:type="dxa"/>
            <w:hideMark/>
          </w:tcPr>
          <w:p w14:paraId="304BFD28" w14:textId="00550747" w:rsidR="00B70821" w:rsidRPr="0075709B" w:rsidRDefault="00B70821" w:rsidP="0075709B">
            <w:pPr>
              <w:pStyle w:val="DHHStabletext"/>
            </w:pPr>
            <w:r w:rsidRPr="0075709B">
              <w:t>38.4%</w:t>
            </w:r>
          </w:p>
        </w:tc>
      </w:tr>
      <w:tr w:rsidR="00B70821" w14:paraId="4A2F96D0" w14:textId="77777777" w:rsidTr="00235E13">
        <w:trPr>
          <w:trHeight w:val="330"/>
        </w:trPr>
        <w:tc>
          <w:tcPr>
            <w:tcW w:w="2777" w:type="dxa"/>
            <w:vMerge/>
            <w:vAlign w:val="center"/>
            <w:hideMark/>
          </w:tcPr>
          <w:p w14:paraId="020C5281" w14:textId="77777777" w:rsidR="00B70821" w:rsidRPr="008A08FD" w:rsidRDefault="00B70821" w:rsidP="00B70821">
            <w:pPr>
              <w:pStyle w:val="DHHStabletext"/>
              <w:rPr>
                <w:rFonts w:eastAsia="Trebuchet MS"/>
              </w:rPr>
            </w:pPr>
          </w:p>
        </w:tc>
        <w:tc>
          <w:tcPr>
            <w:tcW w:w="3441" w:type="dxa"/>
            <w:hideMark/>
          </w:tcPr>
          <w:p w14:paraId="2DC5C4DA" w14:textId="77777777" w:rsidR="00B70821" w:rsidRPr="008A08FD" w:rsidRDefault="00B70821" w:rsidP="00B70821">
            <w:pPr>
              <w:pStyle w:val="DHHStabletext"/>
            </w:pPr>
            <w:r w:rsidRPr="008A08FD">
              <w:t>Aged</w:t>
            </w:r>
          </w:p>
        </w:tc>
        <w:tc>
          <w:tcPr>
            <w:tcW w:w="1244" w:type="dxa"/>
            <w:hideMark/>
          </w:tcPr>
          <w:p w14:paraId="171DBC90" w14:textId="2827A83F" w:rsidR="00B70821" w:rsidRPr="0075709B" w:rsidRDefault="00B70821" w:rsidP="0075709B">
            <w:pPr>
              <w:pStyle w:val="DHHStabletext"/>
            </w:pPr>
            <w:r w:rsidRPr="0075709B">
              <w:t>39.6%</w:t>
            </w:r>
          </w:p>
        </w:tc>
        <w:tc>
          <w:tcPr>
            <w:tcW w:w="1244" w:type="dxa"/>
            <w:hideMark/>
          </w:tcPr>
          <w:p w14:paraId="6AD790DD" w14:textId="649F9B50" w:rsidR="00B70821" w:rsidRPr="0075709B" w:rsidRDefault="00B70821" w:rsidP="0075709B">
            <w:pPr>
              <w:pStyle w:val="DHHStabletext"/>
            </w:pPr>
            <w:r w:rsidRPr="0075709B">
              <w:t>37.8%</w:t>
            </w:r>
          </w:p>
        </w:tc>
        <w:tc>
          <w:tcPr>
            <w:tcW w:w="1225" w:type="dxa"/>
            <w:hideMark/>
          </w:tcPr>
          <w:p w14:paraId="6ADD6319" w14:textId="225676F3" w:rsidR="00B70821" w:rsidRPr="0075709B" w:rsidRDefault="00B70821" w:rsidP="0075709B">
            <w:pPr>
              <w:pStyle w:val="DHHStabletext"/>
            </w:pPr>
            <w:r w:rsidRPr="0075709B">
              <w:t>36.0%</w:t>
            </w:r>
          </w:p>
        </w:tc>
      </w:tr>
      <w:tr w:rsidR="00B70821" w14:paraId="68DF2768" w14:textId="77777777" w:rsidTr="00235E13">
        <w:trPr>
          <w:trHeight w:val="330"/>
        </w:trPr>
        <w:tc>
          <w:tcPr>
            <w:tcW w:w="2777" w:type="dxa"/>
            <w:vMerge/>
            <w:vAlign w:val="center"/>
            <w:hideMark/>
          </w:tcPr>
          <w:p w14:paraId="1EB99696" w14:textId="77777777" w:rsidR="00B70821" w:rsidRPr="008A08FD" w:rsidRDefault="00B70821" w:rsidP="00B70821">
            <w:pPr>
              <w:pStyle w:val="DHHStabletext"/>
              <w:rPr>
                <w:rFonts w:eastAsia="Trebuchet MS"/>
              </w:rPr>
            </w:pPr>
          </w:p>
        </w:tc>
        <w:tc>
          <w:tcPr>
            <w:tcW w:w="3441" w:type="dxa"/>
            <w:hideMark/>
          </w:tcPr>
          <w:p w14:paraId="50D2B6FB" w14:textId="77777777" w:rsidR="00B70821" w:rsidRPr="008A08FD" w:rsidRDefault="00B70821" w:rsidP="00B70821">
            <w:pPr>
              <w:pStyle w:val="DHHStabletext"/>
            </w:pPr>
            <w:r w:rsidRPr="008A08FD">
              <w:t>CAMHS</w:t>
            </w:r>
          </w:p>
        </w:tc>
        <w:tc>
          <w:tcPr>
            <w:tcW w:w="1244" w:type="dxa"/>
            <w:hideMark/>
          </w:tcPr>
          <w:p w14:paraId="3EC2A7C1" w14:textId="1D9A5268" w:rsidR="00B70821" w:rsidRPr="0075709B" w:rsidRDefault="00B70821" w:rsidP="0075709B">
            <w:pPr>
              <w:pStyle w:val="DHHStabletext"/>
            </w:pPr>
            <w:r w:rsidRPr="0075709B">
              <w:t>42.3%</w:t>
            </w:r>
          </w:p>
        </w:tc>
        <w:tc>
          <w:tcPr>
            <w:tcW w:w="1244" w:type="dxa"/>
            <w:hideMark/>
          </w:tcPr>
          <w:p w14:paraId="4CAA7885" w14:textId="0254D7BD" w:rsidR="00B70821" w:rsidRPr="0075709B" w:rsidRDefault="00B70821" w:rsidP="0075709B">
            <w:pPr>
              <w:pStyle w:val="DHHStabletext"/>
            </w:pPr>
            <w:r w:rsidRPr="0075709B">
              <w:t>43.2%</w:t>
            </w:r>
          </w:p>
        </w:tc>
        <w:tc>
          <w:tcPr>
            <w:tcW w:w="1225" w:type="dxa"/>
            <w:hideMark/>
          </w:tcPr>
          <w:p w14:paraId="42DE6540" w14:textId="6FAB1398" w:rsidR="00B70821" w:rsidRPr="0075709B" w:rsidRDefault="00B70821" w:rsidP="0075709B">
            <w:pPr>
              <w:pStyle w:val="DHHStabletext"/>
            </w:pPr>
            <w:r w:rsidRPr="0075709B">
              <w:t>45.7%</w:t>
            </w:r>
          </w:p>
        </w:tc>
      </w:tr>
      <w:tr w:rsidR="00B70821" w14:paraId="62045775" w14:textId="77777777" w:rsidTr="00235E13">
        <w:trPr>
          <w:trHeight w:val="330"/>
        </w:trPr>
        <w:tc>
          <w:tcPr>
            <w:tcW w:w="2777" w:type="dxa"/>
            <w:vMerge/>
            <w:vAlign w:val="center"/>
            <w:hideMark/>
          </w:tcPr>
          <w:p w14:paraId="53F7B4D8" w14:textId="77777777" w:rsidR="00B70821" w:rsidRPr="008A08FD" w:rsidRDefault="00B70821" w:rsidP="00B70821">
            <w:pPr>
              <w:pStyle w:val="DHHStabletext"/>
              <w:rPr>
                <w:rFonts w:eastAsia="Trebuchet MS"/>
              </w:rPr>
            </w:pPr>
          </w:p>
        </w:tc>
        <w:tc>
          <w:tcPr>
            <w:tcW w:w="3441" w:type="dxa"/>
            <w:hideMark/>
          </w:tcPr>
          <w:p w14:paraId="60E1AA2B" w14:textId="77777777" w:rsidR="00B70821" w:rsidRPr="008A08FD" w:rsidRDefault="00B70821" w:rsidP="00B70821">
            <w:pPr>
              <w:pStyle w:val="DHHStabletext"/>
            </w:pPr>
            <w:r w:rsidRPr="008A08FD">
              <w:t>Forensic</w:t>
            </w:r>
          </w:p>
        </w:tc>
        <w:tc>
          <w:tcPr>
            <w:tcW w:w="1244" w:type="dxa"/>
            <w:hideMark/>
          </w:tcPr>
          <w:p w14:paraId="4C4A1C72" w14:textId="6C864BFC" w:rsidR="00B70821" w:rsidRPr="0075709B" w:rsidRDefault="00B70821" w:rsidP="0075709B">
            <w:pPr>
              <w:pStyle w:val="DHHStabletext"/>
            </w:pPr>
            <w:r w:rsidRPr="0075709B">
              <w:t>50.0%</w:t>
            </w:r>
          </w:p>
        </w:tc>
        <w:tc>
          <w:tcPr>
            <w:tcW w:w="1244" w:type="dxa"/>
            <w:hideMark/>
          </w:tcPr>
          <w:p w14:paraId="52321FAC" w14:textId="51BBDB31" w:rsidR="00B70821" w:rsidRPr="0075709B" w:rsidRDefault="00B70821" w:rsidP="0075709B">
            <w:pPr>
              <w:pStyle w:val="DHHStabletext"/>
            </w:pPr>
            <w:r w:rsidRPr="0075709B">
              <w:t>35.7%</w:t>
            </w:r>
          </w:p>
        </w:tc>
        <w:tc>
          <w:tcPr>
            <w:tcW w:w="1225" w:type="dxa"/>
            <w:hideMark/>
          </w:tcPr>
          <w:p w14:paraId="67F5F6A7" w14:textId="36E2F7BA" w:rsidR="00B70821" w:rsidRPr="0075709B" w:rsidRDefault="00B70821" w:rsidP="0075709B">
            <w:pPr>
              <w:pStyle w:val="DHHStabletext"/>
            </w:pPr>
            <w:r w:rsidRPr="0075709B">
              <w:t>50.0%</w:t>
            </w:r>
          </w:p>
        </w:tc>
      </w:tr>
      <w:tr w:rsidR="00B70821" w14:paraId="5C8EB660" w14:textId="77777777" w:rsidTr="00235E13">
        <w:trPr>
          <w:trHeight w:val="327"/>
        </w:trPr>
        <w:tc>
          <w:tcPr>
            <w:tcW w:w="2777" w:type="dxa"/>
            <w:vMerge/>
            <w:vAlign w:val="center"/>
            <w:hideMark/>
          </w:tcPr>
          <w:p w14:paraId="5B9C07D5" w14:textId="77777777" w:rsidR="00B70821" w:rsidRPr="008A08FD" w:rsidRDefault="00B70821" w:rsidP="00B70821">
            <w:pPr>
              <w:pStyle w:val="DHHStabletext"/>
              <w:rPr>
                <w:rFonts w:eastAsia="Trebuchet MS"/>
              </w:rPr>
            </w:pPr>
          </w:p>
        </w:tc>
        <w:tc>
          <w:tcPr>
            <w:tcW w:w="3441" w:type="dxa"/>
            <w:hideMark/>
          </w:tcPr>
          <w:p w14:paraId="0BE5588A" w14:textId="77777777" w:rsidR="00B70821" w:rsidRPr="008A08FD" w:rsidRDefault="00B70821" w:rsidP="00B70821">
            <w:pPr>
              <w:pStyle w:val="DHHStabletext"/>
            </w:pPr>
            <w:r w:rsidRPr="008A08FD">
              <w:t>Specialist</w:t>
            </w:r>
          </w:p>
        </w:tc>
        <w:tc>
          <w:tcPr>
            <w:tcW w:w="1244" w:type="dxa"/>
            <w:hideMark/>
          </w:tcPr>
          <w:p w14:paraId="788257A8" w14:textId="76EF662D" w:rsidR="00B70821" w:rsidRPr="0075709B" w:rsidRDefault="00B70821" w:rsidP="0075709B">
            <w:pPr>
              <w:pStyle w:val="DHHStabletext"/>
            </w:pPr>
            <w:r w:rsidRPr="0075709B">
              <w:t>70.6%</w:t>
            </w:r>
          </w:p>
        </w:tc>
        <w:tc>
          <w:tcPr>
            <w:tcW w:w="1244" w:type="dxa"/>
            <w:hideMark/>
          </w:tcPr>
          <w:p w14:paraId="3B69CAB5" w14:textId="15DEBBFA" w:rsidR="00B70821" w:rsidRPr="0075709B" w:rsidRDefault="00B70821" w:rsidP="0075709B">
            <w:pPr>
              <w:pStyle w:val="DHHStabletext"/>
            </w:pPr>
            <w:r w:rsidRPr="0075709B">
              <w:t>74.4%</w:t>
            </w:r>
          </w:p>
        </w:tc>
        <w:tc>
          <w:tcPr>
            <w:tcW w:w="1225" w:type="dxa"/>
            <w:hideMark/>
          </w:tcPr>
          <w:p w14:paraId="64925333" w14:textId="12AAC5AF" w:rsidR="00B70821" w:rsidRPr="0075709B" w:rsidRDefault="00B70821" w:rsidP="0075709B">
            <w:pPr>
              <w:pStyle w:val="DHHStabletext"/>
            </w:pPr>
            <w:r w:rsidRPr="0075709B">
              <w:t>72.4%</w:t>
            </w:r>
          </w:p>
        </w:tc>
      </w:tr>
      <w:tr w:rsidR="00B70821" w14:paraId="1159F17D" w14:textId="77777777" w:rsidTr="00235E13">
        <w:trPr>
          <w:trHeight w:val="347"/>
        </w:trPr>
        <w:tc>
          <w:tcPr>
            <w:tcW w:w="2777" w:type="dxa"/>
            <w:vMerge/>
            <w:vAlign w:val="center"/>
            <w:hideMark/>
          </w:tcPr>
          <w:p w14:paraId="69F75B76" w14:textId="77777777" w:rsidR="00B70821" w:rsidRPr="008A08FD" w:rsidRDefault="00B70821" w:rsidP="00B70821">
            <w:pPr>
              <w:pStyle w:val="DHHStabletext"/>
              <w:rPr>
                <w:rFonts w:eastAsia="Trebuchet MS"/>
              </w:rPr>
            </w:pPr>
          </w:p>
        </w:tc>
        <w:tc>
          <w:tcPr>
            <w:tcW w:w="3441" w:type="dxa"/>
            <w:shd w:val="clear" w:color="auto" w:fill="DCDDDE"/>
            <w:hideMark/>
          </w:tcPr>
          <w:p w14:paraId="517CAEDC" w14:textId="77777777" w:rsidR="00B70821" w:rsidRPr="008A08FD" w:rsidRDefault="00B70821" w:rsidP="00B70821">
            <w:pPr>
              <w:pStyle w:val="DHHStabletext"/>
            </w:pPr>
            <w:r w:rsidRPr="008A08FD">
              <w:t>Total</w:t>
            </w:r>
          </w:p>
        </w:tc>
        <w:tc>
          <w:tcPr>
            <w:tcW w:w="1244" w:type="dxa"/>
            <w:shd w:val="clear" w:color="auto" w:fill="DCDDDE"/>
            <w:hideMark/>
          </w:tcPr>
          <w:p w14:paraId="374D0477" w14:textId="7947C377" w:rsidR="00B70821" w:rsidRPr="0075709B" w:rsidRDefault="00B70821" w:rsidP="0075709B">
            <w:pPr>
              <w:pStyle w:val="DHHStabletext"/>
            </w:pPr>
            <w:r w:rsidRPr="0075709B">
              <w:t>39.4%</w:t>
            </w:r>
          </w:p>
        </w:tc>
        <w:tc>
          <w:tcPr>
            <w:tcW w:w="1244" w:type="dxa"/>
            <w:shd w:val="clear" w:color="auto" w:fill="DCDDDE"/>
            <w:hideMark/>
          </w:tcPr>
          <w:p w14:paraId="20B11B34" w14:textId="3841270A" w:rsidR="00B70821" w:rsidRPr="0075709B" w:rsidRDefault="00B70821" w:rsidP="0075709B">
            <w:pPr>
              <w:pStyle w:val="DHHStabletext"/>
            </w:pPr>
            <w:r w:rsidRPr="0075709B">
              <w:t>39.2%</w:t>
            </w:r>
          </w:p>
        </w:tc>
        <w:tc>
          <w:tcPr>
            <w:tcW w:w="1225" w:type="dxa"/>
            <w:shd w:val="clear" w:color="auto" w:fill="DCDDDE"/>
            <w:hideMark/>
          </w:tcPr>
          <w:p w14:paraId="456D68CA" w14:textId="6AD7B1A8" w:rsidR="00B70821" w:rsidRPr="0075709B" w:rsidRDefault="00B70821" w:rsidP="0075709B">
            <w:pPr>
              <w:pStyle w:val="DHHStabletext"/>
            </w:pPr>
            <w:r w:rsidRPr="0075709B">
              <w:t>39.6%</w:t>
            </w:r>
          </w:p>
        </w:tc>
      </w:tr>
      <w:tr w:rsidR="00B70821" w14:paraId="2BCA5FDD" w14:textId="77777777" w:rsidTr="00235E13">
        <w:trPr>
          <w:trHeight w:val="347"/>
        </w:trPr>
        <w:tc>
          <w:tcPr>
            <w:tcW w:w="2777" w:type="dxa"/>
            <w:vMerge w:val="restart"/>
          </w:tcPr>
          <w:p w14:paraId="3E812A87" w14:textId="274B1DD4" w:rsidR="00B70821" w:rsidRPr="00B70821" w:rsidRDefault="00B70821" w:rsidP="00B70821">
            <w:pPr>
              <w:pStyle w:val="DHHStabletext"/>
              <w:rPr>
                <w:rFonts w:eastAsia="Trebuchet MS"/>
              </w:rPr>
            </w:pPr>
            <w:r w:rsidRPr="00B70821">
              <w:t>Community cases with signiﬁcant deterioration at case closure</w:t>
            </w:r>
            <w:r w:rsidRPr="00B70821">
              <w:rPr>
                <w:vertAlign w:val="superscript"/>
              </w:rPr>
              <w:t>‡</w:t>
            </w:r>
            <w:r w:rsidRPr="00B70821">
              <w:t xml:space="preserve"> (%)</w:t>
            </w:r>
          </w:p>
        </w:tc>
        <w:tc>
          <w:tcPr>
            <w:tcW w:w="3441" w:type="dxa"/>
            <w:shd w:val="clear" w:color="auto" w:fill="auto"/>
          </w:tcPr>
          <w:p w14:paraId="7C494798" w14:textId="625906E2" w:rsidR="00B70821" w:rsidRPr="00B70821" w:rsidRDefault="00B70821" w:rsidP="00B70821">
            <w:pPr>
              <w:pStyle w:val="DHHStabletext"/>
            </w:pPr>
            <w:r w:rsidRPr="00B70821">
              <w:t>Adult</w:t>
            </w:r>
          </w:p>
        </w:tc>
        <w:tc>
          <w:tcPr>
            <w:tcW w:w="1244" w:type="dxa"/>
            <w:shd w:val="clear" w:color="auto" w:fill="auto"/>
          </w:tcPr>
          <w:p w14:paraId="224C8828" w14:textId="0C6A068A" w:rsidR="00B70821" w:rsidRPr="0075709B" w:rsidRDefault="00B70821" w:rsidP="0075709B">
            <w:pPr>
              <w:pStyle w:val="DHHStabletext"/>
            </w:pPr>
            <w:r w:rsidRPr="0075709B">
              <w:t>8.9%</w:t>
            </w:r>
          </w:p>
        </w:tc>
        <w:tc>
          <w:tcPr>
            <w:tcW w:w="1244" w:type="dxa"/>
            <w:shd w:val="clear" w:color="auto" w:fill="auto"/>
          </w:tcPr>
          <w:p w14:paraId="6D103CC5" w14:textId="5A8987F7" w:rsidR="00B70821" w:rsidRPr="0075709B" w:rsidRDefault="00B70821" w:rsidP="0075709B">
            <w:pPr>
              <w:pStyle w:val="DHHStabletext"/>
            </w:pPr>
            <w:r w:rsidRPr="0075709B">
              <w:t>8.9%</w:t>
            </w:r>
          </w:p>
        </w:tc>
        <w:tc>
          <w:tcPr>
            <w:tcW w:w="1225" w:type="dxa"/>
            <w:shd w:val="clear" w:color="auto" w:fill="auto"/>
          </w:tcPr>
          <w:p w14:paraId="22F85465" w14:textId="6931F288" w:rsidR="00B70821" w:rsidRPr="0075709B" w:rsidRDefault="00B70821" w:rsidP="0075709B">
            <w:pPr>
              <w:pStyle w:val="DHHStabletext"/>
            </w:pPr>
            <w:r w:rsidRPr="0075709B">
              <w:t>8.9%</w:t>
            </w:r>
          </w:p>
        </w:tc>
      </w:tr>
      <w:tr w:rsidR="00B70821" w14:paraId="56E95D0E" w14:textId="77777777" w:rsidTr="00235E13">
        <w:trPr>
          <w:trHeight w:val="347"/>
        </w:trPr>
        <w:tc>
          <w:tcPr>
            <w:tcW w:w="2777" w:type="dxa"/>
            <w:vMerge/>
            <w:vAlign w:val="center"/>
          </w:tcPr>
          <w:p w14:paraId="0258D230" w14:textId="77777777" w:rsidR="00B70821" w:rsidRPr="008A08FD" w:rsidRDefault="00B70821" w:rsidP="00B70821">
            <w:pPr>
              <w:pStyle w:val="DHHStabletext"/>
              <w:rPr>
                <w:rFonts w:eastAsia="Trebuchet MS"/>
              </w:rPr>
            </w:pPr>
          </w:p>
        </w:tc>
        <w:tc>
          <w:tcPr>
            <w:tcW w:w="3441" w:type="dxa"/>
            <w:shd w:val="clear" w:color="auto" w:fill="auto"/>
          </w:tcPr>
          <w:p w14:paraId="24842E17" w14:textId="3C324983" w:rsidR="00B70821" w:rsidRPr="00B70821" w:rsidRDefault="00B70821" w:rsidP="00B70821">
            <w:pPr>
              <w:pStyle w:val="DHHStabletext"/>
            </w:pPr>
            <w:r w:rsidRPr="00B70821">
              <w:t>Aged</w:t>
            </w:r>
          </w:p>
        </w:tc>
        <w:tc>
          <w:tcPr>
            <w:tcW w:w="1244" w:type="dxa"/>
            <w:shd w:val="clear" w:color="auto" w:fill="auto"/>
          </w:tcPr>
          <w:p w14:paraId="7DE8FA1A" w14:textId="703AF4F6" w:rsidR="00B70821" w:rsidRPr="0075709B" w:rsidRDefault="00B70821" w:rsidP="0075709B">
            <w:pPr>
              <w:pStyle w:val="DHHStabletext"/>
            </w:pPr>
            <w:r w:rsidRPr="0075709B">
              <w:t>6.1%</w:t>
            </w:r>
          </w:p>
        </w:tc>
        <w:tc>
          <w:tcPr>
            <w:tcW w:w="1244" w:type="dxa"/>
            <w:shd w:val="clear" w:color="auto" w:fill="auto"/>
          </w:tcPr>
          <w:p w14:paraId="6DCFAECE" w14:textId="20D4816C" w:rsidR="00B70821" w:rsidRPr="0075709B" w:rsidRDefault="00B70821" w:rsidP="0075709B">
            <w:pPr>
              <w:pStyle w:val="DHHStabletext"/>
            </w:pPr>
            <w:r w:rsidRPr="0075709B">
              <w:t>7.7%</w:t>
            </w:r>
          </w:p>
        </w:tc>
        <w:tc>
          <w:tcPr>
            <w:tcW w:w="1225" w:type="dxa"/>
            <w:shd w:val="clear" w:color="auto" w:fill="auto"/>
          </w:tcPr>
          <w:p w14:paraId="5371FC50" w14:textId="1375D00C" w:rsidR="00B70821" w:rsidRPr="0075709B" w:rsidRDefault="00B70821" w:rsidP="0075709B">
            <w:pPr>
              <w:pStyle w:val="DHHStabletext"/>
            </w:pPr>
            <w:r w:rsidRPr="0075709B">
              <w:t>7.6%</w:t>
            </w:r>
          </w:p>
        </w:tc>
      </w:tr>
      <w:tr w:rsidR="00B70821" w14:paraId="4E7A8CFD" w14:textId="77777777" w:rsidTr="00235E13">
        <w:trPr>
          <w:trHeight w:val="347"/>
        </w:trPr>
        <w:tc>
          <w:tcPr>
            <w:tcW w:w="2777" w:type="dxa"/>
            <w:vMerge/>
            <w:vAlign w:val="center"/>
          </w:tcPr>
          <w:p w14:paraId="3EA9D4C2" w14:textId="77777777" w:rsidR="00B70821" w:rsidRPr="008A08FD" w:rsidRDefault="00B70821" w:rsidP="00B70821">
            <w:pPr>
              <w:pStyle w:val="DHHStabletext"/>
              <w:rPr>
                <w:rFonts w:eastAsia="Trebuchet MS"/>
              </w:rPr>
            </w:pPr>
          </w:p>
        </w:tc>
        <w:tc>
          <w:tcPr>
            <w:tcW w:w="3441" w:type="dxa"/>
            <w:shd w:val="clear" w:color="auto" w:fill="auto"/>
          </w:tcPr>
          <w:p w14:paraId="1453E35B" w14:textId="29BB1E99" w:rsidR="00B70821" w:rsidRPr="00B70821" w:rsidRDefault="00B70821" w:rsidP="00B70821">
            <w:pPr>
              <w:pStyle w:val="DHHStabletext"/>
            </w:pPr>
            <w:r w:rsidRPr="00B70821">
              <w:t>CAMHS</w:t>
            </w:r>
          </w:p>
        </w:tc>
        <w:tc>
          <w:tcPr>
            <w:tcW w:w="1244" w:type="dxa"/>
            <w:shd w:val="clear" w:color="auto" w:fill="auto"/>
          </w:tcPr>
          <w:p w14:paraId="7145DB78" w14:textId="0A919CF1" w:rsidR="00B70821" w:rsidRPr="0075709B" w:rsidRDefault="00B70821" w:rsidP="0075709B">
            <w:pPr>
              <w:pStyle w:val="DHHStabletext"/>
            </w:pPr>
            <w:r w:rsidRPr="0075709B">
              <w:t>9.4%</w:t>
            </w:r>
          </w:p>
        </w:tc>
        <w:tc>
          <w:tcPr>
            <w:tcW w:w="1244" w:type="dxa"/>
            <w:shd w:val="clear" w:color="auto" w:fill="auto"/>
          </w:tcPr>
          <w:p w14:paraId="20017A64" w14:textId="0F3E765C" w:rsidR="00B70821" w:rsidRPr="0075709B" w:rsidRDefault="00B70821" w:rsidP="0075709B">
            <w:pPr>
              <w:pStyle w:val="DHHStabletext"/>
            </w:pPr>
            <w:r w:rsidRPr="0075709B">
              <w:t>8.7%</w:t>
            </w:r>
          </w:p>
        </w:tc>
        <w:tc>
          <w:tcPr>
            <w:tcW w:w="1225" w:type="dxa"/>
            <w:shd w:val="clear" w:color="auto" w:fill="auto"/>
          </w:tcPr>
          <w:p w14:paraId="73C1021A" w14:textId="6A4F72B9" w:rsidR="00B70821" w:rsidRPr="0075709B" w:rsidRDefault="00B70821" w:rsidP="0075709B">
            <w:pPr>
              <w:pStyle w:val="DHHStabletext"/>
            </w:pPr>
            <w:r w:rsidRPr="0075709B">
              <w:t>9.3%</w:t>
            </w:r>
          </w:p>
        </w:tc>
      </w:tr>
      <w:tr w:rsidR="00B70821" w14:paraId="1E0FDF28" w14:textId="77777777" w:rsidTr="00235E13">
        <w:trPr>
          <w:trHeight w:val="347"/>
        </w:trPr>
        <w:tc>
          <w:tcPr>
            <w:tcW w:w="2777" w:type="dxa"/>
            <w:vMerge/>
            <w:vAlign w:val="center"/>
          </w:tcPr>
          <w:p w14:paraId="0A5F1EE3" w14:textId="77777777" w:rsidR="00B70821" w:rsidRPr="008A08FD" w:rsidRDefault="00B70821" w:rsidP="00B70821">
            <w:pPr>
              <w:pStyle w:val="DHHStabletext"/>
              <w:rPr>
                <w:rFonts w:eastAsia="Trebuchet MS"/>
              </w:rPr>
            </w:pPr>
          </w:p>
        </w:tc>
        <w:tc>
          <w:tcPr>
            <w:tcW w:w="3441" w:type="dxa"/>
            <w:shd w:val="clear" w:color="auto" w:fill="auto"/>
          </w:tcPr>
          <w:p w14:paraId="7E30AE59" w14:textId="04F1121B" w:rsidR="00B70821" w:rsidRPr="00B70821" w:rsidRDefault="00B70821" w:rsidP="00B70821">
            <w:pPr>
              <w:pStyle w:val="DHHStabletext"/>
            </w:pPr>
            <w:r w:rsidRPr="00B70821">
              <w:t>Forensic</w:t>
            </w:r>
          </w:p>
        </w:tc>
        <w:tc>
          <w:tcPr>
            <w:tcW w:w="1244" w:type="dxa"/>
            <w:shd w:val="clear" w:color="auto" w:fill="auto"/>
          </w:tcPr>
          <w:p w14:paraId="2C9D7BE7" w14:textId="2F5042B1" w:rsidR="00B70821" w:rsidRPr="0075709B" w:rsidRDefault="00B70821" w:rsidP="0075709B">
            <w:pPr>
              <w:pStyle w:val="DHHStabletext"/>
            </w:pPr>
            <w:r w:rsidRPr="0075709B">
              <w:t>21.4%</w:t>
            </w:r>
          </w:p>
        </w:tc>
        <w:tc>
          <w:tcPr>
            <w:tcW w:w="1244" w:type="dxa"/>
            <w:shd w:val="clear" w:color="auto" w:fill="auto"/>
          </w:tcPr>
          <w:p w14:paraId="30A7123A" w14:textId="351B5293" w:rsidR="00B70821" w:rsidRPr="0075709B" w:rsidRDefault="00B70821" w:rsidP="0075709B">
            <w:pPr>
              <w:pStyle w:val="DHHStabletext"/>
            </w:pPr>
            <w:r w:rsidRPr="0075709B">
              <w:t>21.4%</w:t>
            </w:r>
          </w:p>
        </w:tc>
        <w:tc>
          <w:tcPr>
            <w:tcW w:w="1225" w:type="dxa"/>
            <w:shd w:val="clear" w:color="auto" w:fill="auto"/>
          </w:tcPr>
          <w:p w14:paraId="14731596" w14:textId="743B95CF" w:rsidR="00B70821" w:rsidRPr="0075709B" w:rsidRDefault="00B70821" w:rsidP="0075709B">
            <w:pPr>
              <w:pStyle w:val="DHHStabletext"/>
            </w:pPr>
            <w:r w:rsidRPr="0075709B">
              <w:t>16.7%</w:t>
            </w:r>
          </w:p>
        </w:tc>
      </w:tr>
      <w:tr w:rsidR="00B70821" w14:paraId="1A9341BA" w14:textId="77777777" w:rsidTr="00235E13">
        <w:trPr>
          <w:trHeight w:val="347"/>
        </w:trPr>
        <w:tc>
          <w:tcPr>
            <w:tcW w:w="2777" w:type="dxa"/>
            <w:vMerge/>
            <w:vAlign w:val="center"/>
          </w:tcPr>
          <w:p w14:paraId="73E1DFD3" w14:textId="77777777" w:rsidR="00B70821" w:rsidRPr="008A08FD" w:rsidRDefault="00B70821" w:rsidP="00B70821">
            <w:pPr>
              <w:pStyle w:val="DHHStabletext"/>
              <w:rPr>
                <w:rFonts w:eastAsia="Trebuchet MS"/>
              </w:rPr>
            </w:pPr>
          </w:p>
        </w:tc>
        <w:tc>
          <w:tcPr>
            <w:tcW w:w="3441" w:type="dxa"/>
            <w:shd w:val="clear" w:color="auto" w:fill="auto"/>
          </w:tcPr>
          <w:p w14:paraId="3B549724" w14:textId="2CEF202F" w:rsidR="00B70821" w:rsidRPr="00B70821" w:rsidRDefault="00B70821" w:rsidP="00B70821">
            <w:pPr>
              <w:pStyle w:val="DHHStabletext"/>
            </w:pPr>
            <w:r w:rsidRPr="00B70821">
              <w:t>Specialist</w:t>
            </w:r>
          </w:p>
        </w:tc>
        <w:tc>
          <w:tcPr>
            <w:tcW w:w="1244" w:type="dxa"/>
            <w:shd w:val="clear" w:color="auto" w:fill="auto"/>
          </w:tcPr>
          <w:p w14:paraId="373712BA" w14:textId="6CB279D2" w:rsidR="00B70821" w:rsidRPr="0075709B" w:rsidRDefault="00B70821" w:rsidP="0075709B">
            <w:pPr>
              <w:pStyle w:val="DHHStabletext"/>
            </w:pPr>
            <w:r w:rsidRPr="0075709B">
              <w:t>5.1%</w:t>
            </w:r>
          </w:p>
        </w:tc>
        <w:tc>
          <w:tcPr>
            <w:tcW w:w="1244" w:type="dxa"/>
            <w:shd w:val="clear" w:color="auto" w:fill="auto"/>
          </w:tcPr>
          <w:p w14:paraId="56D62A75" w14:textId="15F869D3" w:rsidR="00B70821" w:rsidRPr="0075709B" w:rsidRDefault="00B70821" w:rsidP="0075709B">
            <w:pPr>
              <w:pStyle w:val="DHHStabletext"/>
            </w:pPr>
            <w:r w:rsidRPr="0075709B">
              <w:t>4.5%</w:t>
            </w:r>
          </w:p>
        </w:tc>
        <w:tc>
          <w:tcPr>
            <w:tcW w:w="1225" w:type="dxa"/>
            <w:shd w:val="clear" w:color="auto" w:fill="auto"/>
          </w:tcPr>
          <w:p w14:paraId="7127AFE1" w14:textId="760072EE" w:rsidR="00B70821" w:rsidRPr="0075709B" w:rsidRDefault="00B70821" w:rsidP="0075709B">
            <w:pPr>
              <w:pStyle w:val="DHHStabletext"/>
            </w:pPr>
            <w:r w:rsidRPr="0075709B">
              <w:t>3.5%</w:t>
            </w:r>
          </w:p>
        </w:tc>
      </w:tr>
      <w:tr w:rsidR="00B70821" w14:paraId="7D940B8C" w14:textId="77777777" w:rsidTr="00235E13">
        <w:trPr>
          <w:trHeight w:val="347"/>
        </w:trPr>
        <w:tc>
          <w:tcPr>
            <w:tcW w:w="2777" w:type="dxa"/>
            <w:vMerge/>
            <w:vAlign w:val="center"/>
          </w:tcPr>
          <w:p w14:paraId="4955D6C8" w14:textId="77777777" w:rsidR="00B70821" w:rsidRPr="008A08FD" w:rsidRDefault="00B70821" w:rsidP="00B70821">
            <w:pPr>
              <w:pStyle w:val="DHHStabletext"/>
              <w:rPr>
                <w:rFonts w:eastAsia="Trebuchet MS"/>
              </w:rPr>
            </w:pPr>
          </w:p>
        </w:tc>
        <w:tc>
          <w:tcPr>
            <w:tcW w:w="3441" w:type="dxa"/>
            <w:shd w:val="clear" w:color="auto" w:fill="DCDDDE"/>
          </w:tcPr>
          <w:p w14:paraId="7D1D9CC8" w14:textId="0A4605E8" w:rsidR="00B70821" w:rsidRPr="00B70821" w:rsidRDefault="00B70821" w:rsidP="00B70821">
            <w:pPr>
              <w:pStyle w:val="DHHStabletext"/>
            </w:pPr>
            <w:r w:rsidRPr="00B70821">
              <w:t>Total</w:t>
            </w:r>
          </w:p>
        </w:tc>
        <w:tc>
          <w:tcPr>
            <w:tcW w:w="1244" w:type="dxa"/>
            <w:shd w:val="clear" w:color="auto" w:fill="DCDDDE"/>
          </w:tcPr>
          <w:p w14:paraId="74149499" w14:textId="3B5D490F" w:rsidR="00B70821" w:rsidRPr="0075709B" w:rsidRDefault="00B70821" w:rsidP="0075709B">
            <w:pPr>
              <w:pStyle w:val="DHHStabletext"/>
            </w:pPr>
            <w:r w:rsidRPr="0075709B">
              <w:t>8.4%</w:t>
            </w:r>
          </w:p>
        </w:tc>
        <w:tc>
          <w:tcPr>
            <w:tcW w:w="1244" w:type="dxa"/>
            <w:shd w:val="clear" w:color="auto" w:fill="DCDDDE"/>
          </w:tcPr>
          <w:p w14:paraId="549599CE" w14:textId="04C88BA3" w:rsidR="00B70821" w:rsidRPr="0075709B" w:rsidRDefault="00B70821" w:rsidP="0075709B">
            <w:pPr>
              <w:pStyle w:val="DHHStabletext"/>
            </w:pPr>
            <w:r w:rsidRPr="0075709B">
              <w:t>8.6%</w:t>
            </w:r>
          </w:p>
        </w:tc>
        <w:tc>
          <w:tcPr>
            <w:tcW w:w="1225" w:type="dxa"/>
            <w:shd w:val="clear" w:color="auto" w:fill="DCDDDE"/>
          </w:tcPr>
          <w:p w14:paraId="0A3A6727" w14:textId="1CA18EC2" w:rsidR="00B70821" w:rsidRPr="0075709B" w:rsidRDefault="00B70821" w:rsidP="0075709B">
            <w:pPr>
              <w:pStyle w:val="DHHStabletext"/>
            </w:pPr>
            <w:r w:rsidRPr="0075709B">
              <w:t>8.7%</w:t>
            </w:r>
          </w:p>
        </w:tc>
      </w:tr>
    </w:tbl>
    <w:p w14:paraId="734659A2" w14:textId="77777777" w:rsidR="008A08FD" w:rsidRDefault="008A08FD" w:rsidP="00985332">
      <w:pPr>
        <w:pStyle w:val="DHHSbody"/>
      </w:pPr>
    </w:p>
    <w:tbl>
      <w:tblPr>
        <w:tblW w:w="9931"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7"/>
        <w:gridCol w:w="3441"/>
        <w:gridCol w:w="1244"/>
        <w:gridCol w:w="1244"/>
        <w:gridCol w:w="1225"/>
      </w:tblGrid>
      <w:tr w:rsidR="00F8599A" w14:paraId="427A0BBC" w14:textId="77777777" w:rsidTr="00235E13">
        <w:trPr>
          <w:trHeight w:val="457"/>
          <w:tblHeader/>
        </w:trPr>
        <w:tc>
          <w:tcPr>
            <w:tcW w:w="2777" w:type="dxa"/>
            <w:shd w:val="clear" w:color="auto" w:fill="auto"/>
            <w:hideMark/>
          </w:tcPr>
          <w:p w14:paraId="429215A9" w14:textId="77777777" w:rsidR="00F8599A" w:rsidRDefault="00F8599A" w:rsidP="00F8599A">
            <w:pPr>
              <w:pStyle w:val="DHHStablecolhead"/>
            </w:pPr>
            <w:r>
              <w:rPr>
                <w:w w:val="105"/>
              </w:rPr>
              <w:t>Funding</w:t>
            </w:r>
          </w:p>
        </w:tc>
        <w:tc>
          <w:tcPr>
            <w:tcW w:w="3441" w:type="dxa"/>
            <w:shd w:val="clear" w:color="auto" w:fill="auto"/>
          </w:tcPr>
          <w:p w14:paraId="7955D8A5" w14:textId="77777777" w:rsidR="00F8599A" w:rsidRDefault="00F8599A" w:rsidP="00F8599A">
            <w:pPr>
              <w:pStyle w:val="DHHStablecolhead"/>
              <w:rPr>
                <w:rFonts w:ascii="Times New Roman"/>
              </w:rPr>
            </w:pPr>
          </w:p>
        </w:tc>
        <w:tc>
          <w:tcPr>
            <w:tcW w:w="1244" w:type="dxa"/>
            <w:shd w:val="clear" w:color="auto" w:fill="auto"/>
            <w:hideMark/>
          </w:tcPr>
          <w:p w14:paraId="6D65337D" w14:textId="274C569C" w:rsidR="00F8599A" w:rsidRDefault="00F8599A" w:rsidP="00F8599A">
            <w:pPr>
              <w:pStyle w:val="DHHStablecolhead"/>
              <w:rPr>
                <w:rFonts w:ascii="Trebuchet MS"/>
              </w:rPr>
            </w:pPr>
            <w:r w:rsidRPr="009F0C73">
              <w:t>2015–16</w:t>
            </w:r>
          </w:p>
        </w:tc>
        <w:tc>
          <w:tcPr>
            <w:tcW w:w="1244" w:type="dxa"/>
            <w:shd w:val="clear" w:color="auto" w:fill="auto"/>
            <w:hideMark/>
          </w:tcPr>
          <w:p w14:paraId="5E7544DC" w14:textId="37F14FA9" w:rsidR="00F8599A" w:rsidRDefault="00F8599A" w:rsidP="00F8599A">
            <w:pPr>
              <w:pStyle w:val="DHHStablecolhead"/>
            </w:pPr>
            <w:r w:rsidRPr="009F0C73">
              <w:t>201</w:t>
            </w:r>
            <w:r>
              <w:t>6</w:t>
            </w:r>
            <w:r w:rsidRPr="009F0C73">
              <w:t>–1</w:t>
            </w:r>
            <w:r>
              <w:t>7</w:t>
            </w:r>
          </w:p>
        </w:tc>
        <w:tc>
          <w:tcPr>
            <w:tcW w:w="1225" w:type="dxa"/>
            <w:shd w:val="clear" w:color="auto" w:fill="auto"/>
            <w:hideMark/>
          </w:tcPr>
          <w:p w14:paraId="53DF8EE7" w14:textId="255B4744" w:rsidR="00F8599A" w:rsidRDefault="00F8599A" w:rsidP="00F8599A">
            <w:pPr>
              <w:pStyle w:val="DHHStablecolhead"/>
            </w:pPr>
            <w:r w:rsidRPr="009F0C73">
              <w:t>201</w:t>
            </w:r>
            <w:r>
              <w:t>7</w:t>
            </w:r>
            <w:r w:rsidRPr="009F0C73">
              <w:t>–1</w:t>
            </w:r>
            <w:r>
              <w:t>8</w:t>
            </w:r>
          </w:p>
        </w:tc>
      </w:tr>
      <w:tr w:rsidR="003F5953" w14:paraId="1785BC06" w14:textId="77777777" w:rsidTr="00235E13">
        <w:trPr>
          <w:trHeight w:val="377"/>
        </w:trPr>
        <w:tc>
          <w:tcPr>
            <w:tcW w:w="2777" w:type="dxa"/>
            <w:vMerge w:val="restart"/>
            <w:hideMark/>
          </w:tcPr>
          <w:p w14:paraId="5F2100A3" w14:textId="77777777" w:rsidR="003F5953" w:rsidRPr="00985332" w:rsidRDefault="003F5953" w:rsidP="003F5953">
            <w:pPr>
              <w:pStyle w:val="DHHStabletext"/>
            </w:pPr>
            <w:r w:rsidRPr="00985332">
              <w:t>Total output cost (Budget paper 3) ($ million)ˆ</w:t>
            </w:r>
          </w:p>
        </w:tc>
        <w:tc>
          <w:tcPr>
            <w:tcW w:w="3441" w:type="dxa"/>
            <w:hideMark/>
          </w:tcPr>
          <w:p w14:paraId="10226926" w14:textId="77777777" w:rsidR="003F5953" w:rsidRPr="00985332" w:rsidRDefault="003F5953" w:rsidP="003F5953">
            <w:pPr>
              <w:pStyle w:val="DHHStabletext"/>
            </w:pPr>
            <w:r w:rsidRPr="00985332">
              <w:t>Clinical mental health</w:t>
            </w:r>
          </w:p>
        </w:tc>
        <w:tc>
          <w:tcPr>
            <w:tcW w:w="1244" w:type="dxa"/>
            <w:hideMark/>
          </w:tcPr>
          <w:p w14:paraId="13289AEB" w14:textId="461455A0" w:rsidR="003F5953" w:rsidRPr="0075709B" w:rsidRDefault="003F5953" w:rsidP="0075709B">
            <w:pPr>
              <w:pStyle w:val="DHHStabletext"/>
            </w:pPr>
            <w:r w:rsidRPr="0075709B">
              <w:t>1,142.0</w:t>
            </w:r>
          </w:p>
        </w:tc>
        <w:tc>
          <w:tcPr>
            <w:tcW w:w="1244" w:type="dxa"/>
            <w:hideMark/>
          </w:tcPr>
          <w:p w14:paraId="17CBE11F" w14:textId="6584B7E8" w:rsidR="003F5953" w:rsidRPr="0075709B" w:rsidRDefault="003F5953" w:rsidP="0075709B">
            <w:pPr>
              <w:pStyle w:val="DHHStabletext"/>
            </w:pPr>
            <w:r w:rsidRPr="0075709B">
              <w:t>1,258.0</w:t>
            </w:r>
          </w:p>
        </w:tc>
        <w:tc>
          <w:tcPr>
            <w:tcW w:w="1225" w:type="dxa"/>
            <w:hideMark/>
          </w:tcPr>
          <w:p w14:paraId="03881B23" w14:textId="4714E0F1" w:rsidR="003F5953" w:rsidRPr="0075709B" w:rsidRDefault="003F5953" w:rsidP="0075709B">
            <w:pPr>
              <w:pStyle w:val="DHHStabletext"/>
            </w:pPr>
            <w:r w:rsidRPr="0075709B">
              <w:t>1,376.8</w:t>
            </w:r>
          </w:p>
        </w:tc>
      </w:tr>
      <w:tr w:rsidR="003F5953" w14:paraId="275CE84C" w14:textId="77777777" w:rsidTr="00235E13">
        <w:trPr>
          <w:trHeight w:val="608"/>
        </w:trPr>
        <w:tc>
          <w:tcPr>
            <w:tcW w:w="2777" w:type="dxa"/>
            <w:vMerge/>
            <w:vAlign w:val="center"/>
            <w:hideMark/>
          </w:tcPr>
          <w:p w14:paraId="008AEF66" w14:textId="77777777" w:rsidR="003F5953" w:rsidRPr="00985332" w:rsidRDefault="003F5953" w:rsidP="003F5953">
            <w:pPr>
              <w:pStyle w:val="DHHStabletext"/>
              <w:rPr>
                <w:rFonts w:eastAsia="Trebuchet MS"/>
              </w:rPr>
            </w:pPr>
          </w:p>
        </w:tc>
        <w:tc>
          <w:tcPr>
            <w:tcW w:w="3441" w:type="dxa"/>
            <w:hideMark/>
          </w:tcPr>
          <w:p w14:paraId="6D0EDEE3" w14:textId="77777777" w:rsidR="003F5953" w:rsidRPr="00985332" w:rsidRDefault="003F5953" w:rsidP="003F5953">
            <w:pPr>
              <w:pStyle w:val="DHHStabletext"/>
            </w:pPr>
            <w:r w:rsidRPr="00985332">
              <w:t>Mental health community support services</w:t>
            </w:r>
          </w:p>
        </w:tc>
        <w:tc>
          <w:tcPr>
            <w:tcW w:w="1244" w:type="dxa"/>
            <w:hideMark/>
          </w:tcPr>
          <w:p w14:paraId="6E89AB91" w14:textId="18819272" w:rsidR="003F5953" w:rsidRPr="0075709B" w:rsidRDefault="003F5953" w:rsidP="0075709B">
            <w:pPr>
              <w:pStyle w:val="DHHStabletext"/>
            </w:pPr>
            <w:r w:rsidRPr="0075709B">
              <w:t>128.1</w:t>
            </w:r>
          </w:p>
        </w:tc>
        <w:tc>
          <w:tcPr>
            <w:tcW w:w="1244" w:type="dxa"/>
            <w:hideMark/>
          </w:tcPr>
          <w:p w14:paraId="3287BDDB" w14:textId="343C31C1" w:rsidR="003F5953" w:rsidRPr="0075709B" w:rsidRDefault="003F5953" w:rsidP="0075709B">
            <w:pPr>
              <w:pStyle w:val="DHHStabletext"/>
            </w:pPr>
            <w:r w:rsidRPr="0075709B">
              <w:t>124.8</w:t>
            </w:r>
          </w:p>
        </w:tc>
        <w:tc>
          <w:tcPr>
            <w:tcW w:w="1225" w:type="dxa"/>
            <w:hideMark/>
          </w:tcPr>
          <w:p w14:paraId="1C8B4EDB" w14:textId="2B37386A" w:rsidR="003F5953" w:rsidRPr="0075709B" w:rsidRDefault="003F5953" w:rsidP="0075709B">
            <w:pPr>
              <w:pStyle w:val="DHHStabletext"/>
            </w:pPr>
            <w:r w:rsidRPr="0075709B">
              <w:t>120.0</w:t>
            </w:r>
          </w:p>
        </w:tc>
      </w:tr>
    </w:tbl>
    <w:p w14:paraId="6CE99DDA" w14:textId="77777777" w:rsidR="008A08FD" w:rsidRDefault="008A08FD" w:rsidP="00985332">
      <w:pPr>
        <w:pStyle w:val="DHHSbody"/>
      </w:pPr>
    </w:p>
    <w:tbl>
      <w:tblPr>
        <w:tblW w:w="9931"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7"/>
        <w:gridCol w:w="3441"/>
        <w:gridCol w:w="1244"/>
        <w:gridCol w:w="1244"/>
        <w:gridCol w:w="1225"/>
      </w:tblGrid>
      <w:tr w:rsidR="00F8599A" w14:paraId="06E1978B" w14:textId="77777777" w:rsidTr="00235E13">
        <w:trPr>
          <w:trHeight w:val="453"/>
          <w:tblHeader/>
        </w:trPr>
        <w:tc>
          <w:tcPr>
            <w:tcW w:w="2777" w:type="dxa"/>
            <w:shd w:val="clear" w:color="auto" w:fill="auto"/>
            <w:hideMark/>
          </w:tcPr>
          <w:p w14:paraId="3248830D" w14:textId="77777777" w:rsidR="00F8599A" w:rsidRDefault="00F8599A" w:rsidP="00F8599A">
            <w:pPr>
              <w:pStyle w:val="DHHStablecolhead"/>
            </w:pPr>
            <w:r>
              <w:rPr>
                <w:w w:val="105"/>
              </w:rPr>
              <w:t>Service inputs</w:t>
            </w:r>
          </w:p>
        </w:tc>
        <w:tc>
          <w:tcPr>
            <w:tcW w:w="3441" w:type="dxa"/>
            <w:shd w:val="clear" w:color="auto" w:fill="auto"/>
          </w:tcPr>
          <w:p w14:paraId="22D86297" w14:textId="77777777" w:rsidR="00F8599A" w:rsidRDefault="00F8599A" w:rsidP="00F8599A">
            <w:pPr>
              <w:pStyle w:val="DHHStablecolhead"/>
              <w:rPr>
                <w:rFonts w:ascii="Times New Roman"/>
              </w:rPr>
            </w:pPr>
          </w:p>
        </w:tc>
        <w:tc>
          <w:tcPr>
            <w:tcW w:w="1244" w:type="dxa"/>
            <w:shd w:val="clear" w:color="auto" w:fill="auto"/>
            <w:hideMark/>
          </w:tcPr>
          <w:p w14:paraId="624AFEAA" w14:textId="63338C37" w:rsidR="00F8599A" w:rsidRDefault="00F8599A" w:rsidP="00F8599A">
            <w:pPr>
              <w:pStyle w:val="DHHStablecolhead"/>
              <w:rPr>
                <w:rFonts w:ascii="Trebuchet MS"/>
              </w:rPr>
            </w:pPr>
            <w:r w:rsidRPr="009F0C73">
              <w:t>2015–16</w:t>
            </w:r>
          </w:p>
        </w:tc>
        <w:tc>
          <w:tcPr>
            <w:tcW w:w="1244" w:type="dxa"/>
            <w:shd w:val="clear" w:color="auto" w:fill="auto"/>
            <w:hideMark/>
          </w:tcPr>
          <w:p w14:paraId="7218A85B" w14:textId="7DC61AE6" w:rsidR="00F8599A" w:rsidRDefault="00F8599A" w:rsidP="00F8599A">
            <w:pPr>
              <w:pStyle w:val="DHHStablecolhead"/>
            </w:pPr>
            <w:r w:rsidRPr="009F0C73">
              <w:t>201</w:t>
            </w:r>
            <w:r>
              <w:t>6</w:t>
            </w:r>
            <w:r w:rsidRPr="009F0C73">
              <w:t>–1</w:t>
            </w:r>
            <w:r>
              <w:t>7</w:t>
            </w:r>
          </w:p>
        </w:tc>
        <w:tc>
          <w:tcPr>
            <w:tcW w:w="1225" w:type="dxa"/>
            <w:shd w:val="clear" w:color="auto" w:fill="auto"/>
            <w:hideMark/>
          </w:tcPr>
          <w:p w14:paraId="36FF9AC7" w14:textId="6F4D0388" w:rsidR="00F8599A" w:rsidRDefault="00F8599A" w:rsidP="00F8599A">
            <w:pPr>
              <w:pStyle w:val="DHHStablecolhead"/>
            </w:pPr>
            <w:r w:rsidRPr="009F0C73">
              <w:t>201</w:t>
            </w:r>
            <w:r>
              <w:t>7</w:t>
            </w:r>
            <w:r w:rsidRPr="009F0C73">
              <w:t>–1</w:t>
            </w:r>
            <w:r>
              <w:t>8</w:t>
            </w:r>
          </w:p>
        </w:tc>
      </w:tr>
      <w:tr w:rsidR="003F5953" w14:paraId="18DF0BFA" w14:textId="77777777" w:rsidTr="00235E13">
        <w:trPr>
          <w:trHeight w:val="332"/>
        </w:trPr>
        <w:tc>
          <w:tcPr>
            <w:tcW w:w="2777" w:type="dxa"/>
            <w:vMerge w:val="restart"/>
            <w:hideMark/>
          </w:tcPr>
          <w:p w14:paraId="177F5B68" w14:textId="77777777" w:rsidR="003F5953" w:rsidRPr="00985332" w:rsidRDefault="003F5953" w:rsidP="003F5953">
            <w:pPr>
              <w:pStyle w:val="DHHStabletext"/>
            </w:pPr>
            <w:r w:rsidRPr="00985332">
              <w:t>Specialist mental health beds (from policy and funding guidelines)</w:t>
            </w:r>
          </w:p>
        </w:tc>
        <w:tc>
          <w:tcPr>
            <w:tcW w:w="3441" w:type="dxa"/>
            <w:hideMark/>
          </w:tcPr>
          <w:p w14:paraId="0BE26932" w14:textId="2C46EC16" w:rsidR="003F5953" w:rsidRPr="00985332" w:rsidRDefault="003F5953" w:rsidP="003F5953">
            <w:pPr>
              <w:pStyle w:val="DHHStabletext"/>
            </w:pPr>
            <w:r w:rsidRPr="00985332">
              <w:t>Admitted</w:t>
            </w:r>
            <w:r>
              <w:t xml:space="preserve"> – </w:t>
            </w:r>
            <w:r w:rsidRPr="00985332">
              <w:t>Acute</w:t>
            </w:r>
          </w:p>
        </w:tc>
        <w:tc>
          <w:tcPr>
            <w:tcW w:w="1244" w:type="dxa"/>
            <w:hideMark/>
          </w:tcPr>
          <w:p w14:paraId="07EA506D" w14:textId="08AA9F91" w:rsidR="003F5953" w:rsidRPr="0075709B" w:rsidRDefault="003F5953" w:rsidP="0075709B">
            <w:pPr>
              <w:pStyle w:val="DHHStabletext"/>
            </w:pPr>
            <w:r w:rsidRPr="0075709B">
              <w:t>1,098</w:t>
            </w:r>
          </w:p>
        </w:tc>
        <w:tc>
          <w:tcPr>
            <w:tcW w:w="1244" w:type="dxa"/>
            <w:hideMark/>
          </w:tcPr>
          <w:p w14:paraId="431C0DFC" w14:textId="7A1CED02" w:rsidR="003F5953" w:rsidRPr="0075709B" w:rsidRDefault="003F5953" w:rsidP="0075709B">
            <w:pPr>
              <w:pStyle w:val="DHHStabletext"/>
            </w:pPr>
            <w:r w:rsidRPr="0075709B">
              <w:t>1,162</w:t>
            </w:r>
          </w:p>
        </w:tc>
        <w:tc>
          <w:tcPr>
            <w:tcW w:w="1225" w:type="dxa"/>
            <w:hideMark/>
          </w:tcPr>
          <w:p w14:paraId="265152B7" w14:textId="75F978D8" w:rsidR="003F5953" w:rsidRPr="0075709B" w:rsidRDefault="003F5953" w:rsidP="0075709B">
            <w:pPr>
              <w:pStyle w:val="DHHStabletext"/>
            </w:pPr>
            <w:r w:rsidRPr="0075709B">
              <w:t>1,174</w:t>
            </w:r>
          </w:p>
        </w:tc>
      </w:tr>
      <w:tr w:rsidR="003F5953" w14:paraId="46C4B74B" w14:textId="77777777" w:rsidTr="00235E13">
        <w:trPr>
          <w:trHeight w:val="327"/>
        </w:trPr>
        <w:tc>
          <w:tcPr>
            <w:tcW w:w="2777" w:type="dxa"/>
            <w:vMerge/>
            <w:vAlign w:val="center"/>
            <w:hideMark/>
          </w:tcPr>
          <w:p w14:paraId="3FDB32F6" w14:textId="77777777" w:rsidR="003F5953" w:rsidRPr="00985332" w:rsidRDefault="003F5953" w:rsidP="003F5953">
            <w:pPr>
              <w:pStyle w:val="DHHStabletext"/>
              <w:rPr>
                <w:rFonts w:eastAsia="Trebuchet MS"/>
              </w:rPr>
            </w:pPr>
          </w:p>
        </w:tc>
        <w:tc>
          <w:tcPr>
            <w:tcW w:w="3441" w:type="dxa"/>
            <w:hideMark/>
          </w:tcPr>
          <w:p w14:paraId="573EE999" w14:textId="07D86C8C" w:rsidR="003F5953" w:rsidRPr="00985332" w:rsidRDefault="003F5953" w:rsidP="003F5953">
            <w:pPr>
              <w:pStyle w:val="DHHStabletext"/>
            </w:pPr>
            <w:r w:rsidRPr="00985332">
              <w:t>Admitted</w:t>
            </w:r>
            <w:r>
              <w:t xml:space="preserve"> – </w:t>
            </w:r>
            <w:r w:rsidRPr="00985332">
              <w:t>Non Acute</w:t>
            </w:r>
          </w:p>
        </w:tc>
        <w:tc>
          <w:tcPr>
            <w:tcW w:w="1244" w:type="dxa"/>
            <w:hideMark/>
          </w:tcPr>
          <w:p w14:paraId="23947171" w14:textId="0C1E60E5" w:rsidR="003F5953" w:rsidRPr="0075709B" w:rsidRDefault="003F5953" w:rsidP="0075709B">
            <w:pPr>
              <w:pStyle w:val="DHHStabletext"/>
            </w:pPr>
            <w:r w:rsidRPr="0075709B">
              <w:t>212</w:t>
            </w:r>
          </w:p>
        </w:tc>
        <w:tc>
          <w:tcPr>
            <w:tcW w:w="1244" w:type="dxa"/>
            <w:hideMark/>
          </w:tcPr>
          <w:p w14:paraId="10D0D43F" w14:textId="06024C01" w:rsidR="003F5953" w:rsidRPr="0075709B" w:rsidRDefault="003F5953" w:rsidP="0075709B">
            <w:pPr>
              <w:pStyle w:val="DHHStabletext"/>
            </w:pPr>
            <w:r w:rsidRPr="0075709B">
              <w:t>244</w:t>
            </w:r>
          </w:p>
        </w:tc>
        <w:tc>
          <w:tcPr>
            <w:tcW w:w="1225" w:type="dxa"/>
            <w:hideMark/>
          </w:tcPr>
          <w:p w14:paraId="366B2059" w14:textId="75CC4134" w:rsidR="003F5953" w:rsidRPr="0075709B" w:rsidRDefault="003F5953" w:rsidP="0075709B">
            <w:pPr>
              <w:pStyle w:val="DHHStabletext"/>
            </w:pPr>
            <w:r w:rsidRPr="0075709B">
              <w:t>244</w:t>
            </w:r>
          </w:p>
        </w:tc>
      </w:tr>
      <w:tr w:rsidR="003F5953" w14:paraId="1621E944" w14:textId="77777777" w:rsidTr="00235E13">
        <w:trPr>
          <w:trHeight w:val="330"/>
        </w:trPr>
        <w:tc>
          <w:tcPr>
            <w:tcW w:w="2777" w:type="dxa"/>
            <w:vMerge/>
            <w:vAlign w:val="center"/>
            <w:hideMark/>
          </w:tcPr>
          <w:p w14:paraId="03B8A499" w14:textId="77777777" w:rsidR="003F5953" w:rsidRPr="00985332" w:rsidRDefault="003F5953" w:rsidP="003F5953">
            <w:pPr>
              <w:pStyle w:val="DHHStabletext"/>
              <w:rPr>
                <w:rFonts w:eastAsia="Trebuchet MS"/>
              </w:rPr>
            </w:pPr>
          </w:p>
        </w:tc>
        <w:tc>
          <w:tcPr>
            <w:tcW w:w="3441" w:type="dxa"/>
            <w:hideMark/>
          </w:tcPr>
          <w:p w14:paraId="5D8F27B8" w14:textId="77777777" w:rsidR="003F5953" w:rsidRPr="00985332" w:rsidRDefault="003F5953" w:rsidP="003F5953">
            <w:pPr>
              <w:pStyle w:val="DHHStabletext"/>
            </w:pPr>
            <w:r w:rsidRPr="00985332">
              <w:t>Admitted Total</w:t>
            </w:r>
          </w:p>
        </w:tc>
        <w:tc>
          <w:tcPr>
            <w:tcW w:w="1244" w:type="dxa"/>
            <w:hideMark/>
          </w:tcPr>
          <w:p w14:paraId="57F3A924" w14:textId="5055AFE1" w:rsidR="003F5953" w:rsidRPr="0075709B" w:rsidRDefault="003F5953" w:rsidP="0075709B">
            <w:pPr>
              <w:pStyle w:val="DHHStabletext"/>
            </w:pPr>
            <w:r w:rsidRPr="0075709B">
              <w:t>1,310</w:t>
            </w:r>
          </w:p>
        </w:tc>
        <w:tc>
          <w:tcPr>
            <w:tcW w:w="1244" w:type="dxa"/>
            <w:hideMark/>
          </w:tcPr>
          <w:p w14:paraId="39ACA81D" w14:textId="4B2CB204" w:rsidR="003F5953" w:rsidRPr="0075709B" w:rsidRDefault="003F5953" w:rsidP="0075709B">
            <w:pPr>
              <w:pStyle w:val="DHHStabletext"/>
            </w:pPr>
            <w:r w:rsidRPr="0075709B">
              <w:t>1,406</w:t>
            </w:r>
          </w:p>
        </w:tc>
        <w:tc>
          <w:tcPr>
            <w:tcW w:w="1225" w:type="dxa"/>
            <w:hideMark/>
          </w:tcPr>
          <w:p w14:paraId="2FBA38CD" w14:textId="40721BB9" w:rsidR="003F5953" w:rsidRPr="0075709B" w:rsidRDefault="003F5953" w:rsidP="0075709B">
            <w:pPr>
              <w:pStyle w:val="DHHStabletext"/>
            </w:pPr>
            <w:r w:rsidRPr="0075709B">
              <w:t>1,418</w:t>
            </w:r>
          </w:p>
        </w:tc>
      </w:tr>
      <w:tr w:rsidR="003F5953" w14:paraId="23F447D8" w14:textId="77777777" w:rsidTr="00235E13">
        <w:trPr>
          <w:trHeight w:val="327"/>
        </w:trPr>
        <w:tc>
          <w:tcPr>
            <w:tcW w:w="2777" w:type="dxa"/>
            <w:vMerge/>
            <w:vAlign w:val="center"/>
            <w:hideMark/>
          </w:tcPr>
          <w:p w14:paraId="2DFE928C" w14:textId="77777777" w:rsidR="003F5953" w:rsidRPr="00985332" w:rsidRDefault="003F5953" w:rsidP="003F5953">
            <w:pPr>
              <w:pStyle w:val="DHHStabletext"/>
              <w:rPr>
                <w:rFonts w:eastAsia="Trebuchet MS"/>
              </w:rPr>
            </w:pPr>
          </w:p>
        </w:tc>
        <w:tc>
          <w:tcPr>
            <w:tcW w:w="3441" w:type="dxa"/>
            <w:hideMark/>
          </w:tcPr>
          <w:p w14:paraId="1A48CB38" w14:textId="7CD53FC3" w:rsidR="003F5953" w:rsidRPr="00985332" w:rsidRDefault="003F5953" w:rsidP="003F5953">
            <w:pPr>
              <w:pStyle w:val="DHHStabletext"/>
            </w:pPr>
            <w:r w:rsidRPr="00985332">
              <w:t>Non Admitted</w:t>
            </w:r>
            <w:r>
              <w:t xml:space="preserve"> – </w:t>
            </w:r>
            <w:r w:rsidRPr="00985332">
              <w:t>Residential</w:t>
            </w:r>
          </w:p>
        </w:tc>
        <w:tc>
          <w:tcPr>
            <w:tcW w:w="1244" w:type="dxa"/>
            <w:hideMark/>
          </w:tcPr>
          <w:p w14:paraId="75A8EC52" w14:textId="7D5D5E6C" w:rsidR="003F5953" w:rsidRPr="0075709B" w:rsidRDefault="003F5953" w:rsidP="0075709B">
            <w:pPr>
              <w:pStyle w:val="DHHStabletext"/>
            </w:pPr>
            <w:r w:rsidRPr="0075709B">
              <w:t>525</w:t>
            </w:r>
          </w:p>
        </w:tc>
        <w:tc>
          <w:tcPr>
            <w:tcW w:w="1244" w:type="dxa"/>
            <w:hideMark/>
          </w:tcPr>
          <w:p w14:paraId="6C7F02D8" w14:textId="46C88E0F" w:rsidR="003F5953" w:rsidRPr="0075709B" w:rsidRDefault="003F5953" w:rsidP="0075709B">
            <w:pPr>
              <w:pStyle w:val="DHHStabletext"/>
            </w:pPr>
            <w:r w:rsidRPr="0075709B">
              <w:t>525</w:t>
            </w:r>
          </w:p>
        </w:tc>
        <w:tc>
          <w:tcPr>
            <w:tcW w:w="1225" w:type="dxa"/>
            <w:hideMark/>
          </w:tcPr>
          <w:p w14:paraId="5F9CF873" w14:textId="4183CA7C" w:rsidR="003F5953" w:rsidRPr="0075709B" w:rsidRDefault="003F5953" w:rsidP="0075709B">
            <w:pPr>
              <w:pStyle w:val="DHHStabletext"/>
            </w:pPr>
            <w:r w:rsidRPr="0075709B">
              <w:t>495</w:t>
            </w:r>
          </w:p>
        </w:tc>
      </w:tr>
      <w:tr w:rsidR="003F5953" w14:paraId="787CE2EF" w14:textId="77777777" w:rsidTr="00235E13">
        <w:trPr>
          <w:trHeight w:val="325"/>
        </w:trPr>
        <w:tc>
          <w:tcPr>
            <w:tcW w:w="2777" w:type="dxa"/>
            <w:vMerge/>
            <w:vAlign w:val="center"/>
            <w:hideMark/>
          </w:tcPr>
          <w:p w14:paraId="6D74EACE" w14:textId="77777777" w:rsidR="003F5953" w:rsidRPr="00985332" w:rsidRDefault="003F5953" w:rsidP="003F5953">
            <w:pPr>
              <w:pStyle w:val="DHHStabletext"/>
              <w:rPr>
                <w:rFonts w:eastAsia="Trebuchet MS"/>
              </w:rPr>
            </w:pPr>
          </w:p>
        </w:tc>
        <w:tc>
          <w:tcPr>
            <w:tcW w:w="3441" w:type="dxa"/>
            <w:hideMark/>
          </w:tcPr>
          <w:p w14:paraId="3960C9A9" w14:textId="306B1394" w:rsidR="003F5953" w:rsidRPr="00985332" w:rsidRDefault="003F5953" w:rsidP="003F5953">
            <w:pPr>
              <w:pStyle w:val="DHHStabletext"/>
            </w:pPr>
            <w:r w:rsidRPr="00985332">
              <w:t>Non Admitted</w:t>
            </w:r>
            <w:r>
              <w:t xml:space="preserve"> – </w:t>
            </w:r>
            <w:r w:rsidRPr="00985332">
              <w:t>Sub Acute (CCU)</w:t>
            </w:r>
          </w:p>
        </w:tc>
        <w:tc>
          <w:tcPr>
            <w:tcW w:w="1244" w:type="dxa"/>
            <w:hideMark/>
          </w:tcPr>
          <w:p w14:paraId="512536BB" w14:textId="10617EF8" w:rsidR="003F5953" w:rsidRPr="0075709B" w:rsidRDefault="003F5953" w:rsidP="0075709B">
            <w:pPr>
              <w:pStyle w:val="DHHStabletext"/>
            </w:pPr>
            <w:r w:rsidRPr="0075709B">
              <w:t>358</w:t>
            </w:r>
          </w:p>
        </w:tc>
        <w:tc>
          <w:tcPr>
            <w:tcW w:w="1244" w:type="dxa"/>
            <w:hideMark/>
          </w:tcPr>
          <w:p w14:paraId="1BB171B6" w14:textId="3F2C40D8" w:rsidR="003F5953" w:rsidRPr="0075709B" w:rsidRDefault="003F5953" w:rsidP="0075709B">
            <w:pPr>
              <w:pStyle w:val="DHHStabletext"/>
            </w:pPr>
            <w:r w:rsidRPr="0075709B">
              <w:t>358</w:t>
            </w:r>
          </w:p>
        </w:tc>
        <w:tc>
          <w:tcPr>
            <w:tcW w:w="1225" w:type="dxa"/>
            <w:hideMark/>
          </w:tcPr>
          <w:p w14:paraId="01641B6D" w14:textId="36137D87" w:rsidR="003F5953" w:rsidRPr="0075709B" w:rsidRDefault="003F5953" w:rsidP="0075709B">
            <w:pPr>
              <w:pStyle w:val="DHHStabletext"/>
            </w:pPr>
            <w:r w:rsidRPr="0075709B">
              <w:t>358</w:t>
            </w:r>
          </w:p>
        </w:tc>
      </w:tr>
      <w:tr w:rsidR="003F5953" w14:paraId="7F95CEB0" w14:textId="77777777" w:rsidTr="00235E13">
        <w:trPr>
          <w:trHeight w:val="327"/>
        </w:trPr>
        <w:tc>
          <w:tcPr>
            <w:tcW w:w="2777" w:type="dxa"/>
            <w:vMerge/>
            <w:vAlign w:val="center"/>
            <w:hideMark/>
          </w:tcPr>
          <w:p w14:paraId="6A1AEFD2" w14:textId="77777777" w:rsidR="003F5953" w:rsidRPr="00985332" w:rsidRDefault="003F5953" w:rsidP="003F5953">
            <w:pPr>
              <w:pStyle w:val="DHHStabletext"/>
              <w:rPr>
                <w:rFonts w:eastAsia="Trebuchet MS"/>
              </w:rPr>
            </w:pPr>
          </w:p>
        </w:tc>
        <w:tc>
          <w:tcPr>
            <w:tcW w:w="3441" w:type="dxa"/>
            <w:hideMark/>
          </w:tcPr>
          <w:p w14:paraId="266F408E" w14:textId="6368D6DF" w:rsidR="003F5953" w:rsidRPr="00985332" w:rsidRDefault="003F5953" w:rsidP="003F5953">
            <w:pPr>
              <w:pStyle w:val="DHHStabletext"/>
            </w:pPr>
            <w:r w:rsidRPr="00985332">
              <w:t>Non Admitted</w:t>
            </w:r>
            <w:r>
              <w:t xml:space="preserve"> – </w:t>
            </w:r>
            <w:r w:rsidRPr="00985332">
              <w:t>Sub Acute (PARC)</w:t>
            </w:r>
          </w:p>
        </w:tc>
        <w:tc>
          <w:tcPr>
            <w:tcW w:w="1244" w:type="dxa"/>
            <w:hideMark/>
          </w:tcPr>
          <w:p w14:paraId="150C4554" w14:textId="7899319A" w:rsidR="003F5953" w:rsidRPr="0075709B" w:rsidRDefault="003F5953" w:rsidP="0075709B">
            <w:pPr>
              <w:pStyle w:val="DHHStabletext"/>
            </w:pPr>
            <w:r w:rsidRPr="0075709B">
              <w:t>230</w:t>
            </w:r>
          </w:p>
        </w:tc>
        <w:tc>
          <w:tcPr>
            <w:tcW w:w="1244" w:type="dxa"/>
            <w:hideMark/>
          </w:tcPr>
          <w:p w14:paraId="12CC74C5" w14:textId="28611A29" w:rsidR="003F5953" w:rsidRPr="0075709B" w:rsidRDefault="003F5953" w:rsidP="0075709B">
            <w:pPr>
              <w:pStyle w:val="DHHStabletext"/>
            </w:pPr>
            <w:r w:rsidRPr="0075709B">
              <w:t>230</w:t>
            </w:r>
          </w:p>
        </w:tc>
        <w:tc>
          <w:tcPr>
            <w:tcW w:w="1225" w:type="dxa"/>
            <w:hideMark/>
          </w:tcPr>
          <w:p w14:paraId="48A86775" w14:textId="09F9B317" w:rsidR="003F5953" w:rsidRPr="0075709B" w:rsidRDefault="003F5953" w:rsidP="0075709B">
            <w:pPr>
              <w:pStyle w:val="DHHStabletext"/>
            </w:pPr>
            <w:r w:rsidRPr="0075709B">
              <w:t>250</w:t>
            </w:r>
          </w:p>
        </w:tc>
      </w:tr>
      <w:tr w:rsidR="003F5953" w14:paraId="4E7BF87D" w14:textId="77777777" w:rsidTr="00235E13">
        <w:trPr>
          <w:trHeight w:val="330"/>
        </w:trPr>
        <w:tc>
          <w:tcPr>
            <w:tcW w:w="2777" w:type="dxa"/>
            <w:vMerge/>
            <w:vAlign w:val="center"/>
            <w:hideMark/>
          </w:tcPr>
          <w:p w14:paraId="31273850" w14:textId="77777777" w:rsidR="003F5953" w:rsidRPr="00985332" w:rsidRDefault="003F5953" w:rsidP="003F5953">
            <w:pPr>
              <w:pStyle w:val="DHHStabletext"/>
              <w:rPr>
                <w:rFonts w:eastAsia="Trebuchet MS"/>
              </w:rPr>
            </w:pPr>
          </w:p>
        </w:tc>
        <w:tc>
          <w:tcPr>
            <w:tcW w:w="3441" w:type="dxa"/>
            <w:hideMark/>
          </w:tcPr>
          <w:p w14:paraId="48A83100" w14:textId="77777777" w:rsidR="003F5953" w:rsidRPr="00985332" w:rsidRDefault="003F5953" w:rsidP="003F5953">
            <w:pPr>
              <w:pStyle w:val="DHHStabletext"/>
            </w:pPr>
            <w:r w:rsidRPr="00985332">
              <w:t>Non Admitted Total</w:t>
            </w:r>
          </w:p>
        </w:tc>
        <w:tc>
          <w:tcPr>
            <w:tcW w:w="1244" w:type="dxa"/>
            <w:hideMark/>
          </w:tcPr>
          <w:p w14:paraId="776CA1F7" w14:textId="0FB16515" w:rsidR="003F5953" w:rsidRPr="0075709B" w:rsidRDefault="003F5953" w:rsidP="0075709B">
            <w:pPr>
              <w:pStyle w:val="DHHStabletext"/>
            </w:pPr>
            <w:r w:rsidRPr="0075709B">
              <w:t>1,113</w:t>
            </w:r>
          </w:p>
        </w:tc>
        <w:tc>
          <w:tcPr>
            <w:tcW w:w="1244" w:type="dxa"/>
            <w:hideMark/>
          </w:tcPr>
          <w:p w14:paraId="1D8E8030" w14:textId="6EC260E7" w:rsidR="003F5953" w:rsidRPr="0075709B" w:rsidRDefault="003F5953" w:rsidP="0075709B">
            <w:pPr>
              <w:pStyle w:val="DHHStabletext"/>
            </w:pPr>
            <w:r w:rsidRPr="0075709B">
              <w:t>1,113</w:t>
            </w:r>
          </w:p>
        </w:tc>
        <w:tc>
          <w:tcPr>
            <w:tcW w:w="1225" w:type="dxa"/>
            <w:hideMark/>
          </w:tcPr>
          <w:p w14:paraId="7ED863DC" w14:textId="1F89940D" w:rsidR="003F5953" w:rsidRPr="0075709B" w:rsidRDefault="003F5953" w:rsidP="0075709B">
            <w:pPr>
              <w:pStyle w:val="DHHStabletext"/>
            </w:pPr>
            <w:r w:rsidRPr="0075709B">
              <w:t>1,103</w:t>
            </w:r>
          </w:p>
        </w:tc>
      </w:tr>
      <w:tr w:rsidR="003F5953" w14:paraId="5CF935AD" w14:textId="77777777" w:rsidTr="00235E13">
        <w:trPr>
          <w:trHeight w:val="350"/>
        </w:trPr>
        <w:tc>
          <w:tcPr>
            <w:tcW w:w="2777" w:type="dxa"/>
            <w:vMerge/>
            <w:vAlign w:val="center"/>
            <w:hideMark/>
          </w:tcPr>
          <w:p w14:paraId="04F8C023" w14:textId="77777777" w:rsidR="003F5953" w:rsidRPr="00985332" w:rsidRDefault="003F5953" w:rsidP="003F5953">
            <w:pPr>
              <w:pStyle w:val="DHHStabletext"/>
              <w:rPr>
                <w:rFonts w:eastAsia="Trebuchet MS"/>
              </w:rPr>
            </w:pPr>
          </w:p>
        </w:tc>
        <w:tc>
          <w:tcPr>
            <w:tcW w:w="3441" w:type="dxa"/>
            <w:shd w:val="clear" w:color="auto" w:fill="DCDDDE"/>
            <w:hideMark/>
          </w:tcPr>
          <w:p w14:paraId="55EFA155" w14:textId="77777777" w:rsidR="003F5953" w:rsidRPr="00985332" w:rsidRDefault="003F5953" w:rsidP="003F5953">
            <w:pPr>
              <w:pStyle w:val="DHHStabletext"/>
            </w:pPr>
            <w:r w:rsidRPr="00985332">
              <w:t>Total</w:t>
            </w:r>
          </w:p>
        </w:tc>
        <w:tc>
          <w:tcPr>
            <w:tcW w:w="1244" w:type="dxa"/>
            <w:shd w:val="clear" w:color="auto" w:fill="DCDDDE"/>
            <w:hideMark/>
          </w:tcPr>
          <w:p w14:paraId="650D1092" w14:textId="5D5C97CF" w:rsidR="003F5953" w:rsidRPr="0075709B" w:rsidRDefault="003F5953" w:rsidP="0075709B">
            <w:pPr>
              <w:pStyle w:val="DHHStabletext"/>
            </w:pPr>
            <w:r w:rsidRPr="0075709B">
              <w:t>2,423</w:t>
            </w:r>
          </w:p>
        </w:tc>
        <w:tc>
          <w:tcPr>
            <w:tcW w:w="1244" w:type="dxa"/>
            <w:shd w:val="clear" w:color="auto" w:fill="DCDDDE"/>
            <w:hideMark/>
          </w:tcPr>
          <w:p w14:paraId="414190F3" w14:textId="531CF713" w:rsidR="003F5953" w:rsidRPr="0075709B" w:rsidRDefault="003F5953" w:rsidP="0075709B">
            <w:pPr>
              <w:pStyle w:val="DHHStabletext"/>
            </w:pPr>
            <w:r w:rsidRPr="0075709B">
              <w:t>2,519</w:t>
            </w:r>
          </w:p>
        </w:tc>
        <w:tc>
          <w:tcPr>
            <w:tcW w:w="1225" w:type="dxa"/>
            <w:shd w:val="clear" w:color="auto" w:fill="DCDDDE"/>
            <w:hideMark/>
          </w:tcPr>
          <w:p w14:paraId="0B6280F0" w14:textId="32D1D325" w:rsidR="003F5953" w:rsidRPr="0075709B" w:rsidRDefault="003F5953" w:rsidP="0075709B">
            <w:pPr>
              <w:pStyle w:val="DHHStabletext"/>
            </w:pPr>
            <w:r w:rsidRPr="0075709B">
              <w:t>2,521</w:t>
            </w:r>
          </w:p>
        </w:tc>
      </w:tr>
      <w:tr w:rsidR="003F5953" w14:paraId="020EA98E" w14:textId="77777777" w:rsidTr="00235E13">
        <w:trPr>
          <w:trHeight w:val="327"/>
        </w:trPr>
        <w:tc>
          <w:tcPr>
            <w:tcW w:w="2777" w:type="dxa"/>
            <w:vMerge w:val="restart"/>
            <w:hideMark/>
          </w:tcPr>
          <w:p w14:paraId="5F8D1A6B" w14:textId="77777777" w:rsidR="003F5953" w:rsidRPr="00985332" w:rsidRDefault="003F5953" w:rsidP="003F5953">
            <w:pPr>
              <w:pStyle w:val="DHHStabletext"/>
            </w:pPr>
            <w:r w:rsidRPr="00985332">
              <w:t>Full-time equivalent staff by workforce type</w:t>
            </w:r>
          </w:p>
        </w:tc>
        <w:tc>
          <w:tcPr>
            <w:tcW w:w="3441" w:type="dxa"/>
            <w:hideMark/>
          </w:tcPr>
          <w:p w14:paraId="433B5C47" w14:textId="011A315F" w:rsidR="003F5953" w:rsidRPr="003F5953" w:rsidRDefault="003F5953" w:rsidP="003F5953">
            <w:pPr>
              <w:pStyle w:val="DHHStabletext"/>
            </w:pPr>
            <w:r w:rsidRPr="003F5953">
              <w:t>Administrative and clerical staff</w:t>
            </w:r>
          </w:p>
        </w:tc>
        <w:tc>
          <w:tcPr>
            <w:tcW w:w="1244" w:type="dxa"/>
            <w:hideMark/>
          </w:tcPr>
          <w:p w14:paraId="574FEEBA" w14:textId="36C35365" w:rsidR="003F5953" w:rsidRPr="0075709B" w:rsidRDefault="00E75FAA" w:rsidP="0075709B">
            <w:pPr>
              <w:pStyle w:val="DHHStabletext"/>
            </w:pPr>
            <w:r>
              <w:t>566</w:t>
            </w:r>
          </w:p>
        </w:tc>
        <w:tc>
          <w:tcPr>
            <w:tcW w:w="1244" w:type="dxa"/>
            <w:hideMark/>
          </w:tcPr>
          <w:p w14:paraId="308634BB" w14:textId="30968826" w:rsidR="003F5953" w:rsidRPr="0075709B" w:rsidRDefault="00E75FAA" w:rsidP="0075709B">
            <w:pPr>
              <w:pStyle w:val="DHHStabletext"/>
            </w:pPr>
            <w:r>
              <w:t>571</w:t>
            </w:r>
          </w:p>
        </w:tc>
        <w:tc>
          <w:tcPr>
            <w:tcW w:w="1225" w:type="dxa"/>
            <w:hideMark/>
          </w:tcPr>
          <w:p w14:paraId="27A1B7A3" w14:textId="7EA5304D" w:rsidR="003F5953" w:rsidRPr="0075709B" w:rsidRDefault="00E75FAA" w:rsidP="0075709B">
            <w:pPr>
              <w:pStyle w:val="DHHStabletext"/>
            </w:pPr>
            <w:r>
              <w:t>n/a</w:t>
            </w:r>
          </w:p>
        </w:tc>
      </w:tr>
      <w:tr w:rsidR="003F5953" w14:paraId="16D9814D" w14:textId="77777777" w:rsidTr="00235E13">
        <w:trPr>
          <w:trHeight w:val="563"/>
        </w:trPr>
        <w:tc>
          <w:tcPr>
            <w:tcW w:w="2777" w:type="dxa"/>
            <w:vMerge/>
            <w:vAlign w:val="center"/>
            <w:hideMark/>
          </w:tcPr>
          <w:p w14:paraId="078B6F0D" w14:textId="77777777" w:rsidR="003F5953" w:rsidRPr="00985332" w:rsidRDefault="003F5953" w:rsidP="003F5953">
            <w:pPr>
              <w:pStyle w:val="DHHStabletext"/>
              <w:rPr>
                <w:rFonts w:eastAsia="Trebuchet MS"/>
              </w:rPr>
            </w:pPr>
          </w:p>
        </w:tc>
        <w:tc>
          <w:tcPr>
            <w:tcW w:w="3441" w:type="dxa"/>
            <w:hideMark/>
          </w:tcPr>
          <w:p w14:paraId="4131A58B" w14:textId="77777777" w:rsidR="003F5953" w:rsidRPr="003F5953" w:rsidRDefault="003F5953" w:rsidP="003F5953">
            <w:pPr>
              <w:pStyle w:val="DHHStabletext"/>
            </w:pPr>
            <w:r w:rsidRPr="003F5953">
              <w:t>Allied health and diagnostic</w:t>
            </w:r>
          </w:p>
          <w:p w14:paraId="4B219A90" w14:textId="28A894B2" w:rsidR="003F5953" w:rsidRPr="003F5953" w:rsidRDefault="003F5953" w:rsidP="003F5953">
            <w:pPr>
              <w:pStyle w:val="DHHStabletext"/>
            </w:pPr>
            <w:r w:rsidRPr="003F5953">
              <w:t>professionals</w:t>
            </w:r>
          </w:p>
        </w:tc>
        <w:tc>
          <w:tcPr>
            <w:tcW w:w="1244" w:type="dxa"/>
            <w:hideMark/>
          </w:tcPr>
          <w:p w14:paraId="633360C7" w14:textId="23F768ED" w:rsidR="003F5953" w:rsidRPr="0075709B" w:rsidRDefault="003F5953" w:rsidP="0075709B">
            <w:pPr>
              <w:pStyle w:val="DHHStabletext"/>
            </w:pPr>
            <w:r w:rsidRPr="0075709B">
              <w:t>1,420</w:t>
            </w:r>
          </w:p>
        </w:tc>
        <w:tc>
          <w:tcPr>
            <w:tcW w:w="1244" w:type="dxa"/>
            <w:hideMark/>
          </w:tcPr>
          <w:p w14:paraId="45149CC4" w14:textId="22A28783" w:rsidR="003F5953" w:rsidRPr="0075709B" w:rsidRDefault="003F5953" w:rsidP="0075709B">
            <w:pPr>
              <w:pStyle w:val="DHHStabletext"/>
            </w:pPr>
            <w:r w:rsidRPr="0075709B">
              <w:t>1,500</w:t>
            </w:r>
          </w:p>
        </w:tc>
        <w:tc>
          <w:tcPr>
            <w:tcW w:w="1225" w:type="dxa"/>
            <w:hideMark/>
          </w:tcPr>
          <w:p w14:paraId="42CEE950" w14:textId="2FEBE1B6" w:rsidR="003F5953" w:rsidRPr="0075709B" w:rsidRDefault="003F5953" w:rsidP="0075709B">
            <w:pPr>
              <w:pStyle w:val="DHHStabletext"/>
            </w:pPr>
            <w:r w:rsidRPr="0075709B">
              <w:t>n/a</w:t>
            </w:r>
          </w:p>
        </w:tc>
      </w:tr>
      <w:tr w:rsidR="003F5953" w14:paraId="2C94DCED" w14:textId="77777777" w:rsidTr="00235E13">
        <w:trPr>
          <w:trHeight w:val="325"/>
        </w:trPr>
        <w:tc>
          <w:tcPr>
            <w:tcW w:w="2777" w:type="dxa"/>
            <w:vMerge/>
            <w:vAlign w:val="center"/>
            <w:hideMark/>
          </w:tcPr>
          <w:p w14:paraId="31421548" w14:textId="77777777" w:rsidR="003F5953" w:rsidRPr="00985332" w:rsidRDefault="003F5953" w:rsidP="003F5953">
            <w:pPr>
              <w:pStyle w:val="DHHStabletext"/>
              <w:rPr>
                <w:rFonts w:eastAsia="Trebuchet MS"/>
              </w:rPr>
            </w:pPr>
          </w:p>
        </w:tc>
        <w:tc>
          <w:tcPr>
            <w:tcW w:w="3441" w:type="dxa"/>
            <w:hideMark/>
          </w:tcPr>
          <w:p w14:paraId="4F37285F" w14:textId="11E61239" w:rsidR="003F5953" w:rsidRPr="003F5953" w:rsidRDefault="003F5953" w:rsidP="003F5953">
            <w:pPr>
              <w:pStyle w:val="DHHStabletext"/>
            </w:pPr>
            <w:r w:rsidRPr="003F5953">
              <w:t>Carer workers</w:t>
            </w:r>
          </w:p>
        </w:tc>
        <w:tc>
          <w:tcPr>
            <w:tcW w:w="1244" w:type="dxa"/>
            <w:hideMark/>
          </w:tcPr>
          <w:p w14:paraId="1214ADB7" w14:textId="6F9FE83C" w:rsidR="003F5953" w:rsidRPr="0075709B" w:rsidRDefault="003F5953" w:rsidP="0075709B">
            <w:pPr>
              <w:pStyle w:val="DHHStabletext"/>
            </w:pPr>
            <w:r w:rsidRPr="0075709B">
              <w:t>17</w:t>
            </w:r>
          </w:p>
        </w:tc>
        <w:tc>
          <w:tcPr>
            <w:tcW w:w="1244" w:type="dxa"/>
            <w:hideMark/>
          </w:tcPr>
          <w:p w14:paraId="3E58F9DB" w14:textId="7FEF6731" w:rsidR="003F5953" w:rsidRPr="0075709B" w:rsidRDefault="003F5953" w:rsidP="0075709B">
            <w:pPr>
              <w:pStyle w:val="DHHStabletext"/>
            </w:pPr>
            <w:r w:rsidRPr="0075709B">
              <w:t>18</w:t>
            </w:r>
          </w:p>
        </w:tc>
        <w:tc>
          <w:tcPr>
            <w:tcW w:w="1225" w:type="dxa"/>
            <w:hideMark/>
          </w:tcPr>
          <w:p w14:paraId="76761F1F" w14:textId="7E7E91F8" w:rsidR="003F5953" w:rsidRPr="0075709B" w:rsidRDefault="003F5953" w:rsidP="0075709B">
            <w:pPr>
              <w:pStyle w:val="DHHStabletext"/>
            </w:pPr>
            <w:r w:rsidRPr="0075709B">
              <w:t>n/a</w:t>
            </w:r>
          </w:p>
        </w:tc>
      </w:tr>
      <w:tr w:rsidR="003F5953" w14:paraId="5AFC16FC" w14:textId="77777777" w:rsidTr="00235E13">
        <w:trPr>
          <w:trHeight w:val="325"/>
        </w:trPr>
        <w:tc>
          <w:tcPr>
            <w:tcW w:w="2777" w:type="dxa"/>
            <w:vMerge/>
            <w:vAlign w:val="center"/>
            <w:hideMark/>
          </w:tcPr>
          <w:p w14:paraId="65EC42E4" w14:textId="77777777" w:rsidR="003F5953" w:rsidRPr="00985332" w:rsidRDefault="003F5953" w:rsidP="003F5953">
            <w:pPr>
              <w:pStyle w:val="DHHStabletext"/>
              <w:rPr>
                <w:rFonts w:eastAsia="Trebuchet MS"/>
              </w:rPr>
            </w:pPr>
          </w:p>
        </w:tc>
        <w:tc>
          <w:tcPr>
            <w:tcW w:w="3441" w:type="dxa"/>
            <w:hideMark/>
          </w:tcPr>
          <w:p w14:paraId="33CF1A04" w14:textId="61676001" w:rsidR="003F5953" w:rsidRPr="003F5953" w:rsidRDefault="003F5953" w:rsidP="003F5953">
            <w:pPr>
              <w:pStyle w:val="DHHStabletext"/>
            </w:pPr>
            <w:r w:rsidRPr="003F5953">
              <w:t>Consumer workers</w:t>
            </w:r>
          </w:p>
        </w:tc>
        <w:tc>
          <w:tcPr>
            <w:tcW w:w="1244" w:type="dxa"/>
            <w:hideMark/>
          </w:tcPr>
          <w:p w14:paraId="2B25E897" w14:textId="4CEB6D9E" w:rsidR="003F5953" w:rsidRPr="0075709B" w:rsidRDefault="003F5953" w:rsidP="0075709B">
            <w:pPr>
              <w:pStyle w:val="DHHStabletext"/>
            </w:pPr>
            <w:r w:rsidRPr="0075709B">
              <w:t>18</w:t>
            </w:r>
          </w:p>
        </w:tc>
        <w:tc>
          <w:tcPr>
            <w:tcW w:w="1244" w:type="dxa"/>
            <w:hideMark/>
          </w:tcPr>
          <w:p w14:paraId="6858BA3A" w14:textId="6AADF638" w:rsidR="003F5953" w:rsidRPr="0075709B" w:rsidRDefault="003F5953" w:rsidP="0075709B">
            <w:pPr>
              <w:pStyle w:val="DHHStabletext"/>
            </w:pPr>
            <w:r w:rsidRPr="0075709B">
              <w:t>18</w:t>
            </w:r>
          </w:p>
        </w:tc>
        <w:tc>
          <w:tcPr>
            <w:tcW w:w="1225" w:type="dxa"/>
            <w:hideMark/>
          </w:tcPr>
          <w:p w14:paraId="2EED26F3" w14:textId="55FF740E" w:rsidR="003F5953" w:rsidRPr="0075709B" w:rsidRDefault="003F5953" w:rsidP="0075709B">
            <w:pPr>
              <w:pStyle w:val="DHHStabletext"/>
            </w:pPr>
            <w:r w:rsidRPr="0075709B">
              <w:t>n/a</w:t>
            </w:r>
          </w:p>
        </w:tc>
      </w:tr>
      <w:tr w:rsidR="003F5953" w14:paraId="5D4A611B" w14:textId="77777777" w:rsidTr="00235E13">
        <w:trPr>
          <w:trHeight w:val="325"/>
        </w:trPr>
        <w:tc>
          <w:tcPr>
            <w:tcW w:w="2777" w:type="dxa"/>
            <w:vMerge/>
            <w:vAlign w:val="center"/>
            <w:hideMark/>
          </w:tcPr>
          <w:p w14:paraId="140AB22B" w14:textId="77777777" w:rsidR="003F5953" w:rsidRPr="00985332" w:rsidRDefault="003F5953" w:rsidP="003F5953">
            <w:pPr>
              <w:pStyle w:val="DHHStabletext"/>
              <w:rPr>
                <w:rFonts w:eastAsia="Trebuchet MS"/>
              </w:rPr>
            </w:pPr>
          </w:p>
        </w:tc>
        <w:tc>
          <w:tcPr>
            <w:tcW w:w="3441" w:type="dxa"/>
            <w:hideMark/>
          </w:tcPr>
          <w:p w14:paraId="7961CF52" w14:textId="509B20F6" w:rsidR="003F5953" w:rsidRPr="003F5953" w:rsidRDefault="003F5953" w:rsidP="003F5953">
            <w:pPr>
              <w:pStyle w:val="DHHStabletext"/>
            </w:pPr>
            <w:r w:rsidRPr="003F5953">
              <w:t>Domestic staff</w:t>
            </w:r>
          </w:p>
        </w:tc>
        <w:tc>
          <w:tcPr>
            <w:tcW w:w="1244" w:type="dxa"/>
            <w:hideMark/>
          </w:tcPr>
          <w:p w14:paraId="385B635E" w14:textId="0D69E18D" w:rsidR="003F5953" w:rsidRPr="0075709B" w:rsidRDefault="003F5953" w:rsidP="0075709B">
            <w:pPr>
              <w:pStyle w:val="DHHStabletext"/>
            </w:pPr>
            <w:r w:rsidRPr="0075709B">
              <w:t>153</w:t>
            </w:r>
          </w:p>
        </w:tc>
        <w:tc>
          <w:tcPr>
            <w:tcW w:w="1244" w:type="dxa"/>
            <w:hideMark/>
          </w:tcPr>
          <w:p w14:paraId="24FFDA40" w14:textId="0E2291F6" w:rsidR="003F5953" w:rsidRPr="0075709B" w:rsidRDefault="003F5953" w:rsidP="0075709B">
            <w:pPr>
              <w:pStyle w:val="DHHStabletext"/>
            </w:pPr>
            <w:r w:rsidRPr="0075709B">
              <w:t>174</w:t>
            </w:r>
          </w:p>
        </w:tc>
        <w:tc>
          <w:tcPr>
            <w:tcW w:w="1225" w:type="dxa"/>
            <w:hideMark/>
          </w:tcPr>
          <w:p w14:paraId="06649F92" w14:textId="25EA4BB1" w:rsidR="003F5953" w:rsidRPr="0075709B" w:rsidRDefault="003F5953" w:rsidP="0075709B">
            <w:pPr>
              <w:pStyle w:val="DHHStabletext"/>
            </w:pPr>
            <w:r w:rsidRPr="0075709B">
              <w:t>n/a</w:t>
            </w:r>
          </w:p>
        </w:tc>
      </w:tr>
      <w:tr w:rsidR="003F5953" w14:paraId="6124E7E8" w14:textId="77777777" w:rsidTr="00235E13">
        <w:trPr>
          <w:trHeight w:val="325"/>
        </w:trPr>
        <w:tc>
          <w:tcPr>
            <w:tcW w:w="2777" w:type="dxa"/>
            <w:vMerge/>
            <w:vAlign w:val="center"/>
            <w:hideMark/>
          </w:tcPr>
          <w:p w14:paraId="097C2413" w14:textId="77777777" w:rsidR="003F5953" w:rsidRPr="00985332" w:rsidRDefault="003F5953" w:rsidP="003F5953">
            <w:pPr>
              <w:pStyle w:val="DHHStabletext"/>
              <w:rPr>
                <w:rFonts w:eastAsia="Trebuchet MS"/>
              </w:rPr>
            </w:pPr>
          </w:p>
        </w:tc>
        <w:tc>
          <w:tcPr>
            <w:tcW w:w="3441" w:type="dxa"/>
            <w:hideMark/>
          </w:tcPr>
          <w:p w14:paraId="7A80A984" w14:textId="3817A564" w:rsidR="003F5953" w:rsidRPr="003F5953" w:rsidRDefault="003F5953" w:rsidP="003F5953">
            <w:pPr>
              <w:pStyle w:val="DHHStabletext"/>
            </w:pPr>
            <w:r w:rsidRPr="003F5953">
              <w:t xml:space="preserve">Medical </w:t>
            </w:r>
            <w:r w:rsidR="0075709B">
              <w:t>o</w:t>
            </w:r>
            <w:r w:rsidRPr="003F5953">
              <w:t>fﬁcers</w:t>
            </w:r>
          </w:p>
        </w:tc>
        <w:tc>
          <w:tcPr>
            <w:tcW w:w="1244" w:type="dxa"/>
            <w:hideMark/>
          </w:tcPr>
          <w:p w14:paraId="34F42B22" w14:textId="7129043E" w:rsidR="003F5953" w:rsidRPr="0075709B" w:rsidRDefault="003F5953" w:rsidP="0075709B">
            <w:pPr>
              <w:pStyle w:val="DHHStabletext"/>
            </w:pPr>
            <w:r w:rsidRPr="0075709B">
              <w:t>812</w:t>
            </w:r>
          </w:p>
        </w:tc>
        <w:tc>
          <w:tcPr>
            <w:tcW w:w="1244" w:type="dxa"/>
            <w:hideMark/>
          </w:tcPr>
          <w:p w14:paraId="16278CB3" w14:textId="5D99A06C" w:rsidR="003F5953" w:rsidRPr="0075709B" w:rsidRDefault="003F5953" w:rsidP="0075709B">
            <w:pPr>
              <w:pStyle w:val="DHHStabletext"/>
            </w:pPr>
            <w:r w:rsidRPr="0075709B">
              <w:t>848</w:t>
            </w:r>
          </w:p>
        </w:tc>
        <w:tc>
          <w:tcPr>
            <w:tcW w:w="1225" w:type="dxa"/>
            <w:hideMark/>
          </w:tcPr>
          <w:p w14:paraId="064D5E3C" w14:textId="103A06D7" w:rsidR="003F5953" w:rsidRPr="0075709B" w:rsidRDefault="003F5953" w:rsidP="0075709B">
            <w:pPr>
              <w:pStyle w:val="DHHStabletext"/>
            </w:pPr>
            <w:r w:rsidRPr="0075709B">
              <w:t>n/a</w:t>
            </w:r>
          </w:p>
        </w:tc>
      </w:tr>
      <w:tr w:rsidR="003F5953" w14:paraId="4F3E6427" w14:textId="77777777" w:rsidTr="00235E13">
        <w:trPr>
          <w:trHeight w:val="325"/>
        </w:trPr>
        <w:tc>
          <w:tcPr>
            <w:tcW w:w="2777" w:type="dxa"/>
            <w:vMerge/>
            <w:vAlign w:val="center"/>
            <w:hideMark/>
          </w:tcPr>
          <w:p w14:paraId="5FE18D64" w14:textId="77777777" w:rsidR="003F5953" w:rsidRPr="00985332" w:rsidRDefault="003F5953" w:rsidP="003F5953">
            <w:pPr>
              <w:pStyle w:val="DHHStabletext"/>
              <w:rPr>
                <w:rFonts w:eastAsia="Trebuchet MS"/>
              </w:rPr>
            </w:pPr>
          </w:p>
        </w:tc>
        <w:tc>
          <w:tcPr>
            <w:tcW w:w="3441" w:type="dxa"/>
            <w:hideMark/>
          </w:tcPr>
          <w:p w14:paraId="6AFA148F" w14:textId="343090D8" w:rsidR="003F5953" w:rsidRPr="003F5953" w:rsidRDefault="003F5953" w:rsidP="003F5953">
            <w:pPr>
              <w:pStyle w:val="DHHStabletext"/>
            </w:pPr>
            <w:r w:rsidRPr="003F5953">
              <w:t>Nurses</w:t>
            </w:r>
          </w:p>
        </w:tc>
        <w:tc>
          <w:tcPr>
            <w:tcW w:w="1244" w:type="dxa"/>
            <w:hideMark/>
          </w:tcPr>
          <w:p w14:paraId="16F3ACFC" w14:textId="73A6431F" w:rsidR="003F5953" w:rsidRPr="0075709B" w:rsidRDefault="003F5953" w:rsidP="0075709B">
            <w:pPr>
              <w:pStyle w:val="DHHStabletext"/>
            </w:pPr>
            <w:r w:rsidRPr="0075709B">
              <w:t>3,999</w:t>
            </w:r>
          </w:p>
        </w:tc>
        <w:tc>
          <w:tcPr>
            <w:tcW w:w="1244" w:type="dxa"/>
            <w:hideMark/>
          </w:tcPr>
          <w:p w14:paraId="1D3FFCEA" w14:textId="16862FBF" w:rsidR="003F5953" w:rsidRPr="0075709B" w:rsidRDefault="003F5953" w:rsidP="0075709B">
            <w:pPr>
              <w:pStyle w:val="DHHStabletext"/>
            </w:pPr>
            <w:r w:rsidRPr="0075709B">
              <w:t>4,180</w:t>
            </w:r>
          </w:p>
        </w:tc>
        <w:tc>
          <w:tcPr>
            <w:tcW w:w="1225" w:type="dxa"/>
            <w:hideMark/>
          </w:tcPr>
          <w:p w14:paraId="3AD66DC8" w14:textId="6C1744B5" w:rsidR="003F5953" w:rsidRPr="0075709B" w:rsidRDefault="003F5953" w:rsidP="0075709B">
            <w:pPr>
              <w:pStyle w:val="DHHStabletext"/>
            </w:pPr>
            <w:r w:rsidRPr="0075709B">
              <w:t>n/a</w:t>
            </w:r>
          </w:p>
        </w:tc>
      </w:tr>
      <w:tr w:rsidR="003F5953" w14:paraId="0F4F0876" w14:textId="77777777" w:rsidTr="00235E13">
        <w:trPr>
          <w:trHeight w:val="325"/>
        </w:trPr>
        <w:tc>
          <w:tcPr>
            <w:tcW w:w="2777" w:type="dxa"/>
            <w:vMerge/>
            <w:vAlign w:val="center"/>
            <w:hideMark/>
          </w:tcPr>
          <w:p w14:paraId="2795057C" w14:textId="77777777" w:rsidR="003F5953" w:rsidRPr="00985332" w:rsidRDefault="003F5953" w:rsidP="003F5953">
            <w:pPr>
              <w:pStyle w:val="DHHStabletext"/>
              <w:rPr>
                <w:rFonts w:eastAsia="Trebuchet MS"/>
              </w:rPr>
            </w:pPr>
          </w:p>
        </w:tc>
        <w:tc>
          <w:tcPr>
            <w:tcW w:w="3441" w:type="dxa"/>
            <w:hideMark/>
          </w:tcPr>
          <w:p w14:paraId="1B002D4E" w14:textId="2FAFCB0A" w:rsidR="003F5953" w:rsidRPr="003F5953" w:rsidRDefault="003F5953" w:rsidP="003F5953">
            <w:pPr>
              <w:pStyle w:val="DHHStabletext"/>
            </w:pPr>
            <w:r w:rsidRPr="003F5953">
              <w:t>Other personal care staff</w:t>
            </w:r>
          </w:p>
        </w:tc>
        <w:tc>
          <w:tcPr>
            <w:tcW w:w="1244" w:type="dxa"/>
            <w:hideMark/>
          </w:tcPr>
          <w:p w14:paraId="70D6D935" w14:textId="3B62FA51" w:rsidR="003F5953" w:rsidRPr="0075709B" w:rsidRDefault="003F5953" w:rsidP="0075709B">
            <w:pPr>
              <w:pStyle w:val="DHHStabletext"/>
            </w:pPr>
            <w:r w:rsidRPr="0075709B">
              <w:t>222</w:t>
            </w:r>
          </w:p>
        </w:tc>
        <w:tc>
          <w:tcPr>
            <w:tcW w:w="1244" w:type="dxa"/>
            <w:hideMark/>
          </w:tcPr>
          <w:p w14:paraId="7D57B837" w14:textId="60AB24C3" w:rsidR="003F5953" w:rsidRPr="0075709B" w:rsidRDefault="003F5953" w:rsidP="0075709B">
            <w:pPr>
              <w:pStyle w:val="DHHStabletext"/>
            </w:pPr>
            <w:r w:rsidRPr="0075709B">
              <w:t>239</w:t>
            </w:r>
          </w:p>
        </w:tc>
        <w:tc>
          <w:tcPr>
            <w:tcW w:w="1225" w:type="dxa"/>
            <w:hideMark/>
          </w:tcPr>
          <w:p w14:paraId="294320D3" w14:textId="587E1FCC" w:rsidR="003F5953" w:rsidRPr="0075709B" w:rsidRDefault="003F5953" w:rsidP="0075709B">
            <w:pPr>
              <w:pStyle w:val="DHHStabletext"/>
            </w:pPr>
            <w:r w:rsidRPr="0075709B">
              <w:t>n/a</w:t>
            </w:r>
          </w:p>
        </w:tc>
      </w:tr>
    </w:tbl>
    <w:p w14:paraId="6604471E" w14:textId="77777777" w:rsidR="004E24F2" w:rsidRDefault="004E24F2" w:rsidP="004E24F2">
      <w:pPr>
        <w:rPr>
          <w:sz w:val="19"/>
        </w:rPr>
        <w:sectPr w:rsidR="004E24F2" w:rsidSect="004E24F2">
          <w:pgSz w:w="11910" w:h="16840"/>
          <w:pgMar w:top="1699" w:right="1310" w:bottom="1138" w:left="1310" w:header="1" w:footer="493" w:gutter="0"/>
          <w:cols w:space="720"/>
        </w:sectPr>
      </w:pPr>
    </w:p>
    <w:p w14:paraId="43EA1AAB" w14:textId="40B1A3F5" w:rsidR="004E24F2" w:rsidRPr="00985332" w:rsidRDefault="00985332" w:rsidP="00985332">
      <w:pPr>
        <w:pStyle w:val="DHHStablecaption"/>
      </w:pPr>
      <w:r w:rsidRPr="00985332">
        <w:lastRenderedPageBreak/>
        <w:t>People accessing mental health community support services</w:t>
      </w:r>
    </w:p>
    <w:p w14:paraId="070DF69B" w14:textId="77777777" w:rsidR="004E24F2" w:rsidRDefault="004E24F2" w:rsidP="004E24F2">
      <w:pPr>
        <w:pStyle w:val="BodyText"/>
        <w:spacing w:before="1"/>
        <w:rPr>
          <w:rFonts w:ascii="Times New Roman"/>
          <w:sz w:val="3"/>
        </w:rPr>
      </w:pPr>
    </w:p>
    <w:tbl>
      <w:tblPr>
        <w:tblW w:w="9922"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6236"/>
        <w:gridCol w:w="1244"/>
        <w:gridCol w:w="1244"/>
        <w:gridCol w:w="1198"/>
      </w:tblGrid>
      <w:tr w:rsidR="00F8599A" w14:paraId="1E752C77" w14:textId="77777777" w:rsidTr="00235E13">
        <w:trPr>
          <w:trHeight w:val="320"/>
          <w:tblHeader/>
        </w:trPr>
        <w:tc>
          <w:tcPr>
            <w:tcW w:w="6236" w:type="dxa"/>
            <w:shd w:val="clear" w:color="auto" w:fill="auto"/>
            <w:hideMark/>
          </w:tcPr>
          <w:p w14:paraId="3DBA3BAD" w14:textId="4136417D" w:rsidR="00F8599A" w:rsidRPr="00985332" w:rsidRDefault="00E75FAA" w:rsidP="00F8599A">
            <w:pPr>
              <w:pStyle w:val="DHHStablecolhead"/>
            </w:pPr>
            <w:r>
              <w:t>Consumers</w:t>
            </w:r>
          </w:p>
        </w:tc>
        <w:tc>
          <w:tcPr>
            <w:tcW w:w="1244" w:type="dxa"/>
            <w:shd w:val="clear" w:color="auto" w:fill="auto"/>
            <w:hideMark/>
          </w:tcPr>
          <w:p w14:paraId="2C902B7F" w14:textId="69A4B008" w:rsidR="00F8599A" w:rsidRPr="00985332" w:rsidRDefault="00F8599A" w:rsidP="00F8599A">
            <w:pPr>
              <w:pStyle w:val="DHHStablecolhead"/>
            </w:pPr>
            <w:r w:rsidRPr="009F0C73">
              <w:t>2015–16</w:t>
            </w:r>
          </w:p>
        </w:tc>
        <w:tc>
          <w:tcPr>
            <w:tcW w:w="1244" w:type="dxa"/>
            <w:shd w:val="clear" w:color="auto" w:fill="auto"/>
            <w:hideMark/>
          </w:tcPr>
          <w:p w14:paraId="31E18433" w14:textId="5DDF7655" w:rsidR="00F8599A" w:rsidRPr="00985332" w:rsidRDefault="00F8599A" w:rsidP="00F8599A">
            <w:pPr>
              <w:pStyle w:val="DHHStablecolhead"/>
            </w:pPr>
            <w:r w:rsidRPr="009F0C73">
              <w:t>201</w:t>
            </w:r>
            <w:r>
              <w:t>6</w:t>
            </w:r>
            <w:r w:rsidRPr="009F0C73">
              <w:t>–1</w:t>
            </w:r>
            <w:r>
              <w:t>7</w:t>
            </w:r>
          </w:p>
        </w:tc>
        <w:tc>
          <w:tcPr>
            <w:tcW w:w="1198" w:type="dxa"/>
            <w:shd w:val="clear" w:color="auto" w:fill="auto"/>
            <w:hideMark/>
          </w:tcPr>
          <w:p w14:paraId="339962EF" w14:textId="7A9F6D9D" w:rsidR="00F8599A" w:rsidRDefault="00F8599A" w:rsidP="00F8599A">
            <w:pPr>
              <w:pStyle w:val="DHHStablecolhead"/>
              <w:rPr>
                <w:sz w:val="19"/>
              </w:rPr>
            </w:pPr>
            <w:r w:rsidRPr="009F0C73">
              <w:t>201</w:t>
            </w:r>
            <w:r>
              <w:t>7</w:t>
            </w:r>
            <w:r w:rsidRPr="009F0C73">
              <w:t>–1</w:t>
            </w:r>
            <w:r>
              <w:t>8</w:t>
            </w:r>
          </w:p>
        </w:tc>
      </w:tr>
      <w:tr w:rsidR="003F5953" w14:paraId="2ADEF39C" w14:textId="77777777" w:rsidTr="00235E13">
        <w:trPr>
          <w:trHeight w:val="345"/>
        </w:trPr>
        <w:tc>
          <w:tcPr>
            <w:tcW w:w="6236" w:type="dxa"/>
            <w:hideMark/>
          </w:tcPr>
          <w:p w14:paraId="10378935" w14:textId="597B3971" w:rsidR="003F5953" w:rsidRPr="00985332" w:rsidRDefault="003F5953" w:rsidP="003F5953">
            <w:pPr>
              <w:pStyle w:val="DHHStabletext"/>
            </w:pPr>
            <w:r w:rsidRPr="00985332">
              <w:t xml:space="preserve">Total </w:t>
            </w:r>
            <w:r w:rsidR="00E75FAA">
              <w:t xml:space="preserve">consumers </w:t>
            </w:r>
            <w:r w:rsidRPr="00985332">
              <w:t>accessing mental health community support servicesˆ</w:t>
            </w:r>
          </w:p>
        </w:tc>
        <w:tc>
          <w:tcPr>
            <w:tcW w:w="1244" w:type="dxa"/>
            <w:hideMark/>
          </w:tcPr>
          <w:p w14:paraId="3D975DAB" w14:textId="1550B20E" w:rsidR="003F5953" w:rsidRPr="0075709B" w:rsidRDefault="003F5953" w:rsidP="0075709B">
            <w:pPr>
              <w:pStyle w:val="DHHStabletext"/>
            </w:pPr>
            <w:r w:rsidRPr="0075709B">
              <w:t>12,354</w:t>
            </w:r>
          </w:p>
        </w:tc>
        <w:tc>
          <w:tcPr>
            <w:tcW w:w="1244" w:type="dxa"/>
            <w:hideMark/>
          </w:tcPr>
          <w:p w14:paraId="72F1316D" w14:textId="4261C386" w:rsidR="003F5953" w:rsidRPr="0075709B" w:rsidRDefault="003F5953" w:rsidP="0075709B">
            <w:pPr>
              <w:pStyle w:val="DHHStabletext"/>
            </w:pPr>
            <w:r w:rsidRPr="0075709B">
              <w:t>11,337</w:t>
            </w:r>
          </w:p>
        </w:tc>
        <w:tc>
          <w:tcPr>
            <w:tcW w:w="1198" w:type="dxa"/>
            <w:hideMark/>
          </w:tcPr>
          <w:p w14:paraId="2A02074E" w14:textId="2249AF4F" w:rsidR="003F5953" w:rsidRPr="0075709B" w:rsidRDefault="003F5953" w:rsidP="0075709B">
            <w:pPr>
              <w:pStyle w:val="DHHStabletext"/>
            </w:pPr>
            <w:r w:rsidRPr="0075709B">
              <w:t>9,765</w:t>
            </w:r>
          </w:p>
        </w:tc>
      </w:tr>
    </w:tbl>
    <w:p w14:paraId="595993BA" w14:textId="77777777" w:rsidR="008A08FD" w:rsidRDefault="008A08FD" w:rsidP="00985332">
      <w:pPr>
        <w:pStyle w:val="DHHSbody"/>
      </w:pPr>
    </w:p>
    <w:tbl>
      <w:tblPr>
        <w:tblW w:w="9922"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F8599A" w14:paraId="14E16472" w14:textId="77777777" w:rsidTr="00235E13">
        <w:trPr>
          <w:trHeight w:val="448"/>
          <w:tblHeader/>
        </w:trPr>
        <w:tc>
          <w:tcPr>
            <w:tcW w:w="4677" w:type="dxa"/>
            <w:shd w:val="clear" w:color="auto" w:fill="auto"/>
            <w:hideMark/>
          </w:tcPr>
          <w:p w14:paraId="46346AF5" w14:textId="77777777" w:rsidR="00F8599A" w:rsidRDefault="00F8599A" w:rsidP="00F8599A">
            <w:pPr>
              <w:pStyle w:val="DHHStablecolhead"/>
            </w:pPr>
            <w:r>
              <w:rPr>
                <w:w w:val="105"/>
              </w:rPr>
              <w:t>Client demographics</w:t>
            </w:r>
          </w:p>
        </w:tc>
        <w:tc>
          <w:tcPr>
            <w:tcW w:w="1559" w:type="dxa"/>
            <w:shd w:val="clear" w:color="auto" w:fill="auto"/>
          </w:tcPr>
          <w:p w14:paraId="63F81730" w14:textId="60105925" w:rsidR="00F8599A" w:rsidRPr="00AE0126" w:rsidRDefault="00F8599A" w:rsidP="00F8599A">
            <w:pPr>
              <w:pStyle w:val="DHHStablecolhead"/>
            </w:pPr>
            <w:r>
              <w:t>Cohort</w:t>
            </w:r>
          </w:p>
        </w:tc>
        <w:tc>
          <w:tcPr>
            <w:tcW w:w="1244" w:type="dxa"/>
            <w:shd w:val="clear" w:color="auto" w:fill="auto"/>
            <w:hideMark/>
          </w:tcPr>
          <w:p w14:paraId="3F9E72A4" w14:textId="6B02DFDF" w:rsidR="00F8599A" w:rsidRDefault="00F8599A" w:rsidP="00F8599A">
            <w:pPr>
              <w:pStyle w:val="DHHStablecolhead"/>
              <w:rPr>
                <w:rFonts w:ascii="Trebuchet MS"/>
              </w:rPr>
            </w:pPr>
            <w:r w:rsidRPr="009F0C73">
              <w:t>2015–16</w:t>
            </w:r>
          </w:p>
        </w:tc>
        <w:tc>
          <w:tcPr>
            <w:tcW w:w="1244" w:type="dxa"/>
            <w:shd w:val="clear" w:color="auto" w:fill="auto"/>
            <w:hideMark/>
          </w:tcPr>
          <w:p w14:paraId="3CA0CE20" w14:textId="6256758F" w:rsidR="00F8599A" w:rsidRDefault="00F8599A" w:rsidP="00F8599A">
            <w:pPr>
              <w:pStyle w:val="DHHStablecolhead"/>
            </w:pPr>
            <w:r w:rsidRPr="009F0C73">
              <w:t>201</w:t>
            </w:r>
            <w:r>
              <w:t>6</w:t>
            </w:r>
            <w:r w:rsidRPr="009F0C73">
              <w:t>–1</w:t>
            </w:r>
            <w:r>
              <w:t>7</w:t>
            </w:r>
          </w:p>
        </w:tc>
        <w:tc>
          <w:tcPr>
            <w:tcW w:w="1198" w:type="dxa"/>
            <w:shd w:val="clear" w:color="auto" w:fill="auto"/>
            <w:hideMark/>
          </w:tcPr>
          <w:p w14:paraId="00108595" w14:textId="6393D1BB" w:rsidR="00F8599A" w:rsidRDefault="00F8599A" w:rsidP="00F8599A">
            <w:pPr>
              <w:pStyle w:val="DHHStablecolhead"/>
            </w:pPr>
            <w:r w:rsidRPr="009F0C73">
              <w:t>201</w:t>
            </w:r>
            <w:r>
              <w:t>7</w:t>
            </w:r>
            <w:r w:rsidRPr="009F0C73">
              <w:t>–1</w:t>
            </w:r>
            <w:r>
              <w:t>8</w:t>
            </w:r>
          </w:p>
        </w:tc>
      </w:tr>
      <w:tr w:rsidR="003F5953" w14:paraId="285676BD" w14:textId="77777777" w:rsidTr="00235E13">
        <w:trPr>
          <w:trHeight w:val="335"/>
        </w:trPr>
        <w:tc>
          <w:tcPr>
            <w:tcW w:w="4677" w:type="dxa"/>
            <w:vMerge w:val="restart"/>
            <w:hideMark/>
          </w:tcPr>
          <w:p w14:paraId="25D72F8D" w14:textId="77777777" w:rsidR="003F5953" w:rsidRPr="008A08FD" w:rsidRDefault="003F5953" w:rsidP="003F5953">
            <w:pPr>
              <w:pStyle w:val="DHHStabletext"/>
            </w:pPr>
            <w:r w:rsidRPr="008A08FD">
              <w:t>Gender (%)</w:t>
            </w:r>
          </w:p>
        </w:tc>
        <w:tc>
          <w:tcPr>
            <w:tcW w:w="1559" w:type="dxa"/>
            <w:hideMark/>
          </w:tcPr>
          <w:p w14:paraId="4B47F5F4" w14:textId="77777777" w:rsidR="003F5953" w:rsidRPr="008A08FD" w:rsidRDefault="003F5953" w:rsidP="003F5953">
            <w:pPr>
              <w:pStyle w:val="DHHStabletext"/>
            </w:pPr>
            <w:r w:rsidRPr="008A08FD">
              <w:t>Female</w:t>
            </w:r>
          </w:p>
        </w:tc>
        <w:tc>
          <w:tcPr>
            <w:tcW w:w="1244" w:type="dxa"/>
            <w:hideMark/>
          </w:tcPr>
          <w:p w14:paraId="22B36F14" w14:textId="59726912" w:rsidR="003F5953" w:rsidRPr="0075709B" w:rsidRDefault="003F5953" w:rsidP="0075709B">
            <w:pPr>
              <w:pStyle w:val="DHHStabletext"/>
            </w:pPr>
            <w:r w:rsidRPr="0075709B">
              <w:t>55.4%</w:t>
            </w:r>
          </w:p>
        </w:tc>
        <w:tc>
          <w:tcPr>
            <w:tcW w:w="1244" w:type="dxa"/>
            <w:hideMark/>
          </w:tcPr>
          <w:p w14:paraId="58B91926" w14:textId="49699652" w:rsidR="003F5953" w:rsidRPr="0075709B" w:rsidRDefault="003F5953" w:rsidP="0075709B">
            <w:pPr>
              <w:pStyle w:val="DHHStabletext"/>
            </w:pPr>
            <w:r w:rsidRPr="0075709B">
              <w:t>56.2%</w:t>
            </w:r>
          </w:p>
        </w:tc>
        <w:tc>
          <w:tcPr>
            <w:tcW w:w="1198" w:type="dxa"/>
            <w:hideMark/>
          </w:tcPr>
          <w:p w14:paraId="50069A33" w14:textId="324B1612" w:rsidR="003F5953" w:rsidRPr="0075709B" w:rsidRDefault="003F5953" w:rsidP="0075709B">
            <w:pPr>
              <w:pStyle w:val="DHHStabletext"/>
            </w:pPr>
            <w:r w:rsidRPr="0075709B">
              <w:t>57.3%</w:t>
            </w:r>
          </w:p>
        </w:tc>
      </w:tr>
      <w:tr w:rsidR="003F5953" w14:paraId="7E4A2E8D" w14:textId="77777777" w:rsidTr="00235E13">
        <w:trPr>
          <w:trHeight w:val="330"/>
        </w:trPr>
        <w:tc>
          <w:tcPr>
            <w:tcW w:w="4677" w:type="dxa"/>
            <w:vMerge/>
            <w:vAlign w:val="center"/>
            <w:hideMark/>
          </w:tcPr>
          <w:p w14:paraId="1815ECD5" w14:textId="77777777" w:rsidR="003F5953" w:rsidRPr="008A08FD" w:rsidRDefault="003F5953" w:rsidP="003F5953">
            <w:pPr>
              <w:pStyle w:val="DHHStabletext"/>
              <w:rPr>
                <w:rFonts w:eastAsia="Trebuchet MS"/>
              </w:rPr>
            </w:pPr>
          </w:p>
        </w:tc>
        <w:tc>
          <w:tcPr>
            <w:tcW w:w="1559" w:type="dxa"/>
            <w:hideMark/>
          </w:tcPr>
          <w:p w14:paraId="1C2B5563" w14:textId="77777777" w:rsidR="003F5953" w:rsidRPr="008A08FD" w:rsidRDefault="003F5953" w:rsidP="003F5953">
            <w:pPr>
              <w:pStyle w:val="DHHStabletext"/>
            </w:pPr>
            <w:r w:rsidRPr="008A08FD">
              <w:t>Male</w:t>
            </w:r>
          </w:p>
        </w:tc>
        <w:tc>
          <w:tcPr>
            <w:tcW w:w="1244" w:type="dxa"/>
            <w:hideMark/>
          </w:tcPr>
          <w:p w14:paraId="45777EAC" w14:textId="1595F316" w:rsidR="003F5953" w:rsidRPr="0075709B" w:rsidRDefault="003F5953" w:rsidP="0075709B">
            <w:pPr>
              <w:pStyle w:val="DHHStabletext"/>
            </w:pPr>
            <w:r w:rsidRPr="0075709B">
              <w:t>44.0%</w:t>
            </w:r>
          </w:p>
        </w:tc>
        <w:tc>
          <w:tcPr>
            <w:tcW w:w="1244" w:type="dxa"/>
            <w:hideMark/>
          </w:tcPr>
          <w:p w14:paraId="14435FCF" w14:textId="42E886E8" w:rsidR="003F5953" w:rsidRPr="0075709B" w:rsidRDefault="003F5953" w:rsidP="0075709B">
            <w:pPr>
              <w:pStyle w:val="DHHStabletext"/>
            </w:pPr>
            <w:r w:rsidRPr="0075709B">
              <w:t>43.2%</w:t>
            </w:r>
          </w:p>
        </w:tc>
        <w:tc>
          <w:tcPr>
            <w:tcW w:w="1198" w:type="dxa"/>
            <w:hideMark/>
          </w:tcPr>
          <w:p w14:paraId="77BF3B13" w14:textId="385729B2" w:rsidR="003F5953" w:rsidRPr="0075709B" w:rsidRDefault="003F5953" w:rsidP="0075709B">
            <w:pPr>
              <w:pStyle w:val="DHHStabletext"/>
            </w:pPr>
            <w:r w:rsidRPr="0075709B">
              <w:t>41.9%</w:t>
            </w:r>
          </w:p>
        </w:tc>
      </w:tr>
      <w:tr w:rsidR="003F5953" w14:paraId="7DC6C9FB" w14:textId="77777777" w:rsidTr="00235E13">
        <w:trPr>
          <w:trHeight w:val="538"/>
        </w:trPr>
        <w:tc>
          <w:tcPr>
            <w:tcW w:w="4677" w:type="dxa"/>
            <w:vMerge/>
            <w:vAlign w:val="center"/>
            <w:hideMark/>
          </w:tcPr>
          <w:p w14:paraId="7EE8D1BA" w14:textId="77777777" w:rsidR="003F5953" w:rsidRPr="008A08FD" w:rsidRDefault="003F5953" w:rsidP="003F5953">
            <w:pPr>
              <w:pStyle w:val="DHHStabletext"/>
              <w:rPr>
                <w:rFonts w:eastAsia="Trebuchet MS"/>
              </w:rPr>
            </w:pPr>
          </w:p>
        </w:tc>
        <w:tc>
          <w:tcPr>
            <w:tcW w:w="1559" w:type="dxa"/>
            <w:hideMark/>
          </w:tcPr>
          <w:p w14:paraId="44C2CC2C" w14:textId="67578681" w:rsidR="003F5953" w:rsidRPr="008A08FD" w:rsidRDefault="003F5953" w:rsidP="003F5953">
            <w:pPr>
              <w:pStyle w:val="DHHStabletext"/>
            </w:pPr>
            <w:r w:rsidRPr="008A08FD">
              <w:t>Other/unknown</w:t>
            </w:r>
          </w:p>
        </w:tc>
        <w:tc>
          <w:tcPr>
            <w:tcW w:w="1244" w:type="dxa"/>
            <w:hideMark/>
          </w:tcPr>
          <w:p w14:paraId="001F9AB7" w14:textId="027E8C44" w:rsidR="003F5953" w:rsidRPr="0075709B" w:rsidRDefault="003F5953" w:rsidP="0075709B">
            <w:pPr>
              <w:pStyle w:val="DHHStabletext"/>
            </w:pPr>
            <w:r w:rsidRPr="0075709B">
              <w:t>0.6%</w:t>
            </w:r>
          </w:p>
        </w:tc>
        <w:tc>
          <w:tcPr>
            <w:tcW w:w="1244" w:type="dxa"/>
            <w:hideMark/>
          </w:tcPr>
          <w:p w14:paraId="577F1314" w14:textId="2C81E993" w:rsidR="003F5953" w:rsidRPr="0075709B" w:rsidRDefault="003F5953" w:rsidP="0075709B">
            <w:pPr>
              <w:pStyle w:val="DHHStabletext"/>
            </w:pPr>
            <w:r w:rsidRPr="0075709B">
              <w:t>0.6%</w:t>
            </w:r>
          </w:p>
        </w:tc>
        <w:tc>
          <w:tcPr>
            <w:tcW w:w="1198" w:type="dxa"/>
            <w:hideMark/>
          </w:tcPr>
          <w:p w14:paraId="410BD3BD" w14:textId="5601AC22" w:rsidR="003F5953" w:rsidRPr="0075709B" w:rsidRDefault="003F5953" w:rsidP="0075709B">
            <w:pPr>
              <w:pStyle w:val="DHHStabletext"/>
            </w:pPr>
            <w:r w:rsidRPr="0075709B">
              <w:t>0.7%</w:t>
            </w:r>
          </w:p>
        </w:tc>
      </w:tr>
      <w:tr w:rsidR="003F5953" w14:paraId="35780748" w14:textId="77777777" w:rsidTr="00235E13">
        <w:trPr>
          <w:trHeight w:val="330"/>
        </w:trPr>
        <w:tc>
          <w:tcPr>
            <w:tcW w:w="4677" w:type="dxa"/>
            <w:vMerge w:val="restart"/>
            <w:hideMark/>
          </w:tcPr>
          <w:p w14:paraId="4E3F9798" w14:textId="77777777" w:rsidR="003F5953" w:rsidRPr="008A08FD" w:rsidRDefault="003F5953" w:rsidP="003F5953">
            <w:pPr>
              <w:pStyle w:val="DHHStabletext"/>
            </w:pPr>
            <w:r w:rsidRPr="008A08FD">
              <w:t>Age group (%)</w:t>
            </w:r>
          </w:p>
        </w:tc>
        <w:tc>
          <w:tcPr>
            <w:tcW w:w="1559" w:type="dxa"/>
            <w:hideMark/>
          </w:tcPr>
          <w:p w14:paraId="78A79455" w14:textId="77777777" w:rsidR="003F5953" w:rsidRPr="008A08FD" w:rsidRDefault="003F5953" w:rsidP="003F5953">
            <w:pPr>
              <w:pStyle w:val="DHHStabletext"/>
            </w:pPr>
            <w:r w:rsidRPr="008A08FD">
              <w:t>0–4</w:t>
            </w:r>
          </w:p>
        </w:tc>
        <w:tc>
          <w:tcPr>
            <w:tcW w:w="1244" w:type="dxa"/>
            <w:hideMark/>
          </w:tcPr>
          <w:p w14:paraId="4FF27338" w14:textId="354397C5" w:rsidR="003F5953" w:rsidRPr="0075709B" w:rsidRDefault="003F5953" w:rsidP="0075709B">
            <w:pPr>
              <w:pStyle w:val="DHHStabletext"/>
            </w:pPr>
            <w:r w:rsidRPr="0075709B">
              <w:t>0.3%</w:t>
            </w:r>
          </w:p>
        </w:tc>
        <w:tc>
          <w:tcPr>
            <w:tcW w:w="1244" w:type="dxa"/>
            <w:hideMark/>
          </w:tcPr>
          <w:p w14:paraId="233B0C61" w14:textId="2535D8CF" w:rsidR="003F5953" w:rsidRPr="0075709B" w:rsidRDefault="003F5953" w:rsidP="0075709B">
            <w:pPr>
              <w:pStyle w:val="DHHStabletext"/>
            </w:pPr>
            <w:r w:rsidRPr="0075709B">
              <w:t>0.3%</w:t>
            </w:r>
          </w:p>
        </w:tc>
        <w:tc>
          <w:tcPr>
            <w:tcW w:w="1198" w:type="dxa"/>
            <w:hideMark/>
          </w:tcPr>
          <w:p w14:paraId="2B56A155" w14:textId="19B21085" w:rsidR="003F5953" w:rsidRPr="0075709B" w:rsidRDefault="003F5953" w:rsidP="0075709B">
            <w:pPr>
              <w:pStyle w:val="DHHStabletext"/>
            </w:pPr>
            <w:r w:rsidRPr="0075709B">
              <w:t>0.3%</w:t>
            </w:r>
          </w:p>
        </w:tc>
      </w:tr>
      <w:tr w:rsidR="003F5953" w14:paraId="03B8BB73" w14:textId="77777777" w:rsidTr="00235E13">
        <w:trPr>
          <w:trHeight w:val="330"/>
        </w:trPr>
        <w:tc>
          <w:tcPr>
            <w:tcW w:w="4677" w:type="dxa"/>
            <w:vMerge/>
            <w:vAlign w:val="center"/>
            <w:hideMark/>
          </w:tcPr>
          <w:p w14:paraId="58BC20FC" w14:textId="77777777" w:rsidR="003F5953" w:rsidRPr="008A08FD" w:rsidRDefault="003F5953" w:rsidP="003F5953">
            <w:pPr>
              <w:pStyle w:val="DHHStabletext"/>
              <w:rPr>
                <w:rFonts w:eastAsia="Trebuchet MS"/>
              </w:rPr>
            </w:pPr>
          </w:p>
        </w:tc>
        <w:tc>
          <w:tcPr>
            <w:tcW w:w="1559" w:type="dxa"/>
            <w:hideMark/>
          </w:tcPr>
          <w:p w14:paraId="444A367E" w14:textId="77777777" w:rsidR="003F5953" w:rsidRPr="008A08FD" w:rsidRDefault="003F5953" w:rsidP="003F5953">
            <w:pPr>
              <w:pStyle w:val="DHHStabletext"/>
            </w:pPr>
            <w:r w:rsidRPr="008A08FD">
              <w:t>5–14</w:t>
            </w:r>
          </w:p>
        </w:tc>
        <w:tc>
          <w:tcPr>
            <w:tcW w:w="1244" w:type="dxa"/>
            <w:hideMark/>
          </w:tcPr>
          <w:p w14:paraId="6E195C88" w14:textId="60EC0605" w:rsidR="003F5953" w:rsidRPr="0075709B" w:rsidRDefault="003F5953" w:rsidP="0075709B">
            <w:pPr>
              <w:pStyle w:val="DHHStabletext"/>
            </w:pPr>
            <w:r w:rsidRPr="0075709B">
              <w:t>1.6%</w:t>
            </w:r>
          </w:p>
        </w:tc>
        <w:tc>
          <w:tcPr>
            <w:tcW w:w="1244" w:type="dxa"/>
            <w:hideMark/>
          </w:tcPr>
          <w:p w14:paraId="5DFFC8A9" w14:textId="4979B375" w:rsidR="003F5953" w:rsidRPr="0075709B" w:rsidRDefault="003F5953" w:rsidP="0075709B">
            <w:pPr>
              <w:pStyle w:val="DHHStabletext"/>
            </w:pPr>
            <w:r w:rsidRPr="0075709B">
              <w:t>1.7%</w:t>
            </w:r>
          </w:p>
        </w:tc>
        <w:tc>
          <w:tcPr>
            <w:tcW w:w="1198" w:type="dxa"/>
            <w:hideMark/>
          </w:tcPr>
          <w:p w14:paraId="38C1F3F4" w14:textId="115544C3" w:rsidR="003F5953" w:rsidRPr="0075709B" w:rsidRDefault="003F5953" w:rsidP="0075709B">
            <w:pPr>
              <w:pStyle w:val="DHHStabletext"/>
            </w:pPr>
            <w:r w:rsidRPr="0075709B">
              <w:t>2.1%</w:t>
            </w:r>
          </w:p>
        </w:tc>
      </w:tr>
      <w:tr w:rsidR="003F5953" w14:paraId="43BF21CD" w14:textId="77777777" w:rsidTr="00235E13">
        <w:trPr>
          <w:trHeight w:val="330"/>
        </w:trPr>
        <w:tc>
          <w:tcPr>
            <w:tcW w:w="4677" w:type="dxa"/>
            <w:vMerge/>
            <w:vAlign w:val="center"/>
            <w:hideMark/>
          </w:tcPr>
          <w:p w14:paraId="60FBDC27" w14:textId="77777777" w:rsidR="003F5953" w:rsidRPr="008A08FD" w:rsidRDefault="003F5953" w:rsidP="003F5953">
            <w:pPr>
              <w:pStyle w:val="DHHStabletext"/>
              <w:rPr>
                <w:rFonts w:eastAsia="Trebuchet MS"/>
              </w:rPr>
            </w:pPr>
          </w:p>
        </w:tc>
        <w:tc>
          <w:tcPr>
            <w:tcW w:w="1559" w:type="dxa"/>
            <w:hideMark/>
          </w:tcPr>
          <w:p w14:paraId="3939B8E8" w14:textId="77777777" w:rsidR="003F5953" w:rsidRPr="008A08FD" w:rsidRDefault="003F5953" w:rsidP="003F5953">
            <w:pPr>
              <w:pStyle w:val="DHHStabletext"/>
            </w:pPr>
            <w:r w:rsidRPr="008A08FD">
              <w:t>15–24</w:t>
            </w:r>
          </w:p>
        </w:tc>
        <w:tc>
          <w:tcPr>
            <w:tcW w:w="1244" w:type="dxa"/>
            <w:hideMark/>
          </w:tcPr>
          <w:p w14:paraId="767775F8" w14:textId="7C9C1F71" w:rsidR="003F5953" w:rsidRPr="0075709B" w:rsidRDefault="003F5953" w:rsidP="0075709B">
            <w:pPr>
              <w:pStyle w:val="DHHStabletext"/>
            </w:pPr>
            <w:r w:rsidRPr="0075709B">
              <w:t>13.3%</w:t>
            </w:r>
          </w:p>
        </w:tc>
        <w:tc>
          <w:tcPr>
            <w:tcW w:w="1244" w:type="dxa"/>
            <w:hideMark/>
          </w:tcPr>
          <w:p w14:paraId="5FF59531" w14:textId="1E80950A" w:rsidR="003F5953" w:rsidRPr="0075709B" w:rsidRDefault="003F5953" w:rsidP="0075709B">
            <w:pPr>
              <w:pStyle w:val="DHHStabletext"/>
            </w:pPr>
            <w:r w:rsidRPr="0075709B">
              <w:t>13.6%</w:t>
            </w:r>
          </w:p>
        </w:tc>
        <w:tc>
          <w:tcPr>
            <w:tcW w:w="1198" w:type="dxa"/>
            <w:hideMark/>
          </w:tcPr>
          <w:p w14:paraId="6B695A6E" w14:textId="17AA5D5F" w:rsidR="003F5953" w:rsidRPr="0075709B" w:rsidRDefault="003F5953" w:rsidP="0075709B">
            <w:pPr>
              <w:pStyle w:val="DHHStabletext"/>
            </w:pPr>
            <w:r w:rsidRPr="0075709B">
              <w:t>13.1%</w:t>
            </w:r>
          </w:p>
        </w:tc>
      </w:tr>
      <w:tr w:rsidR="003F5953" w14:paraId="4F3F56AD" w14:textId="77777777" w:rsidTr="00235E13">
        <w:trPr>
          <w:trHeight w:val="330"/>
        </w:trPr>
        <w:tc>
          <w:tcPr>
            <w:tcW w:w="4677" w:type="dxa"/>
            <w:vMerge/>
            <w:vAlign w:val="center"/>
            <w:hideMark/>
          </w:tcPr>
          <w:p w14:paraId="1680886C" w14:textId="77777777" w:rsidR="003F5953" w:rsidRPr="008A08FD" w:rsidRDefault="003F5953" w:rsidP="003F5953">
            <w:pPr>
              <w:pStyle w:val="DHHStabletext"/>
              <w:rPr>
                <w:rFonts w:eastAsia="Trebuchet MS"/>
              </w:rPr>
            </w:pPr>
          </w:p>
        </w:tc>
        <w:tc>
          <w:tcPr>
            <w:tcW w:w="1559" w:type="dxa"/>
            <w:hideMark/>
          </w:tcPr>
          <w:p w14:paraId="5BFE4DA2" w14:textId="77777777" w:rsidR="003F5953" w:rsidRPr="008A08FD" w:rsidRDefault="003F5953" w:rsidP="003F5953">
            <w:pPr>
              <w:pStyle w:val="DHHStabletext"/>
            </w:pPr>
            <w:r w:rsidRPr="008A08FD">
              <w:t>25–34</w:t>
            </w:r>
          </w:p>
        </w:tc>
        <w:tc>
          <w:tcPr>
            <w:tcW w:w="1244" w:type="dxa"/>
            <w:hideMark/>
          </w:tcPr>
          <w:p w14:paraId="45F514BF" w14:textId="33882092" w:rsidR="003F5953" w:rsidRPr="0075709B" w:rsidRDefault="003F5953" w:rsidP="0075709B">
            <w:pPr>
              <w:pStyle w:val="DHHStabletext"/>
            </w:pPr>
            <w:r w:rsidRPr="0075709B">
              <w:t>19.1%</w:t>
            </w:r>
          </w:p>
        </w:tc>
        <w:tc>
          <w:tcPr>
            <w:tcW w:w="1244" w:type="dxa"/>
            <w:hideMark/>
          </w:tcPr>
          <w:p w14:paraId="6629B582" w14:textId="750E6E37" w:rsidR="003F5953" w:rsidRPr="0075709B" w:rsidRDefault="003F5953" w:rsidP="0075709B">
            <w:pPr>
              <w:pStyle w:val="DHHStabletext"/>
            </w:pPr>
            <w:r w:rsidRPr="0075709B">
              <w:t>19.3%</w:t>
            </w:r>
          </w:p>
        </w:tc>
        <w:tc>
          <w:tcPr>
            <w:tcW w:w="1198" w:type="dxa"/>
            <w:hideMark/>
          </w:tcPr>
          <w:p w14:paraId="6925190F" w14:textId="3AB7BEC1" w:rsidR="003F5953" w:rsidRPr="0075709B" w:rsidRDefault="003F5953" w:rsidP="0075709B">
            <w:pPr>
              <w:pStyle w:val="DHHStabletext"/>
            </w:pPr>
            <w:r w:rsidRPr="0075709B">
              <w:t>18.8%</w:t>
            </w:r>
          </w:p>
        </w:tc>
      </w:tr>
      <w:tr w:rsidR="003F5953" w14:paraId="67BD40B9" w14:textId="77777777" w:rsidTr="00235E13">
        <w:trPr>
          <w:trHeight w:val="327"/>
        </w:trPr>
        <w:tc>
          <w:tcPr>
            <w:tcW w:w="4677" w:type="dxa"/>
            <w:vMerge/>
            <w:vAlign w:val="center"/>
            <w:hideMark/>
          </w:tcPr>
          <w:p w14:paraId="4BECF8D9" w14:textId="77777777" w:rsidR="003F5953" w:rsidRPr="008A08FD" w:rsidRDefault="003F5953" w:rsidP="003F5953">
            <w:pPr>
              <w:pStyle w:val="DHHStabletext"/>
              <w:rPr>
                <w:rFonts w:eastAsia="Trebuchet MS"/>
              </w:rPr>
            </w:pPr>
          </w:p>
        </w:tc>
        <w:tc>
          <w:tcPr>
            <w:tcW w:w="1559" w:type="dxa"/>
            <w:hideMark/>
          </w:tcPr>
          <w:p w14:paraId="5D137A0B" w14:textId="77777777" w:rsidR="003F5953" w:rsidRPr="008A08FD" w:rsidRDefault="003F5953" w:rsidP="003F5953">
            <w:pPr>
              <w:pStyle w:val="DHHStabletext"/>
            </w:pPr>
            <w:r w:rsidRPr="008A08FD">
              <w:t>35–44</w:t>
            </w:r>
          </w:p>
        </w:tc>
        <w:tc>
          <w:tcPr>
            <w:tcW w:w="1244" w:type="dxa"/>
            <w:hideMark/>
          </w:tcPr>
          <w:p w14:paraId="4F3DD056" w14:textId="2CFE65A8" w:rsidR="003F5953" w:rsidRPr="0075709B" w:rsidRDefault="003F5953" w:rsidP="0075709B">
            <w:pPr>
              <w:pStyle w:val="DHHStabletext"/>
            </w:pPr>
            <w:r w:rsidRPr="0075709B">
              <w:t>24.1%</w:t>
            </w:r>
          </w:p>
        </w:tc>
        <w:tc>
          <w:tcPr>
            <w:tcW w:w="1244" w:type="dxa"/>
            <w:hideMark/>
          </w:tcPr>
          <w:p w14:paraId="116E5301" w14:textId="1770CE64" w:rsidR="003F5953" w:rsidRPr="0075709B" w:rsidRDefault="003F5953" w:rsidP="0075709B">
            <w:pPr>
              <w:pStyle w:val="DHHStabletext"/>
            </w:pPr>
            <w:r w:rsidRPr="0075709B">
              <w:t>23.3%</w:t>
            </w:r>
          </w:p>
        </w:tc>
        <w:tc>
          <w:tcPr>
            <w:tcW w:w="1198" w:type="dxa"/>
            <w:hideMark/>
          </w:tcPr>
          <w:p w14:paraId="50730615" w14:textId="7451852F" w:rsidR="003F5953" w:rsidRPr="0075709B" w:rsidRDefault="003F5953" w:rsidP="0075709B">
            <w:pPr>
              <w:pStyle w:val="DHHStabletext"/>
            </w:pPr>
            <w:r w:rsidRPr="0075709B">
              <w:t>22.6%</w:t>
            </w:r>
          </w:p>
        </w:tc>
      </w:tr>
      <w:tr w:rsidR="003F5953" w14:paraId="3FB14A8D" w14:textId="77777777" w:rsidTr="00235E13">
        <w:trPr>
          <w:trHeight w:val="327"/>
        </w:trPr>
        <w:tc>
          <w:tcPr>
            <w:tcW w:w="4677" w:type="dxa"/>
            <w:vMerge/>
            <w:vAlign w:val="center"/>
            <w:hideMark/>
          </w:tcPr>
          <w:p w14:paraId="6268E507" w14:textId="77777777" w:rsidR="003F5953" w:rsidRPr="008A08FD" w:rsidRDefault="003F5953" w:rsidP="003F5953">
            <w:pPr>
              <w:pStyle w:val="DHHStabletext"/>
              <w:rPr>
                <w:rFonts w:eastAsia="Trebuchet MS"/>
              </w:rPr>
            </w:pPr>
          </w:p>
        </w:tc>
        <w:tc>
          <w:tcPr>
            <w:tcW w:w="1559" w:type="dxa"/>
            <w:hideMark/>
          </w:tcPr>
          <w:p w14:paraId="6D2725FE" w14:textId="77777777" w:rsidR="003F5953" w:rsidRPr="008A08FD" w:rsidRDefault="003F5953" w:rsidP="003F5953">
            <w:pPr>
              <w:pStyle w:val="DHHStabletext"/>
            </w:pPr>
            <w:r w:rsidRPr="008A08FD">
              <w:t>45–54</w:t>
            </w:r>
          </w:p>
        </w:tc>
        <w:tc>
          <w:tcPr>
            <w:tcW w:w="1244" w:type="dxa"/>
            <w:hideMark/>
          </w:tcPr>
          <w:p w14:paraId="11E9630F" w14:textId="261D6508" w:rsidR="003F5953" w:rsidRPr="0075709B" w:rsidRDefault="003F5953" w:rsidP="0075709B">
            <w:pPr>
              <w:pStyle w:val="DHHStabletext"/>
            </w:pPr>
            <w:r w:rsidRPr="0075709B">
              <w:t>23.0%</w:t>
            </w:r>
          </w:p>
        </w:tc>
        <w:tc>
          <w:tcPr>
            <w:tcW w:w="1244" w:type="dxa"/>
            <w:hideMark/>
          </w:tcPr>
          <w:p w14:paraId="4189EB93" w14:textId="7DFF3918" w:rsidR="003F5953" w:rsidRPr="0075709B" w:rsidRDefault="003F5953" w:rsidP="0075709B">
            <w:pPr>
              <w:pStyle w:val="DHHStabletext"/>
            </w:pPr>
            <w:r w:rsidRPr="0075709B">
              <w:t>23.5%</w:t>
            </w:r>
          </w:p>
        </w:tc>
        <w:tc>
          <w:tcPr>
            <w:tcW w:w="1198" w:type="dxa"/>
            <w:hideMark/>
          </w:tcPr>
          <w:p w14:paraId="631F37EC" w14:textId="46ECF7BE" w:rsidR="003F5953" w:rsidRPr="0075709B" w:rsidRDefault="003F5953" w:rsidP="0075709B">
            <w:pPr>
              <w:pStyle w:val="DHHStabletext"/>
            </w:pPr>
            <w:r w:rsidRPr="0075709B">
              <w:t>24.7%</w:t>
            </w:r>
          </w:p>
        </w:tc>
      </w:tr>
      <w:tr w:rsidR="003F5953" w14:paraId="21879A08" w14:textId="77777777" w:rsidTr="00235E13">
        <w:trPr>
          <w:trHeight w:val="330"/>
        </w:trPr>
        <w:tc>
          <w:tcPr>
            <w:tcW w:w="4677" w:type="dxa"/>
            <w:vMerge/>
            <w:vAlign w:val="center"/>
            <w:hideMark/>
          </w:tcPr>
          <w:p w14:paraId="0F85D9B1" w14:textId="77777777" w:rsidR="003F5953" w:rsidRPr="008A08FD" w:rsidRDefault="003F5953" w:rsidP="003F5953">
            <w:pPr>
              <w:pStyle w:val="DHHStabletext"/>
              <w:rPr>
                <w:rFonts w:eastAsia="Trebuchet MS"/>
              </w:rPr>
            </w:pPr>
          </w:p>
        </w:tc>
        <w:tc>
          <w:tcPr>
            <w:tcW w:w="1559" w:type="dxa"/>
            <w:hideMark/>
          </w:tcPr>
          <w:p w14:paraId="1CFD264E" w14:textId="77777777" w:rsidR="003F5953" w:rsidRPr="008A08FD" w:rsidRDefault="003F5953" w:rsidP="003F5953">
            <w:pPr>
              <w:pStyle w:val="DHHStabletext"/>
            </w:pPr>
            <w:r w:rsidRPr="008A08FD">
              <w:t>55–64</w:t>
            </w:r>
          </w:p>
        </w:tc>
        <w:tc>
          <w:tcPr>
            <w:tcW w:w="1244" w:type="dxa"/>
            <w:hideMark/>
          </w:tcPr>
          <w:p w14:paraId="36B3515B" w14:textId="05E2932D" w:rsidR="003F5953" w:rsidRPr="0075709B" w:rsidRDefault="003F5953" w:rsidP="0075709B">
            <w:pPr>
              <w:pStyle w:val="DHHStabletext"/>
            </w:pPr>
            <w:r w:rsidRPr="0075709B">
              <w:t>13.4%</w:t>
            </w:r>
          </w:p>
        </w:tc>
        <w:tc>
          <w:tcPr>
            <w:tcW w:w="1244" w:type="dxa"/>
            <w:hideMark/>
          </w:tcPr>
          <w:p w14:paraId="1844F3CA" w14:textId="692968E5" w:rsidR="003F5953" w:rsidRPr="0075709B" w:rsidRDefault="003F5953" w:rsidP="0075709B">
            <w:pPr>
              <w:pStyle w:val="DHHStabletext"/>
            </w:pPr>
            <w:r w:rsidRPr="0075709B">
              <w:t>14.0%</w:t>
            </w:r>
          </w:p>
        </w:tc>
        <w:tc>
          <w:tcPr>
            <w:tcW w:w="1198" w:type="dxa"/>
            <w:hideMark/>
          </w:tcPr>
          <w:p w14:paraId="28495D28" w14:textId="3BF370FE" w:rsidR="003F5953" w:rsidRPr="0075709B" w:rsidRDefault="003F5953" w:rsidP="0075709B">
            <w:pPr>
              <w:pStyle w:val="DHHStabletext"/>
            </w:pPr>
            <w:r w:rsidRPr="0075709B">
              <w:t>14.9%</w:t>
            </w:r>
          </w:p>
        </w:tc>
      </w:tr>
      <w:tr w:rsidR="003F5953" w14:paraId="11986B64" w14:textId="77777777" w:rsidTr="00235E13">
        <w:trPr>
          <w:trHeight w:val="330"/>
        </w:trPr>
        <w:tc>
          <w:tcPr>
            <w:tcW w:w="4677" w:type="dxa"/>
            <w:vMerge/>
            <w:vAlign w:val="center"/>
            <w:hideMark/>
          </w:tcPr>
          <w:p w14:paraId="6A2CD7DB" w14:textId="77777777" w:rsidR="003F5953" w:rsidRPr="008A08FD" w:rsidRDefault="003F5953" w:rsidP="003F5953">
            <w:pPr>
              <w:pStyle w:val="DHHStabletext"/>
              <w:rPr>
                <w:rFonts w:eastAsia="Trebuchet MS"/>
              </w:rPr>
            </w:pPr>
          </w:p>
        </w:tc>
        <w:tc>
          <w:tcPr>
            <w:tcW w:w="1559" w:type="dxa"/>
            <w:hideMark/>
          </w:tcPr>
          <w:p w14:paraId="5561DA2D" w14:textId="77777777" w:rsidR="003F5953" w:rsidRPr="008A08FD" w:rsidRDefault="003F5953" w:rsidP="003F5953">
            <w:pPr>
              <w:pStyle w:val="DHHStabletext"/>
            </w:pPr>
            <w:r w:rsidRPr="008A08FD">
              <w:t>65–74</w:t>
            </w:r>
          </w:p>
        </w:tc>
        <w:tc>
          <w:tcPr>
            <w:tcW w:w="1244" w:type="dxa"/>
            <w:hideMark/>
          </w:tcPr>
          <w:p w14:paraId="25FBE696" w14:textId="6902067A" w:rsidR="003F5953" w:rsidRPr="0075709B" w:rsidRDefault="003F5953" w:rsidP="0075709B">
            <w:pPr>
              <w:pStyle w:val="DHHStabletext"/>
            </w:pPr>
            <w:r w:rsidRPr="0075709B">
              <w:t>1.8%</w:t>
            </w:r>
          </w:p>
        </w:tc>
        <w:tc>
          <w:tcPr>
            <w:tcW w:w="1244" w:type="dxa"/>
            <w:hideMark/>
          </w:tcPr>
          <w:p w14:paraId="4BC9D418" w14:textId="04DC883C" w:rsidR="003F5953" w:rsidRPr="0075709B" w:rsidRDefault="003F5953" w:rsidP="0075709B">
            <w:pPr>
              <w:pStyle w:val="DHHStabletext"/>
            </w:pPr>
            <w:r w:rsidRPr="0075709B">
              <w:t>1.9%</w:t>
            </w:r>
          </w:p>
        </w:tc>
        <w:tc>
          <w:tcPr>
            <w:tcW w:w="1198" w:type="dxa"/>
            <w:hideMark/>
          </w:tcPr>
          <w:p w14:paraId="18DA8120" w14:textId="4503D622" w:rsidR="003F5953" w:rsidRPr="0075709B" w:rsidRDefault="003F5953" w:rsidP="0075709B">
            <w:pPr>
              <w:pStyle w:val="DHHStabletext"/>
            </w:pPr>
            <w:r w:rsidRPr="0075709B">
              <w:t>1.9%</w:t>
            </w:r>
          </w:p>
        </w:tc>
      </w:tr>
      <w:tr w:rsidR="003F5953" w14:paraId="5497262A" w14:textId="77777777" w:rsidTr="00235E13">
        <w:trPr>
          <w:trHeight w:val="330"/>
        </w:trPr>
        <w:tc>
          <w:tcPr>
            <w:tcW w:w="4677" w:type="dxa"/>
            <w:vMerge/>
            <w:vAlign w:val="center"/>
            <w:hideMark/>
          </w:tcPr>
          <w:p w14:paraId="1F5C88BD" w14:textId="77777777" w:rsidR="003F5953" w:rsidRPr="008A08FD" w:rsidRDefault="003F5953" w:rsidP="003F5953">
            <w:pPr>
              <w:pStyle w:val="DHHStabletext"/>
              <w:rPr>
                <w:rFonts w:eastAsia="Trebuchet MS"/>
              </w:rPr>
            </w:pPr>
          </w:p>
        </w:tc>
        <w:tc>
          <w:tcPr>
            <w:tcW w:w="1559" w:type="dxa"/>
            <w:hideMark/>
          </w:tcPr>
          <w:p w14:paraId="3BF670FC" w14:textId="77777777" w:rsidR="003F5953" w:rsidRPr="008A08FD" w:rsidRDefault="003F5953" w:rsidP="003F5953">
            <w:pPr>
              <w:pStyle w:val="DHHStabletext"/>
            </w:pPr>
            <w:r w:rsidRPr="008A08FD">
              <w:t>75–84</w:t>
            </w:r>
          </w:p>
        </w:tc>
        <w:tc>
          <w:tcPr>
            <w:tcW w:w="1244" w:type="dxa"/>
            <w:hideMark/>
          </w:tcPr>
          <w:p w14:paraId="78594178" w14:textId="4BBF3FDE" w:rsidR="003F5953" w:rsidRPr="0075709B" w:rsidRDefault="003F5953" w:rsidP="0075709B">
            <w:pPr>
              <w:pStyle w:val="DHHStabletext"/>
            </w:pPr>
            <w:r w:rsidRPr="0075709B">
              <w:t>0.3%</w:t>
            </w:r>
          </w:p>
        </w:tc>
        <w:tc>
          <w:tcPr>
            <w:tcW w:w="1244" w:type="dxa"/>
            <w:hideMark/>
          </w:tcPr>
          <w:p w14:paraId="13319534" w14:textId="7D61FCB4" w:rsidR="003F5953" w:rsidRPr="0075709B" w:rsidRDefault="003F5953" w:rsidP="0075709B">
            <w:pPr>
              <w:pStyle w:val="DHHStabletext"/>
            </w:pPr>
            <w:r w:rsidRPr="0075709B">
              <w:t>0.3%</w:t>
            </w:r>
          </w:p>
        </w:tc>
        <w:tc>
          <w:tcPr>
            <w:tcW w:w="1198" w:type="dxa"/>
            <w:hideMark/>
          </w:tcPr>
          <w:p w14:paraId="7035A210" w14:textId="317AE4D9" w:rsidR="003F5953" w:rsidRPr="0075709B" w:rsidRDefault="003F5953" w:rsidP="0075709B">
            <w:pPr>
              <w:pStyle w:val="DHHStabletext"/>
            </w:pPr>
            <w:r w:rsidRPr="0075709B">
              <w:t>0.3%</w:t>
            </w:r>
          </w:p>
        </w:tc>
      </w:tr>
      <w:tr w:rsidR="003F5953" w14:paraId="76851929" w14:textId="77777777" w:rsidTr="00235E13">
        <w:trPr>
          <w:trHeight w:val="327"/>
        </w:trPr>
        <w:tc>
          <w:tcPr>
            <w:tcW w:w="4677" w:type="dxa"/>
            <w:vMerge/>
            <w:vAlign w:val="center"/>
            <w:hideMark/>
          </w:tcPr>
          <w:p w14:paraId="459FF7E4" w14:textId="77777777" w:rsidR="003F5953" w:rsidRPr="008A08FD" w:rsidRDefault="003F5953" w:rsidP="003F5953">
            <w:pPr>
              <w:pStyle w:val="DHHStabletext"/>
              <w:rPr>
                <w:rFonts w:eastAsia="Trebuchet MS"/>
              </w:rPr>
            </w:pPr>
          </w:p>
        </w:tc>
        <w:tc>
          <w:tcPr>
            <w:tcW w:w="1559" w:type="dxa"/>
            <w:hideMark/>
          </w:tcPr>
          <w:p w14:paraId="24F5CF7B" w14:textId="77777777" w:rsidR="003F5953" w:rsidRPr="008A08FD" w:rsidRDefault="003F5953" w:rsidP="003F5953">
            <w:pPr>
              <w:pStyle w:val="DHHStabletext"/>
            </w:pPr>
            <w:r w:rsidRPr="008A08FD">
              <w:t>85–94</w:t>
            </w:r>
          </w:p>
        </w:tc>
        <w:tc>
          <w:tcPr>
            <w:tcW w:w="1244" w:type="dxa"/>
            <w:hideMark/>
          </w:tcPr>
          <w:p w14:paraId="05255982" w14:textId="64307BA2" w:rsidR="003F5953" w:rsidRPr="0075709B" w:rsidRDefault="003F5953" w:rsidP="0075709B">
            <w:pPr>
              <w:pStyle w:val="DHHStabletext"/>
            </w:pPr>
            <w:r w:rsidRPr="0075709B">
              <w:t>0.0%</w:t>
            </w:r>
          </w:p>
        </w:tc>
        <w:tc>
          <w:tcPr>
            <w:tcW w:w="1244" w:type="dxa"/>
            <w:hideMark/>
          </w:tcPr>
          <w:p w14:paraId="04E79012" w14:textId="3520E104" w:rsidR="003F5953" w:rsidRPr="0075709B" w:rsidRDefault="003F5953" w:rsidP="0075709B">
            <w:pPr>
              <w:pStyle w:val="DHHStabletext"/>
            </w:pPr>
            <w:r w:rsidRPr="0075709B">
              <w:t>0.0%</w:t>
            </w:r>
          </w:p>
        </w:tc>
        <w:tc>
          <w:tcPr>
            <w:tcW w:w="1198" w:type="dxa"/>
            <w:hideMark/>
          </w:tcPr>
          <w:p w14:paraId="428EACB9" w14:textId="4859B1AC" w:rsidR="003F5953" w:rsidRPr="0075709B" w:rsidRDefault="003F5953" w:rsidP="0075709B">
            <w:pPr>
              <w:pStyle w:val="DHHStabletext"/>
            </w:pPr>
            <w:r w:rsidRPr="0075709B">
              <w:t>0.0%</w:t>
            </w:r>
          </w:p>
        </w:tc>
      </w:tr>
      <w:tr w:rsidR="003F5953" w14:paraId="2E25BCD8" w14:textId="77777777" w:rsidTr="00235E13">
        <w:trPr>
          <w:trHeight w:val="327"/>
        </w:trPr>
        <w:tc>
          <w:tcPr>
            <w:tcW w:w="4677" w:type="dxa"/>
            <w:vMerge/>
            <w:vAlign w:val="center"/>
            <w:hideMark/>
          </w:tcPr>
          <w:p w14:paraId="6B231F92" w14:textId="77777777" w:rsidR="003F5953" w:rsidRPr="008A08FD" w:rsidRDefault="003F5953" w:rsidP="003F5953">
            <w:pPr>
              <w:pStyle w:val="DHHStabletext"/>
              <w:rPr>
                <w:rFonts w:eastAsia="Trebuchet MS"/>
              </w:rPr>
            </w:pPr>
          </w:p>
        </w:tc>
        <w:tc>
          <w:tcPr>
            <w:tcW w:w="1559" w:type="dxa"/>
            <w:hideMark/>
          </w:tcPr>
          <w:p w14:paraId="3D7F109C" w14:textId="77777777" w:rsidR="003F5953" w:rsidRPr="008A08FD" w:rsidRDefault="003F5953" w:rsidP="003F5953">
            <w:pPr>
              <w:pStyle w:val="DHHStabletext"/>
            </w:pPr>
            <w:r w:rsidRPr="008A08FD">
              <w:t>95+</w:t>
            </w:r>
          </w:p>
        </w:tc>
        <w:tc>
          <w:tcPr>
            <w:tcW w:w="1244" w:type="dxa"/>
            <w:hideMark/>
          </w:tcPr>
          <w:p w14:paraId="4EAD1227" w14:textId="467957AA" w:rsidR="003F5953" w:rsidRPr="0075709B" w:rsidRDefault="003F5953" w:rsidP="0075709B">
            <w:pPr>
              <w:pStyle w:val="DHHStabletext"/>
            </w:pPr>
            <w:r w:rsidRPr="0075709B">
              <w:t>2.5%</w:t>
            </w:r>
          </w:p>
        </w:tc>
        <w:tc>
          <w:tcPr>
            <w:tcW w:w="1244" w:type="dxa"/>
            <w:hideMark/>
          </w:tcPr>
          <w:p w14:paraId="609E4812" w14:textId="7B8ED900" w:rsidR="003F5953" w:rsidRPr="0075709B" w:rsidRDefault="003F5953" w:rsidP="0075709B">
            <w:pPr>
              <w:pStyle w:val="DHHStabletext"/>
            </w:pPr>
            <w:r w:rsidRPr="0075709B">
              <w:t>1.6%</w:t>
            </w:r>
          </w:p>
        </w:tc>
        <w:tc>
          <w:tcPr>
            <w:tcW w:w="1198" w:type="dxa"/>
            <w:hideMark/>
          </w:tcPr>
          <w:p w14:paraId="333FB594" w14:textId="3DC356B5" w:rsidR="003F5953" w:rsidRPr="0075709B" w:rsidRDefault="003F5953" w:rsidP="0075709B">
            <w:pPr>
              <w:pStyle w:val="DHHStabletext"/>
            </w:pPr>
            <w:r w:rsidRPr="0075709B">
              <w:t>0.9%</w:t>
            </w:r>
          </w:p>
        </w:tc>
      </w:tr>
      <w:tr w:rsidR="003F5953" w14:paraId="214EB722" w14:textId="77777777" w:rsidTr="00235E13">
        <w:trPr>
          <w:trHeight w:val="330"/>
        </w:trPr>
        <w:tc>
          <w:tcPr>
            <w:tcW w:w="4677" w:type="dxa"/>
            <w:vMerge/>
            <w:vAlign w:val="center"/>
            <w:hideMark/>
          </w:tcPr>
          <w:p w14:paraId="78CA6848" w14:textId="77777777" w:rsidR="003F5953" w:rsidRPr="008A08FD" w:rsidRDefault="003F5953" w:rsidP="003F5953">
            <w:pPr>
              <w:pStyle w:val="DHHStabletext"/>
              <w:rPr>
                <w:rFonts w:eastAsia="Trebuchet MS"/>
              </w:rPr>
            </w:pPr>
          </w:p>
        </w:tc>
        <w:tc>
          <w:tcPr>
            <w:tcW w:w="1559" w:type="dxa"/>
            <w:hideMark/>
          </w:tcPr>
          <w:p w14:paraId="080F8CBE" w14:textId="77777777" w:rsidR="003F5953" w:rsidRPr="008A08FD" w:rsidRDefault="003F5953" w:rsidP="003F5953">
            <w:pPr>
              <w:pStyle w:val="DHHStabletext"/>
            </w:pPr>
            <w:r w:rsidRPr="008A08FD">
              <w:t>Unknown</w:t>
            </w:r>
          </w:p>
        </w:tc>
        <w:tc>
          <w:tcPr>
            <w:tcW w:w="1244" w:type="dxa"/>
            <w:hideMark/>
          </w:tcPr>
          <w:p w14:paraId="57970ECB" w14:textId="482DA05D" w:rsidR="003F5953" w:rsidRPr="0075709B" w:rsidRDefault="003F5953" w:rsidP="0075709B">
            <w:pPr>
              <w:pStyle w:val="DHHStabletext"/>
            </w:pPr>
            <w:r w:rsidRPr="0075709B">
              <w:t>0.6%</w:t>
            </w:r>
          </w:p>
        </w:tc>
        <w:tc>
          <w:tcPr>
            <w:tcW w:w="1244" w:type="dxa"/>
            <w:hideMark/>
          </w:tcPr>
          <w:p w14:paraId="591F5D4F" w14:textId="27526030" w:rsidR="003F5953" w:rsidRPr="0075709B" w:rsidRDefault="003F5953" w:rsidP="0075709B">
            <w:pPr>
              <w:pStyle w:val="DHHStabletext"/>
            </w:pPr>
            <w:r w:rsidRPr="0075709B">
              <w:t>0.5%</w:t>
            </w:r>
          </w:p>
        </w:tc>
        <w:tc>
          <w:tcPr>
            <w:tcW w:w="1198" w:type="dxa"/>
            <w:hideMark/>
          </w:tcPr>
          <w:p w14:paraId="234B7831" w14:textId="3A3E8399" w:rsidR="003F5953" w:rsidRPr="0075709B" w:rsidRDefault="003F5953" w:rsidP="0075709B">
            <w:pPr>
              <w:pStyle w:val="DHHStabletext"/>
            </w:pPr>
            <w:r w:rsidRPr="0075709B">
              <w:t>0.5%</w:t>
            </w:r>
          </w:p>
        </w:tc>
      </w:tr>
      <w:tr w:rsidR="003F5953" w14:paraId="2188931D" w14:textId="77777777" w:rsidTr="00235E13">
        <w:trPr>
          <w:trHeight w:val="406"/>
        </w:trPr>
        <w:tc>
          <w:tcPr>
            <w:tcW w:w="4677" w:type="dxa"/>
            <w:hideMark/>
          </w:tcPr>
          <w:p w14:paraId="63D46A31" w14:textId="77777777" w:rsidR="003F5953" w:rsidRPr="008A08FD" w:rsidRDefault="003F5953" w:rsidP="003F5953">
            <w:pPr>
              <w:pStyle w:val="DHHStabletext"/>
            </w:pPr>
            <w:r w:rsidRPr="008A08FD">
              <w:t>Aboriginal or Torres Strait Islander (%)</w:t>
            </w:r>
          </w:p>
        </w:tc>
        <w:tc>
          <w:tcPr>
            <w:tcW w:w="1559" w:type="dxa"/>
            <w:hideMark/>
          </w:tcPr>
          <w:p w14:paraId="66FAC7A5" w14:textId="77777777" w:rsidR="003F5953" w:rsidRPr="008A08FD" w:rsidRDefault="003F5953" w:rsidP="003F5953">
            <w:pPr>
              <w:pStyle w:val="DHHStabletext"/>
            </w:pPr>
            <w:r w:rsidRPr="008A08FD">
              <w:t>Indigenous</w:t>
            </w:r>
          </w:p>
        </w:tc>
        <w:tc>
          <w:tcPr>
            <w:tcW w:w="1244" w:type="dxa"/>
            <w:hideMark/>
          </w:tcPr>
          <w:p w14:paraId="3DC9E9B8" w14:textId="62E5A443" w:rsidR="003F5953" w:rsidRPr="0075709B" w:rsidRDefault="003F5953" w:rsidP="0075709B">
            <w:pPr>
              <w:pStyle w:val="DHHStabletext"/>
            </w:pPr>
            <w:r w:rsidRPr="0075709B">
              <w:t>2.2%</w:t>
            </w:r>
          </w:p>
        </w:tc>
        <w:tc>
          <w:tcPr>
            <w:tcW w:w="1244" w:type="dxa"/>
            <w:hideMark/>
          </w:tcPr>
          <w:p w14:paraId="06181D73" w14:textId="66C355AE" w:rsidR="003F5953" w:rsidRPr="0075709B" w:rsidRDefault="003F5953" w:rsidP="0075709B">
            <w:pPr>
              <w:pStyle w:val="DHHStabletext"/>
            </w:pPr>
            <w:r w:rsidRPr="0075709B">
              <w:t>2.3%</w:t>
            </w:r>
          </w:p>
        </w:tc>
        <w:tc>
          <w:tcPr>
            <w:tcW w:w="1198" w:type="dxa"/>
            <w:hideMark/>
          </w:tcPr>
          <w:p w14:paraId="662E83F1" w14:textId="12345B3B" w:rsidR="003F5953" w:rsidRPr="0075709B" w:rsidRDefault="003F5953" w:rsidP="0075709B">
            <w:pPr>
              <w:pStyle w:val="DHHStabletext"/>
            </w:pPr>
            <w:r w:rsidRPr="0075709B">
              <w:t>1.9%</w:t>
            </w:r>
          </w:p>
        </w:tc>
      </w:tr>
      <w:tr w:rsidR="003F5953" w14:paraId="59E979D1" w14:textId="77777777" w:rsidTr="00235E13">
        <w:trPr>
          <w:trHeight w:val="406"/>
        </w:trPr>
        <w:tc>
          <w:tcPr>
            <w:tcW w:w="4677" w:type="dxa"/>
            <w:hideMark/>
          </w:tcPr>
          <w:p w14:paraId="0F807BDB" w14:textId="77777777" w:rsidR="003F5953" w:rsidRPr="008A08FD" w:rsidRDefault="003F5953" w:rsidP="003F5953">
            <w:pPr>
              <w:pStyle w:val="DHHStabletext"/>
            </w:pPr>
            <w:r w:rsidRPr="008A08FD">
              <w:t>CALD status (%)</w:t>
            </w:r>
          </w:p>
        </w:tc>
        <w:tc>
          <w:tcPr>
            <w:tcW w:w="1559" w:type="dxa"/>
            <w:hideMark/>
          </w:tcPr>
          <w:p w14:paraId="4F1C3C80" w14:textId="77777777" w:rsidR="003F5953" w:rsidRPr="008A08FD" w:rsidRDefault="003F5953" w:rsidP="003F5953">
            <w:pPr>
              <w:pStyle w:val="DHHStabletext"/>
            </w:pPr>
            <w:r w:rsidRPr="008A08FD">
              <w:t>Yes</w:t>
            </w:r>
          </w:p>
        </w:tc>
        <w:tc>
          <w:tcPr>
            <w:tcW w:w="1244" w:type="dxa"/>
            <w:hideMark/>
          </w:tcPr>
          <w:p w14:paraId="0949E055" w14:textId="7C5ECA97" w:rsidR="003F5953" w:rsidRPr="0075709B" w:rsidRDefault="003F5953" w:rsidP="0075709B">
            <w:pPr>
              <w:pStyle w:val="DHHStabletext"/>
            </w:pPr>
            <w:r w:rsidRPr="0075709B">
              <w:t>4.4%</w:t>
            </w:r>
          </w:p>
        </w:tc>
        <w:tc>
          <w:tcPr>
            <w:tcW w:w="1244" w:type="dxa"/>
            <w:hideMark/>
          </w:tcPr>
          <w:p w14:paraId="722FCA95" w14:textId="150B4F84" w:rsidR="003F5953" w:rsidRPr="0075709B" w:rsidRDefault="003F5953" w:rsidP="0075709B">
            <w:pPr>
              <w:pStyle w:val="DHHStabletext"/>
            </w:pPr>
            <w:r w:rsidRPr="0075709B">
              <w:t>4.3%</w:t>
            </w:r>
          </w:p>
        </w:tc>
        <w:tc>
          <w:tcPr>
            <w:tcW w:w="1198" w:type="dxa"/>
            <w:hideMark/>
          </w:tcPr>
          <w:p w14:paraId="2E7BAEB1" w14:textId="17602F25" w:rsidR="003F5953" w:rsidRPr="0075709B" w:rsidRDefault="003F5953" w:rsidP="0075709B">
            <w:pPr>
              <w:pStyle w:val="DHHStabletext"/>
            </w:pPr>
            <w:r w:rsidRPr="0075709B">
              <w:t>3.9%</w:t>
            </w:r>
          </w:p>
        </w:tc>
      </w:tr>
    </w:tbl>
    <w:p w14:paraId="5C853730" w14:textId="77777777" w:rsidR="008A08FD" w:rsidRDefault="008A08FD" w:rsidP="00985332">
      <w:pPr>
        <w:pStyle w:val="DHHSbody"/>
      </w:pPr>
    </w:p>
    <w:tbl>
      <w:tblPr>
        <w:tblW w:w="9922"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6236"/>
        <w:gridCol w:w="1244"/>
        <w:gridCol w:w="1244"/>
        <w:gridCol w:w="1198"/>
      </w:tblGrid>
      <w:tr w:rsidR="00F8599A" w14:paraId="5C9E0396" w14:textId="77777777" w:rsidTr="00235E13">
        <w:trPr>
          <w:trHeight w:val="434"/>
          <w:tblHeader/>
        </w:trPr>
        <w:tc>
          <w:tcPr>
            <w:tcW w:w="6236" w:type="dxa"/>
            <w:shd w:val="clear" w:color="auto" w:fill="auto"/>
            <w:hideMark/>
          </w:tcPr>
          <w:p w14:paraId="6CF325A2" w14:textId="77777777" w:rsidR="00F8599A" w:rsidRPr="00985332" w:rsidRDefault="00F8599A" w:rsidP="00F8599A">
            <w:pPr>
              <w:pStyle w:val="DHHStablecolhead"/>
            </w:pPr>
            <w:r w:rsidRPr="00985332">
              <w:t>Service activity</w:t>
            </w:r>
          </w:p>
        </w:tc>
        <w:tc>
          <w:tcPr>
            <w:tcW w:w="1244" w:type="dxa"/>
            <w:shd w:val="clear" w:color="auto" w:fill="auto"/>
            <w:hideMark/>
          </w:tcPr>
          <w:p w14:paraId="46F7A878" w14:textId="124D8F10" w:rsidR="00F8599A" w:rsidRPr="00985332" w:rsidRDefault="00F8599A" w:rsidP="00F8599A">
            <w:pPr>
              <w:pStyle w:val="DHHStablecolhead"/>
            </w:pPr>
            <w:r w:rsidRPr="009F0C73">
              <w:t>2015–16</w:t>
            </w:r>
          </w:p>
        </w:tc>
        <w:tc>
          <w:tcPr>
            <w:tcW w:w="1244" w:type="dxa"/>
            <w:shd w:val="clear" w:color="auto" w:fill="auto"/>
            <w:hideMark/>
          </w:tcPr>
          <w:p w14:paraId="2606DDBC" w14:textId="7F100C92" w:rsidR="00F8599A" w:rsidRDefault="00F8599A" w:rsidP="00F8599A">
            <w:pPr>
              <w:pStyle w:val="DHHStablecolhead"/>
              <w:rPr>
                <w:sz w:val="19"/>
              </w:rPr>
            </w:pPr>
            <w:r w:rsidRPr="009F0C73">
              <w:t>201</w:t>
            </w:r>
            <w:r>
              <w:t>6</w:t>
            </w:r>
            <w:r w:rsidRPr="009F0C73">
              <w:t>–1</w:t>
            </w:r>
            <w:r>
              <w:t>7</w:t>
            </w:r>
          </w:p>
        </w:tc>
        <w:tc>
          <w:tcPr>
            <w:tcW w:w="1198" w:type="dxa"/>
            <w:shd w:val="clear" w:color="auto" w:fill="auto"/>
            <w:hideMark/>
          </w:tcPr>
          <w:p w14:paraId="70753C7A" w14:textId="3297DC8D" w:rsidR="00F8599A" w:rsidRDefault="00F8599A" w:rsidP="00F8599A">
            <w:pPr>
              <w:pStyle w:val="DHHStablecolhead"/>
              <w:rPr>
                <w:sz w:val="19"/>
              </w:rPr>
            </w:pPr>
            <w:r w:rsidRPr="009F0C73">
              <w:t>201</w:t>
            </w:r>
            <w:r>
              <w:t>7</w:t>
            </w:r>
            <w:r w:rsidRPr="009F0C73">
              <w:t>–1</w:t>
            </w:r>
            <w:r>
              <w:t>8</w:t>
            </w:r>
          </w:p>
        </w:tc>
      </w:tr>
      <w:tr w:rsidR="003F5953" w14:paraId="48352393" w14:textId="77777777" w:rsidTr="00235E13">
        <w:trPr>
          <w:trHeight w:val="411"/>
        </w:trPr>
        <w:tc>
          <w:tcPr>
            <w:tcW w:w="6236" w:type="dxa"/>
            <w:hideMark/>
          </w:tcPr>
          <w:p w14:paraId="34FC87A8" w14:textId="77777777" w:rsidR="003F5953" w:rsidRPr="00985332" w:rsidRDefault="003F5953" w:rsidP="003F5953">
            <w:pPr>
              <w:pStyle w:val="DHHStabletext"/>
            </w:pPr>
            <w:r w:rsidRPr="00985332">
              <w:t>Community Service Units (CSUs)</w:t>
            </w:r>
          </w:p>
        </w:tc>
        <w:tc>
          <w:tcPr>
            <w:tcW w:w="1244" w:type="dxa"/>
            <w:hideMark/>
          </w:tcPr>
          <w:p w14:paraId="56ECFCAA" w14:textId="34D45785" w:rsidR="003F5953" w:rsidRPr="0075709B" w:rsidRDefault="003F5953" w:rsidP="0075709B">
            <w:pPr>
              <w:pStyle w:val="DHHStabletext"/>
            </w:pPr>
            <w:r w:rsidRPr="0075709B">
              <w:t>790,213</w:t>
            </w:r>
          </w:p>
        </w:tc>
        <w:tc>
          <w:tcPr>
            <w:tcW w:w="1244" w:type="dxa"/>
            <w:hideMark/>
          </w:tcPr>
          <w:p w14:paraId="5CA5EE48" w14:textId="7B094DED" w:rsidR="003F5953" w:rsidRPr="0075709B" w:rsidRDefault="003F5953" w:rsidP="0075709B">
            <w:pPr>
              <w:pStyle w:val="DHHStabletext"/>
            </w:pPr>
            <w:r w:rsidRPr="0075709B">
              <w:t>757,236</w:t>
            </w:r>
          </w:p>
        </w:tc>
        <w:tc>
          <w:tcPr>
            <w:tcW w:w="1198" w:type="dxa"/>
            <w:hideMark/>
          </w:tcPr>
          <w:p w14:paraId="64B328E7" w14:textId="180420EA" w:rsidR="003F5953" w:rsidRPr="0075709B" w:rsidRDefault="003F5953" w:rsidP="0075709B">
            <w:pPr>
              <w:pStyle w:val="DHHStabletext"/>
            </w:pPr>
            <w:r w:rsidRPr="0075709B">
              <w:t>635,040</w:t>
            </w:r>
          </w:p>
        </w:tc>
      </w:tr>
      <w:tr w:rsidR="003F5953" w14:paraId="690C20E2" w14:textId="77777777" w:rsidTr="00235E13">
        <w:trPr>
          <w:trHeight w:val="406"/>
        </w:trPr>
        <w:tc>
          <w:tcPr>
            <w:tcW w:w="6236" w:type="dxa"/>
            <w:hideMark/>
          </w:tcPr>
          <w:p w14:paraId="39A28955" w14:textId="77777777" w:rsidR="003F5953" w:rsidRPr="00985332" w:rsidRDefault="003F5953" w:rsidP="003F5953">
            <w:pPr>
              <w:pStyle w:val="DHHStabletext"/>
            </w:pPr>
            <w:r w:rsidRPr="00985332">
              <w:t>Residential Rehabilitation Bed Days</w:t>
            </w:r>
          </w:p>
        </w:tc>
        <w:tc>
          <w:tcPr>
            <w:tcW w:w="1244" w:type="dxa"/>
            <w:hideMark/>
          </w:tcPr>
          <w:p w14:paraId="2B7B4DEF" w14:textId="5CCFF3CA" w:rsidR="003F5953" w:rsidRPr="0075709B" w:rsidRDefault="003F5953" w:rsidP="0075709B">
            <w:pPr>
              <w:pStyle w:val="DHHStabletext"/>
            </w:pPr>
            <w:r w:rsidRPr="0075709B">
              <w:t>78,456</w:t>
            </w:r>
          </w:p>
        </w:tc>
        <w:tc>
          <w:tcPr>
            <w:tcW w:w="1244" w:type="dxa"/>
            <w:hideMark/>
          </w:tcPr>
          <w:p w14:paraId="34698B50" w14:textId="16CC3EEE" w:rsidR="003F5953" w:rsidRPr="0075709B" w:rsidRDefault="003F5953" w:rsidP="0075709B">
            <w:pPr>
              <w:pStyle w:val="DHHStabletext"/>
            </w:pPr>
            <w:r w:rsidRPr="0075709B">
              <w:t>81,130</w:t>
            </w:r>
          </w:p>
        </w:tc>
        <w:tc>
          <w:tcPr>
            <w:tcW w:w="1198" w:type="dxa"/>
            <w:hideMark/>
          </w:tcPr>
          <w:p w14:paraId="50124C76" w14:textId="1B1806D8" w:rsidR="003F5953" w:rsidRPr="0075709B" w:rsidRDefault="003F5953" w:rsidP="0075709B">
            <w:pPr>
              <w:pStyle w:val="DHHStabletext"/>
            </w:pPr>
            <w:r w:rsidRPr="0075709B">
              <w:t>82,329</w:t>
            </w:r>
          </w:p>
        </w:tc>
      </w:tr>
    </w:tbl>
    <w:p w14:paraId="7DA3067F" w14:textId="77777777" w:rsidR="008A08FD" w:rsidRDefault="008A08FD" w:rsidP="00985332">
      <w:pPr>
        <w:pStyle w:val="DHHSbody"/>
      </w:pPr>
    </w:p>
    <w:tbl>
      <w:tblPr>
        <w:tblW w:w="9922"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F8599A" w14:paraId="14BC660C" w14:textId="77777777" w:rsidTr="00235E13">
        <w:trPr>
          <w:trHeight w:val="442"/>
          <w:tblHeader/>
        </w:trPr>
        <w:tc>
          <w:tcPr>
            <w:tcW w:w="4677" w:type="dxa"/>
            <w:shd w:val="clear" w:color="auto" w:fill="auto"/>
            <w:hideMark/>
          </w:tcPr>
          <w:p w14:paraId="11566C06" w14:textId="77777777" w:rsidR="00F8599A" w:rsidRPr="00985332" w:rsidRDefault="00F8599A" w:rsidP="00F8599A">
            <w:pPr>
              <w:pStyle w:val="DHHStablecolhead"/>
            </w:pPr>
            <w:r w:rsidRPr="00985332">
              <w:t>Service inputs</w:t>
            </w:r>
          </w:p>
        </w:tc>
        <w:tc>
          <w:tcPr>
            <w:tcW w:w="1559" w:type="dxa"/>
            <w:shd w:val="clear" w:color="auto" w:fill="auto"/>
            <w:hideMark/>
          </w:tcPr>
          <w:p w14:paraId="3B7AE790" w14:textId="77777777" w:rsidR="00F8599A" w:rsidRPr="00985332" w:rsidRDefault="00F8599A" w:rsidP="00F8599A">
            <w:pPr>
              <w:pStyle w:val="DHHStablecolhead"/>
            </w:pPr>
            <w:r w:rsidRPr="00985332">
              <w:t>Population</w:t>
            </w:r>
          </w:p>
        </w:tc>
        <w:tc>
          <w:tcPr>
            <w:tcW w:w="1244" w:type="dxa"/>
            <w:shd w:val="clear" w:color="auto" w:fill="auto"/>
            <w:hideMark/>
          </w:tcPr>
          <w:p w14:paraId="751260CB" w14:textId="37957F7D" w:rsidR="00F8599A" w:rsidRDefault="00F8599A" w:rsidP="00F8599A">
            <w:pPr>
              <w:pStyle w:val="DHHStablecolhead"/>
              <w:rPr>
                <w:sz w:val="19"/>
              </w:rPr>
            </w:pPr>
            <w:r w:rsidRPr="009F0C73">
              <w:t>2015–16</w:t>
            </w:r>
          </w:p>
        </w:tc>
        <w:tc>
          <w:tcPr>
            <w:tcW w:w="1244" w:type="dxa"/>
            <w:shd w:val="clear" w:color="auto" w:fill="auto"/>
            <w:hideMark/>
          </w:tcPr>
          <w:p w14:paraId="5D1831A6" w14:textId="68D72C2C" w:rsidR="00F8599A" w:rsidRDefault="00F8599A" w:rsidP="00F8599A">
            <w:pPr>
              <w:pStyle w:val="DHHStablecolhead"/>
              <w:rPr>
                <w:sz w:val="19"/>
              </w:rPr>
            </w:pPr>
            <w:r w:rsidRPr="009F0C73">
              <w:t>201</w:t>
            </w:r>
            <w:r>
              <w:t>6</w:t>
            </w:r>
            <w:r w:rsidRPr="009F0C73">
              <w:t>–1</w:t>
            </w:r>
            <w:r>
              <w:t>7</w:t>
            </w:r>
          </w:p>
        </w:tc>
        <w:tc>
          <w:tcPr>
            <w:tcW w:w="1198" w:type="dxa"/>
            <w:shd w:val="clear" w:color="auto" w:fill="auto"/>
            <w:hideMark/>
          </w:tcPr>
          <w:p w14:paraId="04358859" w14:textId="565E7314" w:rsidR="00F8599A" w:rsidRDefault="00F8599A" w:rsidP="00F8599A">
            <w:pPr>
              <w:pStyle w:val="DHHStablecolhead"/>
              <w:rPr>
                <w:sz w:val="19"/>
              </w:rPr>
            </w:pPr>
            <w:r w:rsidRPr="009F0C73">
              <w:t>201</w:t>
            </w:r>
            <w:r>
              <w:t>7</w:t>
            </w:r>
            <w:r w:rsidRPr="009F0C73">
              <w:t>–1</w:t>
            </w:r>
            <w:r>
              <w:t>8</w:t>
            </w:r>
          </w:p>
        </w:tc>
      </w:tr>
      <w:tr w:rsidR="003F5953" w14:paraId="16F42B65" w14:textId="77777777" w:rsidTr="00235E13">
        <w:trPr>
          <w:trHeight w:val="332"/>
        </w:trPr>
        <w:tc>
          <w:tcPr>
            <w:tcW w:w="4677" w:type="dxa"/>
            <w:vMerge w:val="restart"/>
          </w:tcPr>
          <w:p w14:paraId="1111CA92" w14:textId="77777777" w:rsidR="003F5953" w:rsidRPr="008A08FD" w:rsidRDefault="003F5953" w:rsidP="003F5953">
            <w:pPr>
              <w:pStyle w:val="DHHStabletext"/>
            </w:pPr>
            <w:r w:rsidRPr="008A08FD">
              <w:t>Residential Rehabilitation Beds</w:t>
            </w:r>
          </w:p>
        </w:tc>
        <w:tc>
          <w:tcPr>
            <w:tcW w:w="1559" w:type="dxa"/>
            <w:hideMark/>
          </w:tcPr>
          <w:p w14:paraId="7294FCCE" w14:textId="77777777" w:rsidR="003F5953" w:rsidRPr="0075709B" w:rsidRDefault="003F5953" w:rsidP="0075709B">
            <w:pPr>
              <w:pStyle w:val="DHHStabletext"/>
            </w:pPr>
            <w:r w:rsidRPr="0075709B">
              <w:t>Other</w:t>
            </w:r>
          </w:p>
        </w:tc>
        <w:tc>
          <w:tcPr>
            <w:tcW w:w="1244" w:type="dxa"/>
            <w:hideMark/>
          </w:tcPr>
          <w:p w14:paraId="58B36CC3" w14:textId="3F3FD6BB" w:rsidR="003F5953" w:rsidRPr="0075709B" w:rsidRDefault="003F5953" w:rsidP="0075709B">
            <w:pPr>
              <w:pStyle w:val="DHHStabletext"/>
            </w:pPr>
            <w:r w:rsidRPr="0075709B">
              <w:t>101</w:t>
            </w:r>
          </w:p>
        </w:tc>
        <w:tc>
          <w:tcPr>
            <w:tcW w:w="1244" w:type="dxa"/>
            <w:hideMark/>
          </w:tcPr>
          <w:p w14:paraId="76604D7A" w14:textId="7CEFF578" w:rsidR="003F5953" w:rsidRPr="0075709B" w:rsidRDefault="003F5953" w:rsidP="0075709B">
            <w:pPr>
              <w:pStyle w:val="DHHStabletext"/>
            </w:pPr>
            <w:r w:rsidRPr="0075709B">
              <w:t>101</w:t>
            </w:r>
          </w:p>
        </w:tc>
        <w:tc>
          <w:tcPr>
            <w:tcW w:w="1198" w:type="dxa"/>
            <w:hideMark/>
          </w:tcPr>
          <w:p w14:paraId="67893CF3" w14:textId="1BEDF94D" w:rsidR="003F5953" w:rsidRPr="0075709B" w:rsidRDefault="003F5953" w:rsidP="0075709B">
            <w:pPr>
              <w:pStyle w:val="DHHStabletext"/>
            </w:pPr>
            <w:r w:rsidRPr="0075709B">
              <w:t>102</w:t>
            </w:r>
          </w:p>
        </w:tc>
      </w:tr>
      <w:tr w:rsidR="003F5953" w14:paraId="7FD83365" w14:textId="77777777" w:rsidTr="00235E13">
        <w:trPr>
          <w:trHeight w:val="325"/>
        </w:trPr>
        <w:tc>
          <w:tcPr>
            <w:tcW w:w="4677" w:type="dxa"/>
            <w:vMerge/>
            <w:vAlign w:val="center"/>
            <w:hideMark/>
          </w:tcPr>
          <w:p w14:paraId="3031717F" w14:textId="77777777" w:rsidR="003F5953" w:rsidRPr="008A08FD" w:rsidRDefault="003F5953" w:rsidP="003F5953">
            <w:pPr>
              <w:pStyle w:val="DHHStabletext"/>
              <w:rPr>
                <w:rFonts w:eastAsia="Trebuchet MS"/>
              </w:rPr>
            </w:pPr>
          </w:p>
        </w:tc>
        <w:tc>
          <w:tcPr>
            <w:tcW w:w="1559" w:type="dxa"/>
            <w:hideMark/>
          </w:tcPr>
          <w:p w14:paraId="73DBEAA1" w14:textId="77777777" w:rsidR="003F5953" w:rsidRPr="0075709B" w:rsidRDefault="003F5953" w:rsidP="0075709B">
            <w:pPr>
              <w:pStyle w:val="DHHStabletext"/>
            </w:pPr>
            <w:r w:rsidRPr="0075709B">
              <w:t>Youth</w:t>
            </w:r>
          </w:p>
        </w:tc>
        <w:tc>
          <w:tcPr>
            <w:tcW w:w="1244" w:type="dxa"/>
            <w:hideMark/>
          </w:tcPr>
          <w:p w14:paraId="56C505FE" w14:textId="74D532D9" w:rsidR="003F5953" w:rsidRPr="0075709B" w:rsidRDefault="003F5953" w:rsidP="0075709B">
            <w:pPr>
              <w:pStyle w:val="DHHStabletext"/>
            </w:pPr>
            <w:r w:rsidRPr="0075709B">
              <w:t>159</w:t>
            </w:r>
          </w:p>
        </w:tc>
        <w:tc>
          <w:tcPr>
            <w:tcW w:w="1244" w:type="dxa"/>
            <w:hideMark/>
          </w:tcPr>
          <w:p w14:paraId="5F83C381" w14:textId="2945393B" w:rsidR="003F5953" w:rsidRPr="0075709B" w:rsidRDefault="003F5953" w:rsidP="0075709B">
            <w:pPr>
              <w:pStyle w:val="DHHStabletext"/>
            </w:pPr>
            <w:r w:rsidRPr="0075709B">
              <w:t>159</w:t>
            </w:r>
          </w:p>
        </w:tc>
        <w:tc>
          <w:tcPr>
            <w:tcW w:w="1198" w:type="dxa"/>
            <w:hideMark/>
          </w:tcPr>
          <w:p w14:paraId="5CF00AB9" w14:textId="31B093FE" w:rsidR="003F5953" w:rsidRPr="0075709B" w:rsidRDefault="003F5953" w:rsidP="0075709B">
            <w:pPr>
              <w:pStyle w:val="DHHStabletext"/>
            </w:pPr>
            <w:r w:rsidRPr="0075709B">
              <w:t>159</w:t>
            </w:r>
          </w:p>
        </w:tc>
      </w:tr>
      <w:tr w:rsidR="003F5953" w14:paraId="5E7D7305" w14:textId="77777777" w:rsidTr="00235E13">
        <w:trPr>
          <w:trHeight w:val="325"/>
        </w:trPr>
        <w:tc>
          <w:tcPr>
            <w:tcW w:w="4677" w:type="dxa"/>
            <w:vMerge/>
            <w:vAlign w:val="center"/>
            <w:hideMark/>
          </w:tcPr>
          <w:p w14:paraId="2438A1E1" w14:textId="77777777" w:rsidR="003F5953" w:rsidRPr="008A08FD" w:rsidRDefault="003F5953" w:rsidP="003F5953">
            <w:pPr>
              <w:pStyle w:val="DHHStabletext"/>
              <w:rPr>
                <w:rFonts w:eastAsia="Trebuchet MS"/>
              </w:rPr>
            </w:pPr>
          </w:p>
        </w:tc>
        <w:tc>
          <w:tcPr>
            <w:tcW w:w="1559" w:type="dxa"/>
            <w:hideMark/>
          </w:tcPr>
          <w:p w14:paraId="2BA6F5B4" w14:textId="77777777" w:rsidR="003F5953" w:rsidRPr="0075709B" w:rsidRDefault="003F5953" w:rsidP="0075709B">
            <w:pPr>
              <w:pStyle w:val="DHHStabletext"/>
            </w:pPr>
            <w:r w:rsidRPr="0075709B">
              <w:t>Total</w:t>
            </w:r>
          </w:p>
        </w:tc>
        <w:tc>
          <w:tcPr>
            <w:tcW w:w="1244" w:type="dxa"/>
            <w:hideMark/>
          </w:tcPr>
          <w:p w14:paraId="3F2CC060" w14:textId="18797715" w:rsidR="003F5953" w:rsidRPr="0075709B" w:rsidRDefault="003F5953" w:rsidP="0075709B">
            <w:pPr>
              <w:pStyle w:val="DHHStabletext"/>
            </w:pPr>
            <w:r w:rsidRPr="0075709B">
              <w:t>260</w:t>
            </w:r>
          </w:p>
        </w:tc>
        <w:tc>
          <w:tcPr>
            <w:tcW w:w="1244" w:type="dxa"/>
            <w:hideMark/>
          </w:tcPr>
          <w:p w14:paraId="32DCEF61" w14:textId="7692C95E" w:rsidR="003F5953" w:rsidRPr="0075709B" w:rsidRDefault="003F5953" w:rsidP="0075709B">
            <w:pPr>
              <w:pStyle w:val="DHHStabletext"/>
            </w:pPr>
            <w:r w:rsidRPr="0075709B">
              <w:t>260</w:t>
            </w:r>
          </w:p>
        </w:tc>
        <w:tc>
          <w:tcPr>
            <w:tcW w:w="1198" w:type="dxa"/>
            <w:hideMark/>
          </w:tcPr>
          <w:p w14:paraId="60D8212C" w14:textId="65369BC2" w:rsidR="003F5953" w:rsidRPr="0075709B" w:rsidRDefault="003F5953" w:rsidP="0075709B">
            <w:pPr>
              <w:pStyle w:val="DHHStabletext"/>
            </w:pPr>
            <w:r w:rsidRPr="0075709B">
              <w:t>261</w:t>
            </w:r>
          </w:p>
        </w:tc>
      </w:tr>
    </w:tbl>
    <w:p w14:paraId="24DA6840" w14:textId="77777777" w:rsidR="003F5953" w:rsidRPr="003F5953" w:rsidRDefault="003F5953" w:rsidP="003F5953">
      <w:pPr>
        <w:pStyle w:val="DHHStablefigurenote"/>
      </w:pPr>
      <w:r w:rsidRPr="003F5953">
        <w:t>Notes and annotations</w:t>
      </w:r>
    </w:p>
    <w:p w14:paraId="69DE290D" w14:textId="77777777" w:rsidR="003F5953" w:rsidRPr="003F5953" w:rsidRDefault="003F5953" w:rsidP="003F5953">
      <w:pPr>
        <w:pStyle w:val="DHHStablefigurenote"/>
      </w:pPr>
      <w:r w:rsidRPr="003F5953">
        <w:t>Population estimate is based on Victoria in Future 2016 projections</w:t>
      </w:r>
    </w:p>
    <w:p w14:paraId="0AD9D4B5" w14:textId="77777777" w:rsidR="003F5953" w:rsidRPr="003F5953" w:rsidRDefault="003F5953" w:rsidP="003F5953">
      <w:pPr>
        <w:pStyle w:val="DHHStablefigurenote"/>
      </w:pPr>
      <w:r w:rsidRPr="003F5953">
        <w:t>† Sum of rows will not equal total because one consumer can access multiple services</w:t>
      </w:r>
    </w:p>
    <w:p w14:paraId="61C1D654" w14:textId="77777777" w:rsidR="003F5953" w:rsidRPr="003F5953" w:rsidRDefault="003F5953" w:rsidP="003F5953">
      <w:pPr>
        <w:pStyle w:val="DHHStablefigurenote"/>
      </w:pPr>
      <w:r w:rsidRPr="003F5953">
        <w:lastRenderedPageBreak/>
        <w:t>‡   2015-16 and 2016-17 data were affected by industrial activity, impacting on the recording of community mental health service activity.</w:t>
      </w:r>
    </w:p>
    <w:p w14:paraId="644845A8" w14:textId="77777777" w:rsidR="003F5953" w:rsidRPr="003F5953" w:rsidRDefault="003F5953" w:rsidP="003F5953">
      <w:pPr>
        <w:pStyle w:val="DHHStablefigurenote"/>
      </w:pPr>
      <w:r w:rsidRPr="003F5953">
        <w:t>This began in May 2016 and was resolved by February 2017. Community mental health activity data reported during this period should be interpreted with caution</w:t>
      </w:r>
    </w:p>
    <w:p w14:paraId="43A52283" w14:textId="77777777" w:rsidR="003F5953" w:rsidRPr="003F5953" w:rsidRDefault="003F5953" w:rsidP="003F5953">
      <w:pPr>
        <w:pStyle w:val="DHHStablefigurenote"/>
      </w:pPr>
      <w:r w:rsidRPr="003F5953">
        <w:t>§ Sourced from Mental Health Establishments National Minimum Dataset</w:t>
      </w:r>
    </w:p>
    <w:p w14:paraId="3129C552" w14:textId="77777777" w:rsidR="003F5953" w:rsidRPr="003F5953" w:rsidRDefault="003F5953" w:rsidP="003F5953">
      <w:pPr>
        <w:pStyle w:val="DHHStablefigurenote"/>
      </w:pPr>
      <w:r w:rsidRPr="003F5953">
        <w:t>#  Data impacted by the transfer of mental health community support services to the National Disability Insurance Scheme.</w:t>
      </w:r>
    </w:p>
    <w:p w14:paraId="2A83AA71" w14:textId="77777777" w:rsidR="003F5953" w:rsidRPr="003F5953" w:rsidRDefault="003F5953" w:rsidP="003F5953">
      <w:pPr>
        <w:pStyle w:val="DHHStablefigurenote"/>
      </w:pPr>
      <w:r w:rsidRPr="003F5953">
        <w:t>Activity data are extracted from the Mental Health Community Support Services Collection</w:t>
      </w:r>
    </w:p>
    <w:p w14:paraId="182E67C0" w14:textId="77777777" w:rsidR="003F5953" w:rsidRPr="003F5953" w:rsidRDefault="003F5953" w:rsidP="003F5953">
      <w:pPr>
        <w:pStyle w:val="DHHStablefigurenote"/>
      </w:pPr>
      <w:r w:rsidRPr="003F5953">
        <w:t>** A new measurement method has been applied for mental health-related emergency department presentations to yield greater accuracy by encompassing a wider range of mental health presentations. Data extracted from the Victorian Emergency Minimum Dataset</w:t>
      </w:r>
    </w:p>
    <w:p w14:paraId="474EFB27" w14:textId="77777777" w:rsidR="003F5953" w:rsidRPr="003F5953" w:rsidRDefault="003F5953" w:rsidP="003F5953">
      <w:pPr>
        <w:pStyle w:val="DHHStablefigurenote"/>
      </w:pPr>
      <w:r w:rsidRPr="003F5953">
        <w:t>†† Service system inputs, outputs and outcomes data exclude the New South Wales catchment area of Albury Wodonga Health  n/a: No data available for this period</w:t>
      </w:r>
    </w:p>
    <w:p w14:paraId="3C05EF2B" w14:textId="77777777" w:rsidR="003F5953" w:rsidRPr="003F5953" w:rsidRDefault="003F5953" w:rsidP="003F5953">
      <w:pPr>
        <w:pStyle w:val="DHHStablefigurenote"/>
      </w:pPr>
      <w:r w:rsidRPr="003F5953">
        <w:t>Note that some data may not sum due to rounding CAMHS = child and adolescent mental health services</w:t>
      </w:r>
    </w:p>
    <w:p w14:paraId="611BFC9F" w14:textId="77777777" w:rsidR="00893462" w:rsidRDefault="00893462">
      <w:pPr>
        <w:rPr>
          <w:rFonts w:ascii="Arial" w:hAnsi="Arial"/>
          <w:bCs/>
          <w:color w:val="53565A"/>
          <w:sz w:val="44"/>
          <w:szCs w:val="44"/>
        </w:rPr>
      </w:pPr>
      <w:r>
        <w:br w:type="page"/>
      </w:r>
    </w:p>
    <w:p w14:paraId="02D99C9E" w14:textId="6AE7FE84" w:rsidR="007B1263" w:rsidRDefault="00893462" w:rsidP="00893462">
      <w:pPr>
        <w:pStyle w:val="Heading1"/>
      </w:pPr>
      <w:bookmarkStart w:id="30" w:name="_Toc28340169"/>
      <w:r>
        <w:lastRenderedPageBreak/>
        <w:t xml:space="preserve">Appendix </w:t>
      </w:r>
      <w:r w:rsidR="007B1263">
        <w:t>3: V</w:t>
      </w:r>
      <w:r>
        <w:t>ictoria’s public mental health system</w:t>
      </w:r>
      <w:bookmarkEnd w:id="30"/>
    </w:p>
    <w:p w14:paraId="4F5F46ED" w14:textId="4AA089AF" w:rsidR="003A2798" w:rsidRDefault="003A2798" w:rsidP="00276E7A">
      <w:pPr>
        <w:pStyle w:val="Heading2"/>
      </w:pPr>
      <w:bookmarkStart w:id="31" w:name="_Hlk26623529"/>
      <w:bookmarkStart w:id="32" w:name="_Toc28340170"/>
      <w:r w:rsidRPr="009F0C73">
        <w:t>Area-based clinical services</w:t>
      </w:r>
      <w:bookmarkEnd w:id="32"/>
    </w:p>
    <w:p w14:paraId="0BCEDD10" w14:textId="1B9790F1" w:rsidR="00276E7A" w:rsidRPr="00276E7A" w:rsidRDefault="00276E7A" w:rsidP="00276E7A">
      <w:pPr>
        <w:pStyle w:val="Heading3"/>
      </w:pPr>
      <w:r w:rsidRPr="00276E7A">
        <w:t xml:space="preserve">Child and adolescent services </w:t>
      </w:r>
      <w:r w:rsidR="00CA4AB1">
        <w:t>/ Child and youth services</w:t>
      </w:r>
      <w:r w:rsidRPr="00276E7A">
        <w:t>**</w:t>
      </w:r>
    </w:p>
    <w:p w14:paraId="1530C4AC" w14:textId="77777777" w:rsidR="003A2798" w:rsidRPr="009F0C73" w:rsidRDefault="003A2798" w:rsidP="003A2798">
      <w:pPr>
        <w:pStyle w:val="DHHSbullet1"/>
      </w:pPr>
      <w:r w:rsidRPr="009F0C73">
        <w:t>Acute inpatient services</w:t>
      </w:r>
    </w:p>
    <w:p w14:paraId="0AF5B468" w14:textId="77777777" w:rsidR="003A2798" w:rsidRPr="009F0C73" w:rsidRDefault="003A2798" w:rsidP="003A2798">
      <w:pPr>
        <w:pStyle w:val="DHHSbullet1"/>
      </w:pPr>
      <w:r w:rsidRPr="009F0C73">
        <w:t>Autism assessment</w:t>
      </w:r>
    </w:p>
    <w:p w14:paraId="0F16BCEC" w14:textId="77777777" w:rsidR="003A2798" w:rsidRPr="009F0C73" w:rsidRDefault="003A2798" w:rsidP="003A2798">
      <w:pPr>
        <w:pStyle w:val="DHHSbullet1"/>
      </w:pPr>
      <w:r w:rsidRPr="009F0C73">
        <w:t>Consultation and liaison psychiatry</w:t>
      </w:r>
    </w:p>
    <w:p w14:paraId="765A539E" w14:textId="77777777" w:rsidR="003A2798" w:rsidRPr="009F0C73" w:rsidRDefault="003A2798" w:rsidP="003A2798">
      <w:pPr>
        <w:pStyle w:val="DHHSbullet1"/>
      </w:pPr>
      <w:r w:rsidRPr="009F0C73">
        <w:t>Continuing care</w:t>
      </w:r>
    </w:p>
    <w:p w14:paraId="0246C2D9" w14:textId="77777777" w:rsidR="003A2798" w:rsidRPr="009F0C73" w:rsidRDefault="003A2798" w:rsidP="003A2798">
      <w:pPr>
        <w:pStyle w:val="DHHSbullet1"/>
      </w:pPr>
      <w:r w:rsidRPr="009F0C73">
        <w:t>Day programs</w:t>
      </w:r>
    </w:p>
    <w:p w14:paraId="6FADA86A" w14:textId="77777777" w:rsidR="003A2798" w:rsidRPr="009F0C73" w:rsidRDefault="003A2798" w:rsidP="003A2798">
      <w:pPr>
        <w:pStyle w:val="DHHSbullet1"/>
      </w:pPr>
      <w:r w:rsidRPr="009F0C73">
        <w:t>Intensive mobile youth outreach services</w:t>
      </w:r>
    </w:p>
    <w:p w14:paraId="7422E371" w14:textId="77777777" w:rsidR="003A2798" w:rsidRPr="009F0C73" w:rsidRDefault="003A2798" w:rsidP="003A2798">
      <w:pPr>
        <w:pStyle w:val="DHHSbullet1lastline"/>
      </w:pPr>
      <w:r w:rsidRPr="009F0C73">
        <w:t>School-based early intervention programs</w:t>
      </w:r>
    </w:p>
    <w:p w14:paraId="797C5D69" w14:textId="3CDA5BCA" w:rsidR="003A2798" w:rsidRPr="009F0C73" w:rsidRDefault="003A2798" w:rsidP="00276E7A">
      <w:pPr>
        <w:pStyle w:val="Heading3"/>
      </w:pPr>
      <w:r w:rsidRPr="009F0C73">
        <w:t>Adult services**</w:t>
      </w:r>
    </w:p>
    <w:p w14:paraId="33186C9F" w14:textId="77777777" w:rsidR="003A2798" w:rsidRPr="009F0C73" w:rsidRDefault="003A2798" w:rsidP="003A2798">
      <w:pPr>
        <w:pStyle w:val="DHHSbullet1"/>
      </w:pPr>
      <w:r w:rsidRPr="009F0C73">
        <w:t>Acute community intervention services</w:t>
      </w:r>
    </w:p>
    <w:p w14:paraId="4B0BE3C2" w14:textId="77777777" w:rsidR="003A2798" w:rsidRPr="009F0C73" w:rsidRDefault="003A2798" w:rsidP="003A2798">
      <w:pPr>
        <w:pStyle w:val="DHHSbullet1"/>
      </w:pPr>
      <w:r w:rsidRPr="009F0C73">
        <w:t>Acute inpatient services</w:t>
      </w:r>
    </w:p>
    <w:p w14:paraId="222D54B5" w14:textId="77777777" w:rsidR="003A2798" w:rsidRPr="009F0C73" w:rsidRDefault="003A2798" w:rsidP="003A2798">
      <w:pPr>
        <w:pStyle w:val="DHHSbullet1"/>
      </w:pPr>
      <w:r w:rsidRPr="009F0C73">
        <w:t>Psychiatric assessment and planning units</w:t>
      </w:r>
    </w:p>
    <w:p w14:paraId="40176551" w14:textId="77777777" w:rsidR="003A2798" w:rsidRPr="009F0C73" w:rsidRDefault="003A2798" w:rsidP="003A2798">
      <w:pPr>
        <w:pStyle w:val="DHHSbullet1"/>
      </w:pPr>
      <w:r w:rsidRPr="009F0C73">
        <w:t>Secure extended care and inpatient services</w:t>
      </w:r>
    </w:p>
    <w:p w14:paraId="5C96ABCA" w14:textId="160A3023" w:rsidR="003A2798" w:rsidRPr="009F0C73" w:rsidRDefault="00CA4AB1" w:rsidP="003A2798">
      <w:pPr>
        <w:pStyle w:val="DHHSbullet1"/>
      </w:pPr>
      <w:r>
        <w:t>C</w:t>
      </w:r>
      <w:r w:rsidR="003A2798" w:rsidRPr="009F0C73">
        <w:t>ontinuing care</w:t>
      </w:r>
    </w:p>
    <w:p w14:paraId="1B495CA5" w14:textId="77777777" w:rsidR="003A2798" w:rsidRPr="009F0C73" w:rsidRDefault="003A2798" w:rsidP="003A2798">
      <w:pPr>
        <w:pStyle w:val="DHHSbullet1"/>
      </w:pPr>
      <w:r w:rsidRPr="009F0C73">
        <w:t>Consultation and liaison psychiatry</w:t>
      </w:r>
    </w:p>
    <w:p w14:paraId="6873EDDF" w14:textId="77777777" w:rsidR="003A2798" w:rsidRPr="009F0C73" w:rsidRDefault="003A2798" w:rsidP="003A2798">
      <w:pPr>
        <w:pStyle w:val="DHHSbullet1"/>
      </w:pPr>
      <w:r w:rsidRPr="009F0C73">
        <w:t>Community care units</w:t>
      </w:r>
    </w:p>
    <w:p w14:paraId="42796C3D" w14:textId="77777777" w:rsidR="003A2798" w:rsidRPr="009F0C73" w:rsidRDefault="003A2798" w:rsidP="003A2798">
      <w:pPr>
        <w:pStyle w:val="DHHSbullet1"/>
      </w:pPr>
      <w:r w:rsidRPr="009F0C73">
        <w:t>Prevention and recovery care (PARC)</w:t>
      </w:r>
    </w:p>
    <w:p w14:paraId="473A2D09" w14:textId="77777777" w:rsidR="003A2798" w:rsidRPr="009F0C73" w:rsidRDefault="003A2798" w:rsidP="003A2798">
      <w:pPr>
        <w:pStyle w:val="DHHSbullet1"/>
      </w:pPr>
      <w:r w:rsidRPr="009F0C73">
        <w:t>Early psychosis (16–25 years)</w:t>
      </w:r>
    </w:p>
    <w:p w14:paraId="1DDE9A0C" w14:textId="77777777" w:rsidR="003A2798" w:rsidRPr="009F0C73" w:rsidRDefault="003A2798" w:rsidP="003A2798">
      <w:pPr>
        <w:pStyle w:val="DHHSbullet1lastline"/>
      </w:pPr>
      <w:r w:rsidRPr="009F0C73">
        <w:t>Youth PARC (16–25 years)</w:t>
      </w:r>
    </w:p>
    <w:p w14:paraId="7FC887C9" w14:textId="77777777" w:rsidR="003A2798" w:rsidRPr="009F0C73" w:rsidRDefault="003A2798" w:rsidP="00276E7A">
      <w:pPr>
        <w:pStyle w:val="Heading3"/>
      </w:pPr>
      <w:r w:rsidRPr="009F0C73">
        <w:t xml:space="preserve">Aged persons services (65+ years) </w:t>
      </w:r>
    </w:p>
    <w:p w14:paraId="4B0E2A85" w14:textId="77777777" w:rsidR="003A2798" w:rsidRPr="009F0C73" w:rsidRDefault="003A2798" w:rsidP="003A2798">
      <w:pPr>
        <w:pStyle w:val="DHHSbullet1"/>
        <w:rPr>
          <w:rStyle w:val="A1"/>
          <w:rFonts w:ascii="Arial" w:hAnsi="Arial" w:cs="Times New Roman"/>
          <w:color w:val="auto"/>
          <w:sz w:val="20"/>
          <w:szCs w:val="20"/>
        </w:rPr>
      </w:pPr>
      <w:r w:rsidRPr="009F0C73">
        <w:rPr>
          <w:rStyle w:val="A1"/>
          <w:rFonts w:ascii="Arial" w:hAnsi="Arial" w:cs="Times New Roman"/>
          <w:color w:val="auto"/>
          <w:sz w:val="20"/>
          <w:szCs w:val="20"/>
        </w:rPr>
        <w:t>Acute inpatient services</w:t>
      </w:r>
    </w:p>
    <w:p w14:paraId="79821DEF" w14:textId="77777777" w:rsidR="003A2798" w:rsidRPr="009F0C73" w:rsidRDefault="003A2798" w:rsidP="003A2798">
      <w:pPr>
        <w:pStyle w:val="DHHSbullet1"/>
      </w:pPr>
      <w:r w:rsidRPr="009F0C73">
        <w:t xml:space="preserve">Aged persons mental health residential services </w:t>
      </w:r>
    </w:p>
    <w:p w14:paraId="0FC35010" w14:textId="77777777" w:rsidR="003A2798" w:rsidRPr="009F0C73" w:rsidRDefault="003A2798" w:rsidP="003A2798">
      <w:pPr>
        <w:pStyle w:val="DHHSbullet1lastline"/>
      </w:pPr>
      <w:r w:rsidRPr="009F0C73">
        <w:rPr>
          <w:rStyle w:val="A29"/>
          <w:rFonts w:cs="Times New Roman"/>
          <w:color w:val="auto"/>
        </w:rPr>
        <w:t>Aged persons mental health community teams</w:t>
      </w:r>
    </w:p>
    <w:p w14:paraId="52E34190" w14:textId="361629DE" w:rsidR="003A2798" w:rsidRPr="009F0C73" w:rsidRDefault="003A2798" w:rsidP="00276E7A">
      <w:pPr>
        <w:pStyle w:val="Heading2"/>
      </w:pPr>
      <w:bookmarkStart w:id="33" w:name="_Toc28340171"/>
      <w:r w:rsidRPr="009F0C73">
        <w:t>Statewide specialist services</w:t>
      </w:r>
      <w:bookmarkEnd w:id="33"/>
    </w:p>
    <w:p w14:paraId="735723A6" w14:textId="77777777" w:rsidR="003A2798" w:rsidRPr="009F0C73" w:rsidRDefault="003A2798" w:rsidP="003A2798">
      <w:pPr>
        <w:pStyle w:val="DHHSbullet1"/>
      </w:pPr>
      <w:r w:rsidRPr="009F0C73">
        <w:t>Aboriginal services</w:t>
      </w:r>
    </w:p>
    <w:p w14:paraId="70FF9E8C" w14:textId="77777777" w:rsidR="003A2798" w:rsidRPr="009F0C73" w:rsidRDefault="003A2798" w:rsidP="003A2798">
      <w:pPr>
        <w:pStyle w:val="DHHSbullet1"/>
      </w:pPr>
      <w:r w:rsidRPr="009F0C73">
        <w:t>Brain disorder services</w:t>
      </w:r>
    </w:p>
    <w:p w14:paraId="19725BD2" w14:textId="77777777" w:rsidR="003A2798" w:rsidRPr="009F0C73" w:rsidRDefault="003A2798" w:rsidP="003A2798">
      <w:pPr>
        <w:pStyle w:val="DHHSbullet1"/>
      </w:pPr>
      <w:r w:rsidRPr="009F0C73">
        <w:t>Dual diagnosis services</w:t>
      </w:r>
    </w:p>
    <w:p w14:paraId="53393D9C" w14:textId="77777777" w:rsidR="003A2798" w:rsidRPr="009F0C73" w:rsidRDefault="003A2798" w:rsidP="003A2798">
      <w:pPr>
        <w:pStyle w:val="DHHSbullet1"/>
      </w:pPr>
      <w:r w:rsidRPr="009F0C73">
        <w:t>Dual disability services</w:t>
      </w:r>
    </w:p>
    <w:p w14:paraId="55FD7DF6" w14:textId="77777777" w:rsidR="003A2798" w:rsidRPr="009F0C73" w:rsidRDefault="003A2798" w:rsidP="003A2798">
      <w:pPr>
        <w:pStyle w:val="DHHSbullet1"/>
      </w:pPr>
      <w:r w:rsidRPr="009F0C73">
        <w:t>Eating disorder services</w:t>
      </w:r>
    </w:p>
    <w:p w14:paraId="78D61C9B" w14:textId="77777777" w:rsidR="003A2798" w:rsidRPr="009F0C73" w:rsidRDefault="003A2798" w:rsidP="003A2798">
      <w:pPr>
        <w:pStyle w:val="DHHSbullet1"/>
      </w:pPr>
      <w:r w:rsidRPr="009F0C73">
        <w:t>Mother and baby services</w:t>
      </w:r>
    </w:p>
    <w:p w14:paraId="49146922" w14:textId="77777777" w:rsidR="003A2798" w:rsidRPr="009F0C73" w:rsidRDefault="003A2798" w:rsidP="003A2798">
      <w:pPr>
        <w:pStyle w:val="DHHSbullet1"/>
      </w:pPr>
      <w:r w:rsidRPr="009F0C73">
        <w:t>Neuropsychiatry</w:t>
      </w:r>
    </w:p>
    <w:p w14:paraId="2F121CE3" w14:textId="77777777" w:rsidR="003A2798" w:rsidRPr="009F0C73" w:rsidRDefault="003A2798" w:rsidP="003A2798">
      <w:pPr>
        <w:pStyle w:val="DHHSbullet1"/>
      </w:pPr>
      <w:r w:rsidRPr="009F0C73">
        <w:t>Personality disorder services</w:t>
      </w:r>
    </w:p>
    <w:p w14:paraId="64EAFAA4" w14:textId="77777777" w:rsidR="003A2798" w:rsidRPr="009F0C73" w:rsidRDefault="003A2798" w:rsidP="003A2798">
      <w:pPr>
        <w:pStyle w:val="DHHSbullet1"/>
      </w:pPr>
      <w:r w:rsidRPr="009F0C73">
        <w:t>Torture and trauma counselling</w:t>
      </w:r>
    </w:p>
    <w:p w14:paraId="259E5F0A" w14:textId="77777777" w:rsidR="003A2798" w:rsidRPr="009F0C73" w:rsidRDefault="003A2798" w:rsidP="003A2798">
      <w:pPr>
        <w:pStyle w:val="DHHSbullet1"/>
      </w:pPr>
      <w:r w:rsidRPr="009F0C73">
        <w:t>Victorian Institute of Forensic Mental Health (Forensicare)</w:t>
      </w:r>
    </w:p>
    <w:p w14:paraId="47B0C6F8" w14:textId="1FE55A66" w:rsidR="003A2798" w:rsidRDefault="003A2798" w:rsidP="003A2798">
      <w:pPr>
        <w:pStyle w:val="DHHSbullet1"/>
      </w:pPr>
      <w:r w:rsidRPr="009F0C73">
        <w:t>Victorian Transcultural Mental Health</w:t>
      </w:r>
    </w:p>
    <w:p w14:paraId="3CC9D0EC" w14:textId="1B1A3D12" w:rsidR="00CA4AB1" w:rsidRDefault="00CA4AB1" w:rsidP="003A2798">
      <w:pPr>
        <w:pStyle w:val="DHHSbullet1"/>
      </w:pPr>
      <w:r>
        <w:lastRenderedPageBreak/>
        <w:t>Transition support hubs</w:t>
      </w:r>
    </w:p>
    <w:bookmarkEnd w:id="31"/>
    <w:p w14:paraId="3E20AF87" w14:textId="74A8CA42" w:rsidR="00CA4AB1" w:rsidRPr="00CA4AB1" w:rsidRDefault="00CA4AB1" w:rsidP="0075709B">
      <w:pPr>
        <w:pStyle w:val="DHHStablefigurenote"/>
        <w:spacing w:before="240"/>
      </w:pPr>
      <w:r w:rsidRPr="00CA4AB1">
        <w:t>* Delivery of activities varies between areas. Some services have separate teams for the various activities; others operate ‘integrated teams’ performing a number of different functions.</w:t>
      </w:r>
    </w:p>
    <w:p w14:paraId="06FAB0BA" w14:textId="77777777" w:rsidR="00CA4AB1" w:rsidRPr="00CA4AB1" w:rsidRDefault="00CA4AB1" w:rsidP="00CA4AB1">
      <w:pPr>
        <w:pStyle w:val="DHHStablefigurenote"/>
      </w:pPr>
      <w:r w:rsidRPr="00CA4AB1">
        <w:t>** Service models for children and young people vary across the state.</w:t>
      </w:r>
    </w:p>
    <w:p w14:paraId="36C988EB" w14:textId="4961F853" w:rsidR="007B1263" w:rsidRPr="0075709B" w:rsidRDefault="00CA4AB1" w:rsidP="0075709B">
      <w:pPr>
        <w:pStyle w:val="DHHStablefigurenote"/>
      </w:pPr>
      <w:r w:rsidRPr="00CA4AB1">
        <w:t>Some areas have Child and Adolescent Mental Health Services (0–18 years); some have Child and Youth Mental Health Services (0–25 years); and</w:t>
      </w:r>
      <w:r w:rsidR="0075709B">
        <w:t xml:space="preserve"> </w:t>
      </w:r>
      <w:r w:rsidRPr="00CA4AB1">
        <w:t>others have speciﬁc services for adolescents (12–18 years) or youth (16–24 years).</w:t>
      </w:r>
    </w:p>
    <w:sectPr w:rsidR="007B1263" w:rsidRPr="0075709B" w:rsidSect="004E24F2">
      <w:headerReference w:type="default" r:id="rId23"/>
      <w:pgSz w:w="11906" w:h="16838"/>
      <w:pgMar w:top="1699" w:right="1310" w:bottom="1138" w:left="131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05CC" w14:textId="77777777" w:rsidR="004220AB" w:rsidRDefault="004220AB">
      <w:r>
        <w:separator/>
      </w:r>
    </w:p>
  </w:endnote>
  <w:endnote w:type="continuationSeparator" w:id="0">
    <w:p w14:paraId="22450B45" w14:textId="77777777" w:rsidR="004220AB" w:rsidRDefault="0042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00000003"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IC SemiBold">
    <w:altName w:val="VIC SemiBold"/>
    <w:panose1 w:val="00000700000000000000"/>
    <w:charset w:val="00"/>
    <w:family w:val="auto"/>
    <w:pitch w:val="variable"/>
    <w:sig w:usb0="00000007" w:usb1="00000000" w:usb2="00000000" w:usb3="00000000" w:csb0="00000093" w:csb1="00000000"/>
  </w:font>
  <w:font w:name="VIC">
    <w:altName w:val="VIC"/>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6593" w14:textId="0F150E15" w:rsidR="004220AB" w:rsidRDefault="004220AB" w:rsidP="00775C0E">
    <w:pPr>
      <w:pStyle w:val="DHHSfooter"/>
    </w:pPr>
    <w:r>
      <w:t xml:space="preserve">Page </w:t>
    </w:r>
    <w:r w:rsidRPr="005A39EC">
      <w:fldChar w:fldCharType="begin"/>
    </w:r>
    <w:r w:rsidRPr="005A39EC">
      <w:instrText xml:space="preserve"> PAGE </w:instrText>
    </w:r>
    <w:r w:rsidRPr="005A39EC">
      <w:fldChar w:fldCharType="separate"/>
    </w:r>
    <w:r>
      <w:t>22</w:t>
    </w:r>
    <w:r w:rsidRPr="005A39EC">
      <w:fldChar w:fldCharType="end"/>
    </w:r>
    <w:r>
      <w:tab/>
    </w:r>
    <w:r w:rsidRPr="00242534">
      <w:t>Victoria’s mental health services annual report 201</w:t>
    </w:r>
    <w:r>
      <w:t>7</w:t>
    </w:r>
    <w:r w:rsidRPr="00242534">
      <w:t>–1</w:t>
    </w:r>
    <w: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0A55" w14:textId="19DA4C1E" w:rsidR="004220AB" w:rsidRDefault="004220AB" w:rsidP="00775C0E">
    <w:pPr>
      <w:pStyle w:val="DHHSfooter"/>
    </w:pPr>
    <w:r w:rsidRPr="00242534">
      <w:t>Victoria’s mental health services annual report 201</w:t>
    </w:r>
    <w:r>
      <w:t>7</w:t>
    </w:r>
    <w:r w:rsidRPr="00242534">
      <w:t>–1</w:t>
    </w:r>
    <w:r>
      <w:t>8</w:t>
    </w:r>
    <w:r w:rsidRPr="0031753A">
      <w:tab/>
      <w:t xml:space="preserve">Page </w:t>
    </w:r>
    <w:r w:rsidRPr="0031753A">
      <w:fldChar w:fldCharType="begin"/>
    </w:r>
    <w:r w:rsidRPr="0031753A">
      <w:instrText xml:space="preserve"> PAGE </w:instrText>
    </w:r>
    <w:r w:rsidRPr="0031753A">
      <w:fldChar w:fldCharType="separate"/>
    </w:r>
    <w:r>
      <w:t>21</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2B70" w14:textId="77777777" w:rsidR="004220AB" w:rsidRDefault="004220AB">
      <w:r>
        <w:separator/>
      </w:r>
    </w:p>
  </w:footnote>
  <w:footnote w:type="continuationSeparator" w:id="0">
    <w:p w14:paraId="6B1E38C5" w14:textId="77777777" w:rsidR="004220AB" w:rsidRDefault="0042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756B" w14:textId="77777777" w:rsidR="004220AB" w:rsidRDefault="004220A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34"/>
    <w:rsid w:val="00002990"/>
    <w:rsid w:val="000048AC"/>
    <w:rsid w:val="00014FC4"/>
    <w:rsid w:val="000202CA"/>
    <w:rsid w:val="00020AAB"/>
    <w:rsid w:val="00020B5E"/>
    <w:rsid w:val="000223A4"/>
    <w:rsid w:val="00022E60"/>
    <w:rsid w:val="00026C19"/>
    <w:rsid w:val="00031263"/>
    <w:rsid w:val="0005099A"/>
    <w:rsid w:val="0005689C"/>
    <w:rsid w:val="00060E93"/>
    <w:rsid w:val="00061C5D"/>
    <w:rsid w:val="00064936"/>
    <w:rsid w:val="0007021C"/>
    <w:rsid w:val="000725FA"/>
    <w:rsid w:val="000734F8"/>
    <w:rsid w:val="000736B8"/>
    <w:rsid w:val="00081675"/>
    <w:rsid w:val="000817CB"/>
    <w:rsid w:val="000873EF"/>
    <w:rsid w:val="000B1B2C"/>
    <w:rsid w:val="000B3792"/>
    <w:rsid w:val="000C085E"/>
    <w:rsid w:val="000C6242"/>
    <w:rsid w:val="000C68DB"/>
    <w:rsid w:val="000D26BF"/>
    <w:rsid w:val="000D2C32"/>
    <w:rsid w:val="000E6F72"/>
    <w:rsid w:val="000F0478"/>
    <w:rsid w:val="000F0A50"/>
    <w:rsid w:val="00102BA7"/>
    <w:rsid w:val="00103D5E"/>
    <w:rsid w:val="00104EA7"/>
    <w:rsid w:val="00105FAD"/>
    <w:rsid w:val="0011155B"/>
    <w:rsid w:val="00111A6A"/>
    <w:rsid w:val="001132C4"/>
    <w:rsid w:val="00121BF1"/>
    <w:rsid w:val="00127A8B"/>
    <w:rsid w:val="00134BE5"/>
    <w:rsid w:val="001371FD"/>
    <w:rsid w:val="001412D1"/>
    <w:rsid w:val="00141681"/>
    <w:rsid w:val="001423E3"/>
    <w:rsid w:val="00143E87"/>
    <w:rsid w:val="001475EA"/>
    <w:rsid w:val="001504F5"/>
    <w:rsid w:val="001517BD"/>
    <w:rsid w:val="0017248D"/>
    <w:rsid w:val="00173626"/>
    <w:rsid w:val="0017614A"/>
    <w:rsid w:val="001817CD"/>
    <w:rsid w:val="0018235E"/>
    <w:rsid w:val="0018768C"/>
    <w:rsid w:val="00192BA0"/>
    <w:rsid w:val="00193052"/>
    <w:rsid w:val="001939C0"/>
    <w:rsid w:val="00197303"/>
    <w:rsid w:val="001A17EA"/>
    <w:rsid w:val="001A22AA"/>
    <w:rsid w:val="001A7A18"/>
    <w:rsid w:val="001B1565"/>
    <w:rsid w:val="001B166D"/>
    <w:rsid w:val="001B28B5"/>
    <w:rsid w:val="001B2975"/>
    <w:rsid w:val="001B4C29"/>
    <w:rsid w:val="001B6A91"/>
    <w:rsid w:val="001B6FDB"/>
    <w:rsid w:val="001B7FC4"/>
    <w:rsid w:val="001C122D"/>
    <w:rsid w:val="001D027F"/>
    <w:rsid w:val="001D2A82"/>
    <w:rsid w:val="001D569B"/>
    <w:rsid w:val="001E0EA3"/>
    <w:rsid w:val="001E22F5"/>
    <w:rsid w:val="001E4995"/>
    <w:rsid w:val="001F09DC"/>
    <w:rsid w:val="001F43E6"/>
    <w:rsid w:val="002021C0"/>
    <w:rsid w:val="00213772"/>
    <w:rsid w:val="00220749"/>
    <w:rsid w:val="0022422C"/>
    <w:rsid w:val="0022724E"/>
    <w:rsid w:val="00230666"/>
    <w:rsid w:val="00231153"/>
    <w:rsid w:val="0023252E"/>
    <w:rsid w:val="002326C2"/>
    <w:rsid w:val="00235E13"/>
    <w:rsid w:val="00241C31"/>
    <w:rsid w:val="00242534"/>
    <w:rsid w:val="00242F9D"/>
    <w:rsid w:val="00256B40"/>
    <w:rsid w:val="00257E6A"/>
    <w:rsid w:val="00266049"/>
    <w:rsid w:val="002679D5"/>
    <w:rsid w:val="002714FD"/>
    <w:rsid w:val="002734C1"/>
    <w:rsid w:val="00275F94"/>
    <w:rsid w:val="00276E7A"/>
    <w:rsid w:val="00281B9C"/>
    <w:rsid w:val="00284C9B"/>
    <w:rsid w:val="00285ED7"/>
    <w:rsid w:val="00294AD1"/>
    <w:rsid w:val="002A141B"/>
    <w:rsid w:val="002A1C29"/>
    <w:rsid w:val="002A26B6"/>
    <w:rsid w:val="002A6A4E"/>
    <w:rsid w:val="002B5A85"/>
    <w:rsid w:val="002B63A7"/>
    <w:rsid w:val="002C5543"/>
    <w:rsid w:val="002D03A3"/>
    <w:rsid w:val="002D0F7F"/>
    <w:rsid w:val="002E0198"/>
    <w:rsid w:val="002E1D7C"/>
    <w:rsid w:val="002F449B"/>
    <w:rsid w:val="002F4D86"/>
    <w:rsid w:val="002F5D69"/>
    <w:rsid w:val="002F7C77"/>
    <w:rsid w:val="00300CB3"/>
    <w:rsid w:val="0030394B"/>
    <w:rsid w:val="003072C6"/>
    <w:rsid w:val="00310C72"/>
    <w:rsid w:val="00310D8E"/>
    <w:rsid w:val="00315BBD"/>
    <w:rsid w:val="0031753A"/>
    <w:rsid w:val="00320293"/>
    <w:rsid w:val="00322CC2"/>
    <w:rsid w:val="00334B54"/>
    <w:rsid w:val="0033739E"/>
    <w:rsid w:val="00342CC5"/>
    <w:rsid w:val="00343733"/>
    <w:rsid w:val="00355886"/>
    <w:rsid w:val="00356814"/>
    <w:rsid w:val="003632DC"/>
    <w:rsid w:val="0038019F"/>
    <w:rsid w:val="00382071"/>
    <w:rsid w:val="00384DED"/>
    <w:rsid w:val="00395962"/>
    <w:rsid w:val="003A2798"/>
    <w:rsid w:val="003A2D8C"/>
    <w:rsid w:val="003A2F25"/>
    <w:rsid w:val="003B2807"/>
    <w:rsid w:val="003C68F2"/>
    <w:rsid w:val="003D5CFB"/>
    <w:rsid w:val="003E2636"/>
    <w:rsid w:val="003E2E12"/>
    <w:rsid w:val="003F39CE"/>
    <w:rsid w:val="003F5953"/>
    <w:rsid w:val="00401108"/>
    <w:rsid w:val="00402927"/>
    <w:rsid w:val="00407993"/>
    <w:rsid w:val="00410640"/>
    <w:rsid w:val="00411833"/>
    <w:rsid w:val="00412C4B"/>
    <w:rsid w:val="00412F64"/>
    <w:rsid w:val="004158B5"/>
    <w:rsid w:val="00417BEB"/>
    <w:rsid w:val="00422042"/>
    <w:rsid w:val="004220AB"/>
    <w:rsid w:val="00425F9A"/>
    <w:rsid w:val="004324FF"/>
    <w:rsid w:val="00432A55"/>
    <w:rsid w:val="0044260A"/>
    <w:rsid w:val="00444D82"/>
    <w:rsid w:val="004564C6"/>
    <w:rsid w:val="004610CC"/>
    <w:rsid w:val="00463252"/>
    <w:rsid w:val="00465464"/>
    <w:rsid w:val="00465E87"/>
    <w:rsid w:val="00473F72"/>
    <w:rsid w:val="0047786A"/>
    <w:rsid w:val="00477A65"/>
    <w:rsid w:val="0048156D"/>
    <w:rsid w:val="0048231A"/>
    <w:rsid w:val="00482DB3"/>
    <w:rsid w:val="00482F7B"/>
    <w:rsid w:val="00494DB1"/>
    <w:rsid w:val="004A0236"/>
    <w:rsid w:val="004A0EF1"/>
    <w:rsid w:val="004A369A"/>
    <w:rsid w:val="004A3B3E"/>
    <w:rsid w:val="004C3A6E"/>
    <w:rsid w:val="004C5777"/>
    <w:rsid w:val="004D0173"/>
    <w:rsid w:val="004D1056"/>
    <w:rsid w:val="004E21E2"/>
    <w:rsid w:val="004E24F2"/>
    <w:rsid w:val="004E293F"/>
    <w:rsid w:val="004E380D"/>
    <w:rsid w:val="004E7922"/>
    <w:rsid w:val="004E7DAA"/>
    <w:rsid w:val="004F0084"/>
    <w:rsid w:val="004F0DFC"/>
    <w:rsid w:val="004F0FBA"/>
    <w:rsid w:val="004F3441"/>
    <w:rsid w:val="004F41B2"/>
    <w:rsid w:val="004F4523"/>
    <w:rsid w:val="004F4AFC"/>
    <w:rsid w:val="004F52A5"/>
    <w:rsid w:val="00500C8C"/>
    <w:rsid w:val="00501375"/>
    <w:rsid w:val="00501D3B"/>
    <w:rsid w:val="005022C9"/>
    <w:rsid w:val="0050779D"/>
    <w:rsid w:val="00520BBB"/>
    <w:rsid w:val="00521F5C"/>
    <w:rsid w:val="00525456"/>
    <w:rsid w:val="00532236"/>
    <w:rsid w:val="00534692"/>
    <w:rsid w:val="00541DFE"/>
    <w:rsid w:val="00543E6C"/>
    <w:rsid w:val="00544184"/>
    <w:rsid w:val="00550064"/>
    <w:rsid w:val="00551554"/>
    <w:rsid w:val="005552FD"/>
    <w:rsid w:val="005600E5"/>
    <w:rsid w:val="0056354D"/>
    <w:rsid w:val="00564E8F"/>
    <w:rsid w:val="00565F18"/>
    <w:rsid w:val="005728A4"/>
    <w:rsid w:val="005763FC"/>
    <w:rsid w:val="00576EB4"/>
    <w:rsid w:val="005777FD"/>
    <w:rsid w:val="0058032F"/>
    <w:rsid w:val="00580E30"/>
    <w:rsid w:val="00581D89"/>
    <w:rsid w:val="00582768"/>
    <w:rsid w:val="00583461"/>
    <w:rsid w:val="005856A4"/>
    <w:rsid w:val="00590730"/>
    <w:rsid w:val="005A3051"/>
    <w:rsid w:val="005A53FE"/>
    <w:rsid w:val="005A79E5"/>
    <w:rsid w:val="005B7D22"/>
    <w:rsid w:val="005C029E"/>
    <w:rsid w:val="005C1A44"/>
    <w:rsid w:val="005E085D"/>
    <w:rsid w:val="005E3FA7"/>
    <w:rsid w:val="005E6663"/>
    <w:rsid w:val="005E7963"/>
    <w:rsid w:val="005F1011"/>
    <w:rsid w:val="005F218C"/>
    <w:rsid w:val="00601D4D"/>
    <w:rsid w:val="006021B4"/>
    <w:rsid w:val="00605B5B"/>
    <w:rsid w:val="006062D8"/>
    <w:rsid w:val="00606827"/>
    <w:rsid w:val="00617141"/>
    <w:rsid w:val="00617924"/>
    <w:rsid w:val="00620262"/>
    <w:rsid w:val="00621B4C"/>
    <w:rsid w:val="00627C52"/>
    <w:rsid w:val="00630937"/>
    <w:rsid w:val="0063113F"/>
    <w:rsid w:val="00653B84"/>
    <w:rsid w:val="00653E0D"/>
    <w:rsid w:val="00684456"/>
    <w:rsid w:val="006865C8"/>
    <w:rsid w:val="00686B48"/>
    <w:rsid w:val="00686C5E"/>
    <w:rsid w:val="00687038"/>
    <w:rsid w:val="0068714E"/>
    <w:rsid w:val="0069151B"/>
    <w:rsid w:val="006929F7"/>
    <w:rsid w:val="0069374A"/>
    <w:rsid w:val="00694AB8"/>
    <w:rsid w:val="00695EF7"/>
    <w:rsid w:val="0069699D"/>
    <w:rsid w:val="006B2C51"/>
    <w:rsid w:val="006B6361"/>
    <w:rsid w:val="006D20CF"/>
    <w:rsid w:val="006D360C"/>
    <w:rsid w:val="006D459B"/>
    <w:rsid w:val="006D5AC9"/>
    <w:rsid w:val="006D6687"/>
    <w:rsid w:val="006D66ED"/>
    <w:rsid w:val="006E786B"/>
    <w:rsid w:val="006E796A"/>
    <w:rsid w:val="006F161C"/>
    <w:rsid w:val="007002B1"/>
    <w:rsid w:val="00702154"/>
    <w:rsid w:val="00704EB7"/>
    <w:rsid w:val="00705742"/>
    <w:rsid w:val="00706D56"/>
    <w:rsid w:val="007104FE"/>
    <w:rsid w:val="007121A2"/>
    <w:rsid w:val="00713981"/>
    <w:rsid w:val="007176D6"/>
    <w:rsid w:val="007213C7"/>
    <w:rsid w:val="00727D54"/>
    <w:rsid w:val="007317EC"/>
    <w:rsid w:val="007344C5"/>
    <w:rsid w:val="00734959"/>
    <w:rsid w:val="0073520D"/>
    <w:rsid w:val="00744106"/>
    <w:rsid w:val="00747FC9"/>
    <w:rsid w:val="0075709B"/>
    <w:rsid w:val="00760F26"/>
    <w:rsid w:val="00775C0E"/>
    <w:rsid w:val="00780226"/>
    <w:rsid w:val="00781AB4"/>
    <w:rsid w:val="007923B7"/>
    <w:rsid w:val="00792616"/>
    <w:rsid w:val="007926BB"/>
    <w:rsid w:val="0079344C"/>
    <w:rsid w:val="007A0283"/>
    <w:rsid w:val="007A2E92"/>
    <w:rsid w:val="007B1263"/>
    <w:rsid w:val="007C02C7"/>
    <w:rsid w:val="007C21EE"/>
    <w:rsid w:val="007D3A2E"/>
    <w:rsid w:val="007D6652"/>
    <w:rsid w:val="007E343D"/>
    <w:rsid w:val="007E4F43"/>
    <w:rsid w:val="007F136D"/>
    <w:rsid w:val="007F4383"/>
    <w:rsid w:val="007F61B1"/>
    <w:rsid w:val="00801601"/>
    <w:rsid w:val="008057D9"/>
    <w:rsid w:val="00810991"/>
    <w:rsid w:val="00814A9B"/>
    <w:rsid w:val="00814F66"/>
    <w:rsid w:val="00817C9E"/>
    <w:rsid w:val="008205AF"/>
    <w:rsid w:val="008225E5"/>
    <w:rsid w:val="00822BD0"/>
    <w:rsid w:val="00826434"/>
    <w:rsid w:val="00831053"/>
    <w:rsid w:val="008314D2"/>
    <w:rsid w:val="0083254D"/>
    <w:rsid w:val="00832DA0"/>
    <w:rsid w:val="00836249"/>
    <w:rsid w:val="00836F00"/>
    <w:rsid w:val="00842E0E"/>
    <w:rsid w:val="00845048"/>
    <w:rsid w:val="00846192"/>
    <w:rsid w:val="00850806"/>
    <w:rsid w:val="00856A1B"/>
    <w:rsid w:val="008621C3"/>
    <w:rsid w:val="00865486"/>
    <w:rsid w:val="00871942"/>
    <w:rsid w:val="00876275"/>
    <w:rsid w:val="00881FB4"/>
    <w:rsid w:val="00882B99"/>
    <w:rsid w:val="00891681"/>
    <w:rsid w:val="00892E66"/>
    <w:rsid w:val="00893440"/>
    <w:rsid w:val="00893462"/>
    <w:rsid w:val="008A0593"/>
    <w:rsid w:val="008A08FD"/>
    <w:rsid w:val="008A295B"/>
    <w:rsid w:val="008A6604"/>
    <w:rsid w:val="008B5482"/>
    <w:rsid w:val="008C11F4"/>
    <w:rsid w:val="008C2BEC"/>
    <w:rsid w:val="008C6D0E"/>
    <w:rsid w:val="008D09D2"/>
    <w:rsid w:val="008D39C5"/>
    <w:rsid w:val="008E0CFE"/>
    <w:rsid w:val="008E1D89"/>
    <w:rsid w:val="008E3E3E"/>
    <w:rsid w:val="008E7800"/>
    <w:rsid w:val="008F5F87"/>
    <w:rsid w:val="00900A34"/>
    <w:rsid w:val="00907073"/>
    <w:rsid w:val="009111CF"/>
    <w:rsid w:val="009208F5"/>
    <w:rsid w:val="00927D51"/>
    <w:rsid w:val="00932272"/>
    <w:rsid w:val="00932862"/>
    <w:rsid w:val="00933B8C"/>
    <w:rsid w:val="00934854"/>
    <w:rsid w:val="00935D60"/>
    <w:rsid w:val="00940722"/>
    <w:rsid w:val="009447BB"/>
    <w:rsid w:val="00944C48"/>
    <w:rsid w:val="00946335"/>
    <w:rsid w:val="009513C4"/>
    <w:rsid w:val="00955E55"/>
    <w:rsid w:val="00957494"/>
    <w:rsid w:val="00962200"/>
    <w:rsid w:val="00966F54"/>
    <w:rsid w:val="00970414"/>
    <w:rsid w:val="00972AB0"/>
    <w:rsid w:val="00975E61"/>
    <w:rsid w:val="00976E31"/>
    <w:rsid w:val="00977C63"/>
    <w:rsid w:val="00980087"/>
    <w:rsid w:val="00980C0B"/>
    <w:rsid w:val="00985332"/>
    <w:rsid w:val="00987ABE"/>
    <w:rsid w:val="009906C7"/>
    <w:rsid w:val="009963CD"/>
    <w:rsid w:val="009B266D"/>
    <w:rsid w:val="009B5CBF"/>
    <w:rsid w:val="009C184A"/>
    <w:rsid w:val="009C2CA5"/>
    <w:rsid w:val="009C2EFA"/>
    <w:rsid w:val="009C54BC"/>
    <w:rsid w:val="009C649D"/>
    <w:rsid w:val="009E03C2"/>
    <w:rsid w:val="009E3240"/>
    <w:rsid w:val="009F0C73"/>
    <w:rsid w:val="009F2219"/>
    <w:rsid w:val="009F351F"/>
    <w:rsid w:val="009F3F89"/>
    <w:rsid w:val="009F480E"/>
    <w:rsid w:val="00A01E11"/>
    <w:rsid w:val="00A022A2"/>
    <w:rsid w:val="00A02D15"/>
    <w:rsid w:val="00A06BA3"/>
    <w:rsid w:val="00A1044C"/>
    <w:rsid w:val="00A11403"/>
    <w:rsid w:val="00A267D7"/>
    <w:rsid w:val="00A26B0D"/>
    <w:rsid w:val="00A36831"/>
    <w:rsid w:val="00A3735A"/>
    <w:rsid w:val="00A42F1B"/>
    <w:rsid w:val="00A511BE"/>
    <w:rsid w:val="00A546BC"/>
    <w:rsid w:val="00A55989"/>
    <w:rsid w:val="00A5694A"/>
    <w:rsid w:val="00A6027F"/>
    <w:rsid w:val="00A63DA4"/>
    <w:rsid w:val="00A70A34"/>
    <w:rsid w:val="00A75CD5"/>
    <w:rsid w:val="00A83DF3"/>
    <w:rsid w:val="00A85915"/>
    <w:rsid w:val="00A85C81"/>
    <w:rsid w:val="00A91824"/>
    <w:rsid w:val="00A952AB"/>
    <w:rsid w:val="00A9783D"/>
    <w:rsid w:val="00AA27E4"/>
    <w:rsid w:val="00AA45E6"/>
    <w:rsid w:val="00AB489C"/>
    <w:rsid w:val="00AB50C1"/>
    <w:rsid w:val="00AB6936"/>
    <w:rsid w:val="00AC0C3B"/>
    <w:rsid w:val="00AC2D63"/>
    <w:rsid w:val="00AD03D8"/>
    <w:rsid w:val="00AD0711"/>
    <w:rsid w:val="00AD704E"/>
    <w:rsid w:val="00AE0126"/>
    <w:rsid w:val="00AE5FE0"/>
    <w:rsid w:val="00AE60B7"/>
    <w:rsid w:val="00AE7851"/>
    <w:rsid w:val="00AF2AB7"/>
    <w:rsid w:val="00AF2B1C"/>
    <w:rsid w:val="00AF2C3F"/>
    <w:rsid w:val="00AF4D3F"/>
    <w:rsid w:val="00B0300B"/>
    <w:rsid w:val="00B05457"/>
    <w:rsid w:val="00B06675"/>
    <w:rsid w:val="00B10318"/>
    <w:rsid w:val="00B128A0"/>
    <w:rsid w:val="00B20240"/>
    <w:rsid w:val="00B23281"/>
    <w:rsid w:val="00B26737"/>
    <w:rsid w:val="00B27571"/>
    <w:rsid w:val="00B33040"/>
    <w:rsid w:val="00B4164B"/>
    <w:rsid w:val="00B5409A"/>
    <w:rsid w:val="00B54D0B"/>
    <w:rsid w:val="00B55574"/>
    <w:rsid w:val="00B6525D"/>
    <w:rsid w:val="00B65ABA"/>
    <w:rsid w:val="00B6790F"/>
    <w:rsid w:val="00B70821"/>
    <w:rsid w:val="00B71B3B"/>
    <w:rsid w:val="00B87D61"/>
    <w:rsid w:val="00B93948"/>
    <w:rsid w:val="00BA4BC7"/>
    <w:rsid w:val="00BA55B7"/>
    <w:rsid w:val="00BA5E47"/>
    <w:rsid w:val="00BA7D57"/>
    <w:rsid w:val="00BB156E"/>
    <w:rsid w:val="00BB3330"/>
    <w:rsid w:val="00BB47D7"/>
    <w:rsid w:val="00BB4A62"/>
    <w:rsid w:val="00BC01C1"/>
    <w:rsid w:val="00BC3D21"/>
    <w:rsid w:val="00BC5A34"/>
    <w:rsid w:val="00BD17F5"/>
    <w:rsid w:val="00BD6E05"/>
    <w:rsid w:val="00BE54D0"/>
    <w:rsid w:val="00BF16A4"/>
    <w:rsid w:val="00BF6B6C"/>
    <w:rsid w:val="00BF7251"/>
    <w:rsid w:val="00BF7F28"/>
    <w:rsid w:val="00C0021F"/>
    <w:rsid w:val="00C01909"/>
    <w:rsid w:val="00C029E2"/>
    <w:rsid w:val="00C05787"/>
    <w:rsid w:val="00C13059"/>
    <w:rsid w:val="00C156D4"/>
    <w:rsid w:val="00C167A3"/>
    <w:rsid w:val="00C2181C"/>
    <w:rsid w:val="00C2657D"/>
    <w:rsid w:val="00C32FC7"/>
    <w:rsid w:val="00C416E1"/>
    <w:rsid w:val="00C47A3F"/>
    <w:rsid w:val="00C47BF8"/>
    <w:rsid w:val="00C51B1C"/>
    <w:rsid w:val="00C53DCE"/>
    <w:rsid w:val="00C57FA0"/>
    <w:rsid w:val="00C634BF"/>
    <w:rsid w:val="00C655F2"/>
    <w:rsid w:val="00C65B61"/>
    <w:rsid w:val="00C70E53"/>
    <w:rsid w:val="00C722EF"/>
    <w:rsid w:val="00C72979"/>
    <w:rsid w:val="00C81529"/>
    <w:rsid w:val="00C81763"/>
    <w:rsid w:val="00C81BA6"/>
    <w:rsid w:val="00C8377C"/>
    <w:rsid w:val="00C87758"/>
    <w:rsid w:val="00C877CD"/>
    <w:rsid w:val="00C902E9"/>
    <w:rsid w:val="00C908B7"/>
    <w:rsid w:val="00C91D81"/>
    <w:rsid w:val="00C92510"/>
    <w:rsid w:val="00C92A42"/>
    <w:rsid w:val="00CA18F2"/>
    <w:rsid w:val="00CA1E21"/>
    <w:rsid w:val="00CA2AB9"/>
    <w:rsid w:val="00CA3CF5"/>
    <w:rsid w:val="00CA4871"/>
    <w:rsid w:val="00CA4AB1"/>
    <w:rsid w:val="00CA4D17"/>
    <w:rsid w:val="00CA6722"/>
    <w:rsid w:val="00CA6D4E"/>
    <w:rsid w:val="00CA7B4B"/>
    <w:rsid w:val="00CB36A8"/>
    <w:rsid w:val="00CC139A"/>
    <w:rsid w:val="00CC1E7A"/>
    <w:rsid w:val="00CC4F64"/>
    <w:rsid w:val="00CD058C"/>
    <w:rsid w:val="00CD3B98"/>
    <w:rsid w:val="00CD4216"/>
    <w:rsid w:val="00CD733F"/>
    <w:rsid w:val="00CE0942"/>
    <w:rsid w:val="00CE0FA2"/>
    <w:rsid w:val="00CE3B5A"/>
    <w:rsid w:val="00CE50E5"/>
    <w:rsid w:val="00CE59EB"/>
    <w:rsid w:val="00CE7CA5"/>
    <w:rsid w:val="00CF1D81"/>
    <w:rsid w:val="00CF2DC9"/>
    <w:rsid w:val="00CF7CB6"/>
    <w:rsid w:val="00D0232C"/>
    <w:rsid w:val="00D04672"/>
    <w:rsid w:val="00D16030"/>
    <w:rsid w:val="00D311AB"/>
    <w:rsid w:val="00D325A8"/>
    <w:rsid w:val="00D354E2"/>
    <w:rsid w:val="00D442AD"/>
    <w:rsid w:val="00D5618A"/>
    <w:rsid w:val="00D5784B"/>
    <w:rsid w:val="00D61D9A"/>
    <w:rsid w:val="00D63EFB"/>
    <w:rsid w:val="00D658AF"/>
    <w:rsid w:val="00D72C74"/>
    <w:rsid w:val="00D8111D"/>
    <w:rsid w:val="00D83DE9"/>
    <w:rsid w:val="00D8450D"/>
    <w:rsid w:val="00D95AF9"/>
    <w:rsid w:val="00D9699A"/>
    <w:rsid w:val="00DA09C9"/>
    <w:rsid w:val="00DA1822"/>
    <w:rsid w:val="00DA58B6"/>
    <w:rsid w:val="00DB5E1F"/>
    <w:rsid w:val="00DC19D8"/>
    <w:rsid w:val="00DC2613"/>
    <w:rsid w:val="00DC4512"/>
    <w:rsid w:val="00DD3691"/>
    <w:rsid w:val="00DD4B55"/>
    <w:rsid w:val="00DD577A"/>
    <w:rsid w:val="00DE1E90"/>
    <w:rsid w:val="00DE24E6"/>
    <w:rsid w:val="00DF07AD"/>
    <w:rsid w:val="00DF32B2"/>
    <w:rsid w:val="00DF3364"/>
    <w:rsid w:val="00DF7F88"/>
    <w:rsid w:val="00E055BB"/>
    <w:rsid w:val="00E11988"/>
    <w:rsid w:val="00E15DA9"/>
    <w:rsid w:val="00E2095D"/>
    <w:rsid w:val="00E30414"/>
    <w:rsid w:val="00E30ED4"/>
    <w:rsid w:val="00E377F9"/>
    <w:rsid w:val="00E40769"/>
    <w:rsid w:val="00E4240A"/>
    <w:rsid w:val="00E60F12"/>
    <w:rsid w:val="00E61DAD"/>
    <w:rsid w:val="00E652FB"/>
    <w:rsid w:val="00E66A2D"/>
    <w:rsid w:val="00E66C20"/>
    <w:rsid w:val="00E71C46"/>
    <w:rsid w:val="00E73FF0"/>
    <w:rsid w:val="00E75ED2"/>
    <w:rsid w:val="00E75FAA"/>
    <w:rsid w:val="00E8280C"/>
    <w:rsid w:val="00E83E4C"/>
    <w:rsid w:val="00E91933"/>
    <w:rsid w:val="00E92A81"/>
    <w:rsid w:val="00E938F8"/>
    <w:rsid w:val="00E969B1"/>
    <w:rsid w:val="00EA4331"/>
    <w:rsid w:val="00EB6552"/>
    <w:rsid w:val="00EC18E6"/>
    <w:rsid w:val="00EC1984"/>
    <w:rsid w:val="00EC234C"/>
    <w:rsid w:val="00EC2A02"/>
    <w:rsid w:val="00EC6AED"/>
    <w:rsid w:val="00ED3529"/>
    <w:rsid w:val="00ED4D17"/>
    <w:rsid w:val="00EE31F2"/>
    <w:rsid w:val="00EE6CD3"/>
    <w:rsid w:val="00EF2052"/>
    <w:rsid w:val="00EF20D7"/>
    <w:rsid w:val="00EF3419"/>
    <w:rsid w:val="00F0119C"/>
    <w:rsid w:val="00F02BDB"/>
    <w:rsid w:val="00F0441B"/>
    <w:rsid w:val="00F07623"/>
    <w:rsid w:val="00F178FC"/>
    <w:rsid w:val="00F3136B"/>
    <w:rsid w:val="00F314F1"/>
    <w:rsid w:val="00F327EA"/>
    <w:rsid w:val="00F42842"/>
    <w:rsid w:val="00F468CD"/>
    <w:rsid w:val="00F46E40"/>
    <w:rsid w:val="00F4760A"/>
    <w:rsid w:val="00F50962"/>
    <w:rsid w:val="00F51CB3"/>
    <w:rsid w:val="00F52B8E"/>
    <w:rsid w:val="00F53CFD"/>
    <w:rsid w:val="00F54AF5"/>
    <w:rsid w:val="00F557E3"/>
    <w:rsid w:val="00F569B2"/>
    <w:rsid w:val="00F61E78"/>
    <w:rsid w:val="00F635C5"/>
    <w:rsid w:val="00F736E3"/>
    <w:rsid w:val="00F767E8"/>
    <w:rsid w:val="00F76EE4"/>
    <w:rsid w:val="00F77AED"/>
    <w:rsid w:val="00F8599A"/>
    <w:rsid w:val="00F86A3F"/>
    <w:rsid w:val="00F90A3F"/>
    <w:rsid w:val="00F91297"/>
    <w:rsid w:val="00F9133B"/>
    <w:rsid w:val="00F93D34"/>
    <w:rsid w:val="00F97730"/>
    <w:rsid w:val="00FA1FEE"/>
    <w:rsid w:val="00FA3ABC"/>
    <w:rsid w:val="00FA719D"/>
    <w:rsid w:val="00FB32A4"/>
    <w:rsid w:val="00FB594D"/>
    <w:rsid w:val="00FB6D50"/>
    <w:rsid w:val="00FC49BB"/>
    <w:rsid w:val="00FD4A11"/>
    <w:rsid w:val="00FD616B"/>
    <w:rsid w:val="00FE0B50"/>
    <w:rsid w:val="00FE367F"/>
    <w:rsid w:val="00FE6E50"/>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1AEDB9"/>
  <w15:chartTrackingRefBased/>
  <w15:docId w15:val="{EDF50903-5C6A-4AB2-8603-A4AC51D4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1" w:qFormat="1"/>
    <w:lsdException w:name="heading 3" w:uiPriority="9"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1"/>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link w:val="Heading6Char"/>
    <w:uiPriority w:val="1"/>
    <w:qFormat/>
    <w:rsid w:val="002021C0"/>
    <w:pPr>
      <w:widowControl w:val="0"/>
      <w:autoSpaceDE w:val="0"/>
      <w:autoSpaceDN w:val="0"/>
      <w:spacing w:before="23"/>
      <w:ind w:left="2529"/>
      <w:outlineLvl w:val="5"/>
    </w:pPr>
    <w:rPr>
      <w:rFonts w:ascii="Trebuchet MS" w:eastAsia="Trebuchet MS" w:hAnsi="Trebuchet MS" w:cs="Trebuchet MS"/>
      <w:b/>
      <w:bCs/>
      <w:sz w:val="25"/>
      <w:szCs w:val="25"/>
      <w:lang w:val="en-US" w:bidi="en-US"/>
    </w:rPr>
  </w:style>
  <w:style w:type="paragraph" w:styleId="Heading7">
    <w:name w:val="heading 7"/>
    <w:basedOn w:val="Normal"/>
    <w:link w:val="Heading7Char"/>
    <w:uiPriority w:val="1"/>
    <w:qFormat/>
    <w:rsid w:val="002021C0"/>
    <w:pPr>
      <w:widowControl w:val="0"/>
      <w:autoSpaceDE w:val="0"/>
      <w:autoSpaceDN w:val="0"/>
      <w:spacing w:before="93"/>
      <w:ind w:left="1133" w:right="2818"/>
      <w:outlineLvl w:val="6"/>
    </w:pPr>
    <w:rPr>
      <w:rFonts w:ascii="Lucida Sans" w:eastAsia="Lucida Sans" w:hAnsi="Lucida Sans" w:cs="Lucida Sans"/>
      <w:sz w:val="24"/>
      <w:szCs w:val="24"/>
      <w:lang w:val="en-US" w:bidi="en-US"/>
    </w:rPr>
  </w:style>
  <w:style w:type="paragraph" w:styleId="Heading8">
    <w:name w:val="heading 8"/>
    <w:basedOn w:val="Normal"/>
    <w:next w:val="Normal"/>
    <w:link w:val="Heading8Char"/>
    <w:uiPriority w:val="1"/>
    <w:unhideWhenUsed/>
    <w:qFormat/>
    <w:rsid w:val="0058032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link w:val="Heading9Char"/>
    <w:uiPriority w:val="1"/>
    <w:qFormat/>
    <w:rsid w:val="002021C0"/>
    <w:pPr>
      <w:widowControl w:val="0"/>
      <w:autoSpaceDE w:val="0"/>
      <w:autoSpaceDN w:val="0"/>
      <w:spacing w:line="220" w:lineRule="exact"/>
      <w:outlineLvl w:val="8"/>
    </w:pPr>
    <w:rPr>
      <w:rFonts w:ascii="Lucida Sans" w:eastAsia="Lucida Sans" w:hAnsi="Lucida Sans" w:cs="Lucida Sans"/>
      <w: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257E6A"/>
    <w:pPr>
      <w:ind w:left="397"/>
    </w:pPr>
    <w:rPr>
      <w:b/>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odyText">
    <w:name w:val="Body Text"/>
    <w:basedOn w:val="Normal"/>
    <w:link w:val="BodyTextChar"/>
    <w:uiPriority w:val="1"/>
    <w:qFormat/>
    <w:rsid w:val="00E377F9"/>
    <w:pPr>
      <w:widowControl w:val="0"/>
      <w:autoSpaceDE w:val="0"/>
      <w:autoSpaceDN w:val="0"/>
    </w:pPr>
    <w:rPr>
      <w:rFonts w:ascii="Lucida Sans" w:eastAsia="Lucida Sans" w:hAnsi="Lucida Sans" w:cs="Lucida Sans"/>
      <w:sz w:val="19"/>
      <w:szCs w:val="19"/>
      <w:lang w:val="en-US" w:bidi="en-US"/>
    </w:rPr>
  </w:style>
  <w:style w:type="character" w:customStyle="1" w:styleId="BodyTextChar">
    <w:name w:val="Body Text Char"/>
    <w:basedOn w:val="DefaultParagraphFont"/>
    <w:link w:val="BodyText"/>
    <w:uiPriority w:val="1"/>
    <w:rsid w:val="00E377F9"/>
    <w:rPr>
      <w:rFonts w:ascii="Lucida Sans" w:eastAsia="Lucida Sans" w:hAnsi="Lucida Sans" w:cs="Lucida Sans"/>
      <w:sz w:val="19"/>
      <w:szCs w:val="19"/>
      <w:lang w:val="en-US" w:eastAsia="en-US" w:bidi="en-US"/>
    </w:rPr>
  </w:style>
  <w:style w:type="character" w:styleId="UnresolvedMention">
    <w:name w:val="Unresolved Mention"/>
    <w:basedOn w:val="DefaultParagraphFont"/>
    <w:uiPriority w:val="99"/>
    <w:semiHidden/>
    <w:unhideWhenUsed/>
    <w:rsid w:val="00F51CB3"/>
    <w:rPr>
      <w:color w:val="605E5C"/>
      <w:shd w:val="clear" w:color="auto" w:fill="E1DFDD"/>
    </w:rPr>
  </w:style>
  <w:style w:type="character" w:customStyle="1" w:styleId="Heading8Char">
    <w:name w:val="Heading 8 Char"/>
    <w:basedOn w:val="DefaultParagraphFont"/>
    <w:link w:val="Heading8"/>
    <w:uiPriority w:val="9"/>
    <w:semiHidden/>
    <w:rsid w:val="0058032F"/>
    <w:rPr>
      <w:rFonts w:asciiTheme="minorHAnsi" w:eastAsiaTheme="minorEastAsia" w:hAnsiTheme="minorHAnsi" w:cstheme="minorBidi"/>
      <w:i/>
      <w:iCs/>
      <w:sz w:val="24"/>
      <w:szCs w:val="24"/>
      <w:lang w:eastAsia="en-US"/>
    </w:rPr>
  </w:style>
  <w:style w:type="character" w:customStyle="1" w:styleId="Heading6Char">
    <w:name w:val="Heading 6 Char"/>
    <w:basedOn w:val="DefaultParagraphFont"/>
    <w:link w:val="Heading6"/>
    <w:uiPriority w:val="1"/>
    <w:rsid w:val="002021C0"/>
    <w:rPr>
      <w:rFonts w:ascii="Trebuchet MS" w:eastAsia="Trebuchet MS" w:hAnsi="Trebuchet MS" w:cs="Trebuchet MS"/>
      <w:b/>
      <w:bCs/>
      <w:sz w:val="25"/>
      <w:szCs w:val="25"/>
      <w:lang w:val="en-US" w:eastAsia="en-US" w:bidi="en-US"/>
    </w:rPr>
  </w:style>
  <w:style w:type="character" w:customStyle="1" w:styleId="Heading7Char">
    <w:name w:val="Heading 7 Char"/>
    <w:basedOn w:val="DefaultParagraphFont"/>
    <w:link w:val="Heading7"/>
    <w:uiPriority w:val="1"/>
    <w:rsid w:val="002021C0"/>
    <w:rPr>
      <w:rFonts w:ascii="Lucida Sans" w:eastAsia="Lucida Sans" w:hAnsi="Lucida Sans" w:cs="Lucida Sans"/>
      <w:sz w:val="24"/>
      <w:szCs w:val="24"/>
      <w:lang w:val="en-US" w:eastAsia="en-US" w:bidi="en-US"/>
    </w:rPr>
  </w:style>
  <w:style w:type="character" w:customStyle="1" w:styleId="Heading9Char">
    <w:name w:val="Heading 9 Char"/>
    <w:basedOn w:val="DefaultParagraphFont"/>
    <w:link w:val="Heading9"/>
    <w:uiPriority w:val="1"/>
    <w:rsid w:val="002021C0"/>
    <w:rPr>
      <w:rFonts w:ascii="Lucida Sans" w:eastAsia="Lucida Sans" w:hAnsi="Lucida Sans" w:cs="Lucida Sans"/>
      <w:i/>
      <w:sz w:val="22"/>
      <w:szCs w:val="22"/>
      <w:lang w:val="en-US" w:eastAsia="en-US" w:bidi="en-US"/>
    </w:rPr>
  </w:style>
  <w:style w:type="paragraph" w:styleId="ListParagraph">
    <w:name w:val="List Paragraph"/>
    <w:basedOn w:val="Normal"/>
    <w:uiPriority w:val="1"/>
    <w:qFormat/>
    <w:rsid w:val="002021C0"/>
    <w:pPr>
      <w:widowControl w:val="0"/>
      <w:autoSpaceDE w:val="0"/>
      <w:autoSpaceDN w:val="0"/>
      <w:spacing w:before="27"/>
      <w:ind w:left="1077" w:hanging="227"/>
    </w:pPr>
    <w:rPr>
      <w:rFonts w:ascii="Lucida Sans" w:eastAsia="Lucida Sans" w:hAnsi="Lucida Sans" w:cs="Lucida Sans"/>
      <w:sz w:val="22"/>
      <w:szCs w:val="22"/>
      <w:lang w:val="en-US" w:bidi="en-US"/>
    </w:rPr>
  </w:style>
  <w:style w:type="paragraph" w:customStyle="1" w:styleId="TableParagraph">
    <w:name w:val="Table Paragraph"/>
    <w:basedOn w:val="Normal"/>
    <w:uiPriority w:val="1"/>
    <w:qFormat/>
    <w:rsid w:val="002021C0"/>
    <w:pPr>
      <w:widowControl w:val="0"/>
      <w:autoSpaceDE w:val="0"/>
      <w:autoSpaceDN w:val="0"/>
      <w:spacing w:before="39"/>
      <w:ind w:left="108"/>
    </w:pPr>
    <w:rPr>
      <w:rFonts w:ascii="Lucida Sans" w:eastAsia="Lucida Sans" w:hAnsi="Lucida Sans" w:cs="Lucida Sans"/>
      <w:sz w:val="22"/>
      <w:szCs w:val="22"/>
      <w:lang w:val="en-US" w:bidi="en-US"/>
    </w:rPr>
  </w:style>
  <w:style w:type="paragraph" w:customStyle="1" w:styleId="Pa22">
    <w:name w:val="Pa22"/>
    <w:basedOn w:val="Normal"/>
    <w:next w:val="Normal"/>
    <w:uiPriority w:val="99"/>
    <w:rsid w:val="00FD4A11"/>
    <w:pPr>
      <w:autoSpaceDE w:val="0"/>
      <w:autoSpaceDN w:val="0"/>
      <w:adjustRightInd w:val="0"/>
      <w:spacing w:line="221" w:lineRule="atLeast"/>
    </w:pPr>
    <w:rPr>
      <w:rFonts w:ascii="VIC SemiBold" w:hAnsi="VIC SemiBold"/>
      <w:sz w:val="24"/>
      <w:szCs w:val="24"/>
      <w:lang w:eastAsia="en-AU"/>
    </w:rPr>
  </w:style>
  <w:style w:type="character" w:customStyle="1" w:styleId="A1">
    <w:name w:val="A1"/>
    <w:uiPriority w:val="99"/>
    <w:rsid w:val="00FD4A11"/>
    <w:rPr>
      <w:rFonts w:ascii="VIC" w:hAnsi="VIC" w:cs="VIC"/>
      <w:color w:val="000000"/>
      <w:sz w:val="19"/>
      <w:szCs w:val="19"/>
    </w:rPr>
  </w:style>
  <w:style w:type="character" w:customStyle="1" w:styleId="A29">
    <w:name w:val="A29"/>
    <w:uiPriority w:val="99"/>
    <w:rsid w:val="00FD4A11"/>
    <w:rPr>
      <w:rFonts w:cs="VIC"/>
      <w:color w:val="000000"/>
    </w:rPr>
  </w:style>
  <w:style w:type="paragraph" w:customStyle="1" w:styleId="Pa24">
    <w:name w:val="Pa24"/>
    <w:basedOn w:val="Normal"/>
    <w:next w:val="Normal"/>
    <w:uiPriority w:val="99"/>
    <w:rsid w:val="005E6663"/>
    <w:pPr>
      <w:autoSpaceDE w:val="0"/>
      <w:autoSpaceDN w:val="0"/>
      <w:adjustRightInd w:val="0"/>
      <w:spacing w:line="161" w:lineRule="atLeast"/>
    </w:pPr>
    <w:rPr>
      <w:rFonts w:ascii="VIC SemiBold" w:hAnsi="VIC SemiBold"/>
      <w:sz w:val="24"/>
      <w:szCs w:val="24"/>
      <w:lang w:eastAsia="en-AU"/>
    </w:rPr>
  </w:style>
  <w:style w:type="paragraph" w:customStyle="1" w:styleId="Pa48">
    <w:name w:val="Pa48"/>
    <w:basedOn w:val="Normal"/>
    <w:next w:val="Normal"/>
    <w:uiPriority w:val="99"/>
    <w:rsid w:val="005E6663"/>
    <w:pPr>
      <w:autoSpaceDE w:val="0"/>
      <w:autoSpaceDN w:val="0"/>
      <w:adjustRightInd w:val="0"/>
      <w:spacing w:line="161" w:lineRule="atLeast"/>
    </w:pPr>
    <w:rPr>
      <w:rFonts w:ascii="VIC SemiBold" w:hAnsi="VIC SemiBold"/>
      <w:sz w:val="24"/>
      <w:szCs w:val="24"/>
      <w:lang w:eastAsia="en-AU"/>
    </w:rPr>
  </w:style>
  <w:style w:type="paragraph" w:customStyle="1" w:styleId="Default">
    <w:name w:val="Default"/>
    <w:rsid w:val="007317EC"/>
    <w:pPr>
      <w:autoSpaceDE w:val="0"/>
      <w:autoSpaceDN w:val="0"/>
      <w:adjustRightInd w:val="0"/>
    </w:pPr>
    <w:rPr>
      <w:rFonts w:ascii="VIC" w:hAnsi="VIC" w:cs="VIC"/>
      <w:color w:val="000000"/>
      <w:sz w:val="24"/>
      <w:szCs w:val="24"/>
    </w:rPr>
  </w:style>
  <w:style w:type="character" w:customStyle="1" w:styleId="A23">
    <w:name w:val="A23"/>
    <w:uiPriority w:val="99"/>
    <w:rsid w:val="007317EC"/>
    <w:rPr>
      <w:rFonts w:cs="VIC"/>
      <w:color w:val="000000"/>
      <w:sz w:val="19"/>
      <w:szCs w:val="19"/>
    </w:rPr>
  </w:style>
  <w:style w:type="paragraph" w:customStyle="1" w:styleId="Pa19">
    <w:name w:val="Pa19"/>
    <w:basedOn w:val="Default"/>
    <w:next w:val="Default"/>
    <w:uiPriority w:val="99"/>
    <w:rsid w:val="005C1A44"/>
    <w:pPr>
      <w:spacing w:line="321" w:lineRule="atLeast"/>
    </w:pPr>
    <w:rPr>
      <w:rFonts w:cs="Times New Roman"/>
      <w:color w:val="auto"/>
    </w:rPr>
  </w:style>
  <w:style w:type="paragraph" w:customStyle="1" w:styleId="Pa3">
    <w:name w:val="Pa3"/>
    <w:basedOn w:val="Default"/>
    <w:next w:val="Default"/>
    <w:uiPriority w:val="99"/>
    <w:rsid w:val="00881FB4"/>
    <w:pPr>
      <w:spacing w:line="191" w:lineRule="atLeast"/>
    </w:pPr>
    <w:rPr>
      <w:rFonts w:ascii="VIC SemiBold" w:hAnsi="VIC SemiBold" w:cs="Times New Roman"/>
      <w:color w:val="auto"/>
    </w:rPr>
  </w:style>
  <w:style w:type="paragraph" w:customStyle="1" w:styleId="DHHSboxheading">
    <w:name w:val="DHHS box heading"/>
    <w:basedOn w:val="DHHSbody"/>
    <w:rsid w:val="00143E87"/>
    <w:pPr>
      <w:spacing w:before="120"/>
    </w:pPr>
    <w:rPr>
      <w:b/>
      <w:bCs/>
      <w:sz w:val="22"/>
      <w:szCs w:val="22"/>
    </w:rPr>
  </w:style>
  <w:style w:type="paragraph" w:customStyle="1" w:styleId="msonormal0">
    <w:name w:val="msonormal"/>
    <w:basedOn w:val="Normal"/>
    <w:rsid w:val="004E24F2"/>
    <w:pPr>
      <w:spacing w:before="100" w:beforeAutospacing="1" w:after="100" w:afterAutospacing="1"/>
    </w:pPr>
    <w:rPr>
      <w:rFonts w:ascii="Times New Roman" w:hAnsi="Times New Roman"/>
      <w:sz w:val="24"/>
      <w:szCs w:val="24"/>
      <w:lang w:eastAsia="en-AU"/>
    </w:rPr>
  </w:style>
  <w:style w:type="character" w:customStyle="1" w:styleId="HeaderChar">
    <w:name w:val="Header Char"/>
    <w:basedOn w:val="DefaultParagraphFont"/>
    <w:link w:val="Header"/>
    <w:uiPriority w:val="99"/>
    <w:rsid w:val="004E24F2"/>
    <w:rPr>
      <w:rFonts w:ascii="Arial" w:hAnsi="Arial" w:cs="Arial"/>
      <w:sz w:val="18"/>
      <w:szCs w:val="18"/>
      <w:lang w:eastAsia="en-US"/>
    </w:rPr>
  </w:style>
  <w:style w:type="character" w:customStyle="1" w:styleId="FooterChar">
    <w:name w:val="Footer Char"/>
    <w:basedOn w:val="DefaultParagraphFont"/>
    <w:link w:val="Footer"/>
    <w:uiPriority w:val="99"/>
    <w:rsid w:val="004E24F2"/>
    <w:rPr>
      <w:rFonts w:ascii="Arial" w:hAnsi="Arial" w:cs="Arial"/>
      <w:sz w:val="18"/>
      <w:szCs w:val="18"/>
      <w:lang w:eastAsia="en-US"/>
    </w:rPr>
  </w:style>
  <w:style w:type="paragraph" w:styleId="BalloonText">
    <w:name w:val="Balloon Text"/>
    <w:basedOn w:val="Normal"/>
    <w:link w:val="BalloonTextChar"/>
    <w:uiPriority w:val="99"/>
    <w:semiHidden/>
    <w:unhideWhenUsed/>
    <w:rsid w:val="00422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254">
      <w:bodyDiv w:val="1"/>
      <w:marLeft w:val="0"/>
      <w:marRight w:val="0"/>
      <w:marTop w:val="0"/>
      <w:marBottom w:val="0"/>
      <w:divBdr>
        <w:top w:val="none" w:sz="0" w:space="0" w:color="auto"/>
        <w:left w:val="none" w:sz="0" w:space="0" w:color="auto"/>
        <w:bottom w:val="none" w:sz="0" w:space="0" w:color="auto"/>
        <w:right w:val="none" w:sz="0" w:space="0" w:color="auto"/>
      </w:divBdr>
    </w:div>
    <w:div w:id="425658943">
      <w:bodyDiv w:val="1"/>
      <w:marLeft w:val="0"/>
      <w:marRight w:val="0"/>
      <w:marTop w:val="0"/>
      <w:marBottom w:val="0"/>
      <w:divBdr>
        <w:top w:val="none" w:sz="0" w:space="0" w:color="auto"/>
        <w:left w:val="none" w:sz="0" w:space="0" w:color="auto"/>
        <w:bottom w:val="none" w:sz="0" w:space="0" w:color="auto"/>
        <w:right w:val="none" w:sz="0" w:space="0" w:color="auto"/>
      </w:divBdr>
    </w:div>
    <w:div w:id="541987617">
      <w:bodyDiv w:val="1"/>
      <w:marLeft w:val="0"/>
      <w:marRight w:val="0"/>
      <w:marTop w:val="0"/>
      <w:marBottom w:val="0"/>
      <w:divBdr>
        <w:top w:val="none" w:sz="0" w:space="0" w:color="auto"/>
        <w:left w:val="none" w:sz="0" w:space="0" w:color="auto"/>
        <w:bottom w:val="none" w:sz="0" w:space="0" w:color="auto"/>
        <w:right w:val="none" w:sz="0" w:space="0" w:color="auto"/>
      </w:divBdr>
    </w:div>
    <w:div w:id="614169407">
      <w:bodyDiv w:val="1"/>
      <w:marLeft w:val="0"/>
      <w:marRight w:val="0"/>
      <w:marTop w:val="0"/>
      <w:marBottom w:val="0"/>
      <w:divBdr>
        <w:top w:val="none" w:sz="0" w:space="0" w:color="auto"/>
        <w:left w:val="none" w:sz="0" w:space="0" w:color="auto"/>
        <w:bottom w:val="none" w:sz="0" w:space="0" w:color="auto"/>
        <w:right w:val="none" w:sz="0" w:space="0" w:color="auto"/>
      </w:divBdr>
    </w:div>
    <w:div w:id="619846142">
      <w:bodyDiv w:val="1"/>
      <w:marLeft w:val="0"/>
      <w:marRight w:val="0"/>
      <w:marTop w:val="0"/>
      <w:marBottom w:val="0"/>
      <w:divBdr>
        <w:top w:val="none" w:sz="0" w:space="0" w:color="auto"/>
        <w:left w:val="none" w:sz="0" w:space="0" w:color="auto"/>
        <w:bottom w:val="none" w:sz="0" w:space="0" w:color="auto"/>
        <w:right w:val="none" w:sz="0" w:space="0" w:color="auto"/>
      </w:divBdr>
    </w:div>
    <w:div w:id="727147007">
      <w:bodyDiv w:val="1"/>
      <w:marLeft w:val="0"/>
      <w:marRight w:val="0"/>
      <w:marTop w:val="0"/>
      <w:marBottom w:val="0"/>
      <w:divBdr>
        <w:top w:val="none" w:sz="0" w:space="0" w:color="auto"/>
        <w:left w:val="none" w:sz="0" w:space="0" w:color="auto"/>
        <w:bottom w:val="none" w:sz="0" w:space="0" w:color="auto"/>
        <w:right w:val="none" w:sz="0" w:space="0" w:color="auto"/>
      </w:divBdr>
    </w:div>
    <w:div w:id="747774598">
      <w:bodyDiv w:val="1"/>
      <w:marLeft w:val="0"/>
      <w:marRight w:val="0"/>
      <w:marTop w:val="0"/>
      <w:marBottom w:val="0"/>
      <w:divBdr>
        <w:top w:val="none" w:sz="0" w:space="0" w:color="auto"/>
        <w:left w:val="none" w:sz="0" w:space="0" w:color="auto"/>
        <w:bottom w:val="none" w:sz="0" w:space="0" w:color="auto"/>
        <w:right w:val="none" w:sz="0" w:space="0" w:color="auto"/>
      </w:divBdr>
    </w:div>
    <w:div w:id="1118376181">
      <w:bodyDiv w:val="1"/>
      <w:marLeft w:val="0"/>
      <w:marRight w:val="0"/>
      <w:marTop w:val="0"/>
      <w:marBottom w:val="0"/>
      <w:divBdr>
        <w:top w:val="none" w:sz="0" w:space="0" w:color="auto"/>
        <w:left w:val="none" w:sz="0" w:space="0" w:color="auto"/>
        <w:bottom w:val="none" w:sz="0" w:space="0" w:color="auto"/>
        <w:right w:val="none" w:sz="0" w:space="0" w:color="auto"/>
      </w:divBdr>
    </w:div>
    <w:div w:id="1146436649">
      <w:bodyDiv w:val="1"/>
      <w:marLeft w:val="0"/>
      <w:marRight w:val="0"/>
      <w:marTop w:val="0"/>
      <w:marBottom w:val="0"/>
      <w:divBdr>
        <w:top w:val="none" w:sz="0" w:space="0" w:color="auto"/>
        <w:left w:val="none" w:sz="0" w:space="0" w:color="auto"/>
        <w:bottom w:val="none" w:sz="0" w:space="0" w:color="auto"/>
        <w:right w:val="none" w:sz="0" w:space="0" w:color="auto"/>
      </w:divBdr>
    </w:div>
    <w:div w:id="163283052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88109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ntalhealthplan.vic.gov.a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vic.gov.au/aboriginalvictoria/policy/victorian-aboriginal-affairs-framework/aboriginal-affairs-report-2017.html" TargetMode="External"/><Relationship Id="rId7" Type="http://schemas.openxmlformats.org/officeDocument/2006/relationships/endnotes" Target="endnotes.xml"/><Relationship Id="rId12" Type="http://schemas.openxmlformats.org/officeDocument/2006/relationships/hyperlink" Target="mailto:mhs.annualreport@dhhs.vic.gov.au"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hhs.vic.gov.au/" TargetMode="External"/><Relationship Id="rId20" Type="http://schemas.openxmlformats.org/officeDocument/2006/relationships/hyperlink" Target="mailto:mhs.annualreport@dhh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s.annualreport@dhhs.vic.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mailto:mhs.annualreport@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ntalhealthplan.vic.gov.au/" TargetMode="External"/><Relationship Id="rId22" Type="http://schemas.openxmlformats.org/officeDocument/2006/relationships/hyperlink" Target="http://www.vic.gov.au/aboriginalvictoria/policy/victorian-aboriginal-affairs-framework/aboriginal-affairs-report-20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cuments\The%20Word%20Guy\Clients\DHHS\Style%20guides%20-%20templates%20-%20accessibility\All%20templates%20-%20save%20as%20.docx%20when%20using\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682A-F043-45E9-8982-8E36FD73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Greyscale.dot</Template>
  <TotalTime>260</TotalTime>
  <Pages>62</Pages>
  <Words>20370</Words>
  <Characters>116659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Victoria’s mental health services annual report 2017–18</vt:lpstr>
    </vt:vector>
  </TitlesOfParts>
  <Company>Department of Health and Human Services</Company>
  <LinksUpToDate>false</LinksUpToDate>
  <CharactersWithSpaces>136756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mental health services annual report 2017–18</dc:title>
  <dc:subject>Victoria’s mental health services annual report 2017–18</dc:subject>
  <dc:creator>Health and Wellbeing Division</dc:creator>
  <cp:keywords/>
  <cp:lastModifiedBy>Jason Leung (DHHS)</cp:lastModifiedBy>
  <cp:revision>14</cp:revision>
  <cp:lastPrinted>2015-08-24T03:33:00Z</cp:lastPrinted>
  <dcterms:created xsi:type="dcterms:W3CDTF">2019-12-22T23:08:00Z</dcterms:created>
  <dcterms:modified xsi:type="dcterms:W3CDTF">2019-12-27T00:55:00Z</dcterms:modified>
  <cp:category>Victoria, mental health services, annual report, 2017–18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