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2D7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A4BB942" wp14:editId="660EE4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36E7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9D6392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E41B553" w14:textId="527B355D" w:rsidR="003B5733" w:rsidRPr="003B5733" w:rsidRDefault="004A535D" w:rsidP="003B5733">
            <w:pPr>
              <w:pStyle w:val="Documenttitle"/>
            </w:pPr>
            <w:r w:rsidRPr="004A535D">
              <w:rPr>
                <w:bCs/>
              </w:rPr>
              <w:t>Advanced Practice Nurse Endoscopist’s (APNE)</w:t>
            </w:r>
          </w:p>
        </w:tc>
      </w:tr>
      <w:tr w:rsidR="003B5733" w:rsidRPr="00626DC1" w14:paraId="47F460D3" w14:textId="77777777" w:rsidTr="00B07FF7">
        <w:tc>
          <w:tcPr>
            <w:tcW w:w="10348" w:type="dxa"/>
          </w:tcPr>
          <w:p w14:paraId="6A5B345A" w14:textId="7297A70D" w:rsidR="003B5733" w:rsidRPr="00626DC1" w:rsidRDefault="004A535D" w:rsidP="001B7DAC">
            <w:pPr>
              <w:pStyle w:val="Documentsubtitle"/>
              <w:rPr>
                <w:rFonts w:cs="Arial"/>
              </w:rPr>
            </w:pPr>
            <w:r w:rsidRPr="004A535D">
              <w:rPr>
                <w:rFonts w:cs="Arial"/>
              </w:rPr>
              <w:t>An Organisational Readiness Checklist</w:t>
            </w:r>
          </w:p>
        </w:tc>
      </w:tr>
      <w:tr w:rsidR="003B5733" w:rsidRPr="00626DC1" w14:paraId="1B920592" w14:textId="77777777" w:rsidTr="00B07FF7">
        <w:tc>
          <w:tcPr>
            <w:tcW w:w="10348" w:type="dxa"/>
          </w:tcPr>
          <w:p w14:paraId="0533495C" w14:textId="77777777" w:rsidR="003B5733" w:rsidRPr="00626DC1" w:rsidRDefault="00554C28" w:rsidP="001E5058">
            <w:pPr>
              <w:pStyle w:val="Bannermarking"/>
              <w:rPr>
                <w:rFonts w:cs="Arial"/>
              </w:rPr>
            </w:pPr>
            <w:r w:rsidRPr="00626DC1">
              <w:rPr>
                <w:rFonts w:cs="Arial"/>
              </w:rPr>
              <w:fldChar w:fldCharType="begin"/>
            </w:r>
            <w:r w:rsidRPr="00626DC1">
              <w:rPr>
                <w:rFonts w:cs="Arial"/>
              </w:rPr>
              <w:instrText xml:space="preserve"> FILLIN  "Type the protective marking" \d OFFICIAL \o  \* MERGEFORMAT </w:instrText>
            </w:r>
            <w:r w:rsidRPr="00626DC1">
              <w:rPr>
                <w:rFonts w:cs="Arial"/>
              </w:rPr>
              <w:fldChar w:fldCharType="separate"/>
            </w:r>
            <w:r w:rsidR="00626DC1" w:rsidRPr="00626DC1">
              <w:rPr>
                <w:rFonts w:cs="Arial"/>
              </w:rPr>
              <w:t>OFFICIAL</w:t>
            </w:r>
            <w:r w:rsidRPr="00626DC1">
              <w:rPr>
                <w:rFonts w:cs="Arial"/>
              </w:rPr>
              <w:fldChar w:fldCharType="end"/>
            </w:r>
          </w:p>
        </w:tc>
      </w:tr>
    </w:tbl>
    <w:p w14:paraId="76BA3E99" w14:textId="77777777" w:rsidR="00626DC1" w:rsidRDefault="00626DC1" w:rsidP="00626DC1">
      <w:pPr>
        <w:spacing w:after="0" w:line="259" w:lineRule="auto"/>
        <w:rPr>
          <w:rFonts w:cs="Arial"/>
          <w:b/>
          <w:bCs/>
          <w:sz w:val="24"/>
          <w:szCs w:val="24"/>
        </w:rPr>
      </w:pPr>
      <w:bookmarkStart w:id="0" w:name="_Hlk39660835"/>
      <w:bookmarkStart w:id="1" w:name="_Hlk41913885"/>
    </w:p>
    <w:bookmarkEnd w:id="0"/>
    <w:p w14:paraId="4F1BCE16" w14:textId="77777777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 xml:space="preserve">This document is a guide for Victorian health services that are considering the value of providing an APNE service and training registered nurses, to meet the needs of such a service. </w:t>
      </w:r>
    </w:p>
    <w:p w14:paraId="78BDEEB7" w14:textId="1EAE548F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>From 2013-2019, the Victorian Government funded the establishment and further development of a State Endoscopy Training Centre (SETC) at Austin Health</w:t>
      </w:r>
      <w:r w:rsidR="00905048" w:rsidRPr="00817BA1">
        <w:rPr>
          <w:rFonts w:eastAsia="MS Mincho" w:cs="Arial"/>
          <w:szCs w:val="21"/>
        </w:rPr>
        <w:t xml:space="preserve">. This initiative </w:t>
      </w:r>
      <w:r w:rsidR="006132C1">
        <w:rPr>
          <w:rFonts w:eastAsia="MS Mincho" w:cs="Arial"/>
          <w:szCs w:val="21"/>
        </w:rPr>
        <w:t>sought</w:t>
      </w:r>
      <w:r w:rsidR="006132C1" w:rsidRPr="00817BA1">
        <w:rPr>
          <w:rFonts w:eastAsia="MS Mincho" w:cs="Arial"/>
          <w:szCs w:val="21"/>
        </w:rPr>
        <w:t xml:space="preserve"> </w:t>
      </w:r>
      <w:r w:rsidR="00905048" w:rsidRPr="00817BA1">
        <w:rPr>
          <w:rFonts w:eastAsia="MS Mincho" w:cs="Arial"/>
          <w:szCs w:val="21"/>
        </w:rPr>
        <w:t>to</w:t>
      </w:r>
      <w:r w:rsidRPr="00817BA1">
        <w:rPr>
          <w:rFonts w:eastAsia="MS Mincho" w:cs="Arial"/>
          <w:szCs w:val="21"/>
        </w:rPr>
        <w:t xml:space="preserve"> address increasing demand for endoscopic procedures, in particular colonoscopy, </w:t>
      </w:r>
      <w:r w:rsidR="00905048" w:rsidRPr="00817BA1">
        <w:rPr>
          <w:rFonts w:eastAsia="MS Mincho" w:cs="Arial"/>
          <w:szCs w:val="21"/>
        </w:rPr>
        <w:t>post</w:t>
      </w:r>
      <w:r w:rsidRPr="00817BA1">
        <w:rPr>
          <w:rFonts w:eastAsia="MS Mincho" w:cs="Arial"/>
          <w:szCs w:val="21"/>
        </w:rPr>
        <w:t xml:space="preserve"> implementation of the National Bowel Cancer Screening Program. The SETC was structured to deliver APNE training via a multi-site, partnership arrangement with other health services seeking to establish and provide an APNE service. </w:t>
      </w:r>
    </w:p>
    <w:p w14:paraId="297BE2AF" w14:textId="0670F95F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 xml:space="preserve">The </w:t>
      </w:r>
      <w:r w:rsidR="00905048" w:rsidRPr="00817BA1">
        <w:rPr>
          <w:rFonts w:eastAsia="MS Mincho" w:cs="Arial"/>
          <w:szCs w:val="21"/>
        </w:rPr>
        <w:t xml:space="preserve">Department of Health (the Department) now </w:t>
      </w:r>
      <w:r w:rsidRPr="00817BA1">
        <w:rPr>
          <w:rFonts w:eastAsia="MS Mincho" w:cs="Arial"/>
          <w:szCs w:val="21"/>
        </w:rPr>
        <w:t>recommend</w:t>
      </w:r>
      <w:r w:rsidR="00905048" w:rsidRPr="00817BA1">
        <w:rPr>
          <w:rFonts w:eastAsia="MS Mincho" w:cs="Arial"/>
          <w:szCs w:val="21"/>
        </w:rPr>
        <w:t>s an</w:t>
      </w:r>
      <w:r w:rsidRPr="00817BA1">
        <w:rPr>
          <w:rFonts w:eastAsia="MS Mincho" w:cs="Arial"/>
          <w:szCs w:val="21"/>
        </w:rPr>
        <w:t xml:space="preserve"> APNE training program </w:t>
      </w:r>
      <w:r w:rsidR="00905048" w:rsidRPr="00817BA1">
        <w:rPr>
          <w:rFonts w:eastAsia="MS Mincho" w:cs="Arial"/>
          <w:szCs w:val="21"/>
        </w:rPr>
        <w:t xml:space="preserve">that </w:t>
      </w:r>
      <w:r w:rsidRPr="00817BA1">
        <w:rPr>
          <w:rFonts w:eastAsia="MS Mincho" w:cs="Arial"/>
          <w:szCs w:val="21"/>
        </w:rPr>
        <w:t>consists of two theoretical modules delivered in varied formats, and one practical module.</w:t>
      </w:r>
    </w:p>
    <w:p w14:paraId="10B42553" w14:textId="00AC3ADF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b/>
          <w:bCs/>
          <w:szCs w:val="21"/>
        </w:rPr>
        <w:t>Module 1</w:t>
      </w:r>
      <w:r w:rsidRPr="00817BA1">
        <w:rPr>
          <w:rFonts w:eastAsia="MS Mincho" w:cs="Arial"/>
          <w:szCs w:val="21"/>
        </w:rPr>
        <w:t xml:space="preserve">: University of Hull (2 subjects) – “Theoretical Advanced Endoscopy” </w:t>
      </w:r>
      <w:r w:rsidR="00406914" w:rsidRPr="00817BA1">
        <w:rPr>
          <w:rFonts w:eastAsia="MS Mincho" w:cs="Arial"/>
          <w:szCs w:val="21"/>
        </w:rPr>
        <w:t>and</w:t>
      </w:r>
      <w:r w:rsidRPr="00817BA1">
        <w:rPr>
          <w:rFonts w:eastAsia="MS Mincho" w:cs="Arial"/>
          <w:szCs w:val="21"/>
        </w:rPr>
        <w:t xml:space="preserve"> “Investigation and Initial Management of Gastrointestinal disease (II)“– distance education online</w:t>
      </w:r>
    </w:p>
    <w:p w14:paraId="6A089B25" w14:textId="371B58B3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b/>
          <w:bCs/>
          <w:szCs w:val="21"/>
        </w:rPr>
        <w:t>Module 2</w:t>
      </w:r>
      <w:r w:rsidRPr="00817BA1">
        <w:rPr>
          <w:rFonts w:eastAsia="MS Mincho" w:cs="Arial"/>
          <w:szCs w:val="21"/>
        </w:rPr>
        <w:t xml:space="preserve">: The Practice of Colonoscopy (3 units) – Individual Training Site </w:t>
      </w:r>
    </w:p>
    <w:p w14:paraId="6734CAE8" w14:textId="2F26A4CB" w:rsidR="004A535D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b/>
          <w:bCs/>
          <w:szCs w:val="21"/>
        </w:rPr>
        <w:t>Module 3</w:t>
      </w:r>
      <w:r w:rsidRPr="00817BA1">
        <w:rPr>
          <w:rFonts w:eastAsia="MS Mincho" w:cs="Arial"/>
          <w:szCs w:val="21"/>
        </w:rPr>
        <w:t xml:space="preserve">: Supervised Clinical Practice – </w:t>
      </w:r>
      <w:bookmarkStart w:id="2" w:name="_Hlk63679858"/>
      <w:r w:rsidRPr="00817BA1">
        <w:rPr>
          <w:rFonts w:eastAsia="MS Mincho" w:cs="Arial"/>
          <w:szCs w:val="21"/>
        </w:rPr>
        <w:t xml:space="preserve">Individual Training Site </w:t>
      </w:r>
    </w:p>
    <w:bookmarkEnd w:id="2"/>
    <w:p w14:paraId="6F5918C5" w14:textId="3A5DC721" w:rsidR="004A535D" w:rsidRPr="00817BA1" w:rsidRDefault="00724DA0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 xml:space="preserve">The </w:t>
      </w:r>
      <w:r w:rsidR="00221A70" w:rsidRPr="00817BA1">
        <w:rPr>
          <w:rFonts w:eastAsia="MS Mincho" w:cs="Arial"/>
          <w:szCs w:val="21"/>
        </w:rPr>
        <w:t>D</w:t>
      </w:r>
      <w:r w:rsidRPr="00817BA1">
        <w:rPr>
          <w:rFonts w:eastAsia="MS Mincho" w:cs="Arial"/>
          <w:szCs w:val="21"/>
        </w:rPr>
        <w:t>epartment</w:t>
      </w:r>
      <w:r w:rsidR="00221A70" w:rsidRPr="00817BA1">
        <w:rPr>
          <w:rFonts w:eastAsia="MS Mincho" w:cs="Arial"/>
          <w:szCs w:val="21"/>
        </w:rPr>
        <w:t xml:space="preserve"> is</w:t>
      </w:r>
      <w:r w:rsidR="004A535D" w:rsidRPr="00817BA1">
        <w:rPr>
          <w:rFonts w:eastAsia="MS Mincho" w:cs="Arial"/>
          <w:szCs w:val="21"/>
        </w:rPr>
        <w:t xml:space="preserve"> well placed to </w:t>
      </w:r>
      <w:r w:rsidR="00905048" w:rsidRPr="00817BA1">
        <w:rPr>
          <w:rFonts w:eastAsia="MS Mincho" w:cs="Arial"/>
          <w:szCs w:val="21"/>
        </w:rPr>
        <w:t>advise</w:t>
      </w:r>
      <w:r w:rsidR="004A535D" w:rsidRPr="00817BA1">
        <w:rPr>
          <w:rFonts w:eastAsia="MS Mincho" w:cs="Arial"/>
          <w:szCs w:val="21"/>
        </w:rPr>
        <w:t xml:space="preserve"> health services interested in pursuing an APNE service</w:t>
      </w:r>
      <w:r w:rsidR="005A5E97" w:rsidRPr="00817BA1">
        <w:rPr>
          <w:rFonts w:eastAsia="MS Mincho" w:cs="Arial"/>
          <w:szCs w:val="21"/>
        </w:rPr>
        <w:t>. Prior to seeking advice, the Department</w:t>
      </w:r>
      <w:r w:rsidR="004A535D" w:rsidRPr="00817BA1">
        <w:rPr>
          <w:rFonts w:eastAsia="MS Mincho" w:cs="Arial"/>
          <w:szCs w:val="21"/>
        </w:rPr>
        <w:t xml:space="preserve"> recommend</w:t>
      </w:r>
      <w:r w:rsidR="00B8705C" w:rsidRPr="00817BA1">
        <w:rPr>
          <w:rFonts w:eastAsia="MS Mincho" w:cs="Arial"/>
          <w:szCs w:val="21"/>
        </w:rPr>
        <w:t>s</w:t>
      </w:r>
      <w:r w:rsidR="004A535D" w:rsidRPr="00817BA1">
        <w:rPr>
          <w:rFonts w:eastAsia="MS Mincho" w:cs="Arial"/>
          <w:szCs w:val="21"/>
        </w:rPr>
        <w:t xml:space="preserve"> </w:t>
      </w:r>
      <w:r w:rsidR="00B34CFA" w:rsidRPr="00817BA1">
        <w:rPr>
          <w:rFonts w:eastAsia="MS Mincho" w:cs="Arial"/>
          <w:szCs w:val="21"/>
        </w:rPr>
        <w:t>establishing</w:t>
      </w:r>
      <w:r w:rsidR="004A535D" w:rsidRPr="00817BA1">
        <w:rPr>
          <w:rFonts w:eastAsia="MS Mincho" w:cs="Arial"/>
          <w:szCs w:val="21"/>
        </w:rPr>
        <w:t xml:space="preserve"> that there is significant need for an APNE program</w:t>
      </w:r>
      <w:r w:rsidR="00B34CFA" w:rsidRPr="00817BA1">
        <w:rPr>
          <w:rFonts w:eastAsia="MS Mincho" w:cs="Arial"/>
          <w:szCs w:val="21"/>
        </w:rPr>
        <w:t>. In addition, your health service should</w:t>
      </w:r>
      <w:r w:rsidR="004A535D" w:rsidRPr="00817BA1">
        <w:rPr>
          <w:rFonts w:eastAsia="MS Mincho" w:cs="Arial"/>
          <w:szCs w:val="21"/>
        </w:rPr>
        <w:t xml:space="preserve"> consider:</w:t>
      </w:r>
    </w:p>
    <w:p w14:paraId="20E284D8" w14:textId="69BE8AA2" w:rsidR="005A3660" w:rsidRPr="00817BA1" w:rsidRDefault="005A3660" w:rsidP="005A3660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>Your organisation’s experience, readiness, and capacity to support an APNE service</w:t>
      </w:r>
    </w:p>
    <w:p w14:paraId="55A566C9" w14:textId="77777777" w:rsidR="004A535D" w:rsidRPr="00817BA1" w:rsidRDefault="004A535D" w:rsidP="004A535D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 xml:space="preserve">the pre-requisite skills APNE trainees will need to complete the program under the supervision of a supporting medical consultant </w:t>
      </w:r>
    </w:p>
    <w:p w14:paraId="4565134C" w14:textId="77777777" w:rsidR="004A535D" w:rsidRPr="00817BA1" w:rsidRDefault="004A535D" w:rsidP="004A535D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>the ongoing professional development and credentialling requirements of APNE recruited to these roles.</w:t>
      </w:r>
    </w:p>
    <w:p w14:paraId="51A22220" w14:textId="77777777" w:rsidR="004A535D" w:rsidRPr="00817BA1" w:rsidRDefault="004A535D" w:rsidP="004A535D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i/>
          <w:iCs/>
          <w:szCs w:val="21"/>
        </w:rPr>
      </w:pPr>
      <w:r w:rsidRPr="00817BA1">
        <w:rPr>
          <w:rFonts w:eastAsia="MS Mincho" w:cs="Arial"/>
          <w:szCs w:val="21"/>
        </w:rPr>
        <w:t xml:space="preserve">governance arrangements and structures to support trainees and APNE </w:t>
      </w:r>
      <w:r w:rsidRPr="00817BA1">
        <w:rPr>
          <w:rFonts w:eastAsia="MS Mincho" w:cs="Arial"/>
          <w:i/>
          <w:iCs/>
          <w:szCs w:val="21"/>
        </w:rPr>
        <w:t>(Advanced practice committees, experienced in supporting other multidisciplinary advanced practice roles are well suited to co-ordinating educational, project management and policy development requirements).</w:t>
      </w:r>
    </w:p>
    <w:p w14:paraId="05CE3997" w14:textId="77777777" w:rsidR="005A3660" w:rsidRPr="00817BA1" w:rsidRDefault="004A535D" w:rsidP="005A3660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  <w:lang w:val="en"/>
        </w:rPr>
        <w:t>the simultaneous executive, surgical services, medical, nursing, and allied health support and commitment required to address the system and cultural barriers associated with workforce reform of this type.</w:t>
      </w:r>
      <w:r w:rsidR="005A3660" w:rsidRPr="00817BA1">
        <w:rPr>
          <w:rFonts w:eastAsia="MS Mincho" w:cs="Arial"/>
          <w:szCs w:val="21"/>
        </w:rPr>
        <w:t xml:space="preserve"> </w:t>
      </w:r>
    </w:p>
    <w:p w14:paraId="3E5606A7" w14:textId="7A260FB8" w:rsidR="005A3660" w:rsidRPr="00817BA1" w:rsidRDefault="00395427" w:rsidP="005A3660">
      <w:pPr>
        <w:numPr>
          <w:ilvl w:val="0"/>
          <w:numId w:val="41"/>
        </w:numPr>
        <w:spacing w:after="160"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t>h</w:t>
      </w:r>
      <w:r w:rsidR="005A3660" w:rsidRPr="00817BA1">
        <w:rPr>
          <w:rFonts w:eastAsia="MS Mincho" w:cs="Arial"/>
          <w:szCs w:val="21"/>
        </w:rPr>
        <w:t>ow your health service will develop a sustainable, multidisciplinary team-based approach to service delivery</w:t>
      </w:r>
      <w:r w:rsidRPr="00817BA1">
        <w:rPr>
          <w:rFonts w:eastAsia="MS Mincho" w:cs="Arial"/>
          <w:szCs w:val="21"/>
        </w:rPr>
        <w:t>.</w:t>
      </w:r>
    </w:p>
    <w:p w14:paraId="5A311DEC" w14:textId="31454B99" w:rsidR="003766DA" w:rsidRPr="00817BA1" w:rsidRDefault="004A535D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b/>
          <w:bCs/>
          <w:szCs w:val="21"/>
        </w:rPr>
        <w:t>Appendix 1</w:t>
      </w:r>
      <w:r w:rsidRPr="00817BA1">
        <w:rPr>
          <w:rFonts w:eastAsia="MS Mincho" w:cs="Arial"/>
          <w:szCs w:val="21"/>
        </w:rPr>
        <w:t xml:space="preserve"> is an </w:t>
      </w:r>
      <w:r w:rsidRPr="00817BA1">
        <w:rPr>
          <w:rFonts w:eastAsia="MS Mincho" w:cs="Arial"/>
          <w:i/>
          <w:iCs/>
          <w:szCs w:val="21"/>
        </w:rPr>
        <w:t xml:space="preserve">Organisational </w:t>
      </w:r>
      <w:r w:rsidR="007221EC" w:rsidRPr="00817BA1">
        <w:rPr>
          <w:rFonts w:eastAsia="MS Mincho" w:cs="Arial"/>
          <w:i/>
          <w:iCs/>
          <w:szCs w:val="21"/>
        </w:rPr>
        <w:t>R</w:t>
      </w:r>
      <w:r w:rsidRPr="00817BA1">
        <w:rPr>
          <w:rFonts w:eastAsia="MS Mincho" w:cs="Arial"/>
          <w:i/>
          <w:iCs/>
          <w:szCs w:val="21"/>
        </w:rPr>
        <w:t xml:space="preserve">eadiness </w:t>
      </w:r>
      <w:r w:rsidR="007221EC" w:rsidRPr="00817BA1">
        <w:rPr>
          <w:rFonts w:eastAsia="MS Mincho" w:cs="Arial"/>
          <w:i/>
          <w:iCs/>
          <w:szCs w:val="21"/>
        </w:rPr>
        <w:t>C</w:t>
      </w:r>
      <w:r w:rsidRPr="00817BA1">
        <w:rPr>
          <w:rFonts w:eastAsia="MS Mincho" w:cs="Arial"/>
          <w:i/>
          <w:iCs/>
          <w:szCs w:val="21"/>
        </w:rPr>
        <w:t>hecklist</w:t>
      </w:r>
      <w:r w:rsidRPr="00817BA1">
        <w:rPr>
          <w:rFonts w:eastAsia="MS Mincho" w:cs="Arial"/>
          <w:szCs w:val="21"/>
        </w:rPr>
        <w:t xml:space="preserve"> </w:t>
      </w:r>
      <w:r w:rsidR="00842B74" w:rsidRPr="00817BA1">
        <w:rPr>
          <w:rFonts w:eastAsia="MS Mincho" w:cs="Arial"/>
          <w:szCs w:val="21"/>
        </w:rPr>
        <w:t xml:space="preserve">based </w:t>
      </w:r>
      <w:r w:rsidR="003766DA" w:rsidRPr="00817BA1">
        <w:rPr>
          <w:rFonts w:eastAsia="MS Mincho" w:cs="Arial"/>
          <w:szCs w:val="21"/>
        </w:rPr>
        <w:t>upon</w:t>
      </w:r>
      <w:r w:rsidR="00842B74" w:rsidRPr="00817BA1">
        <w:rPr>
          <w:rFonts w:eastAsia="MS Mincho" w:cs="Arial"/>
          <w:szCs w:val="21"/>
        </w:rPr>
        <w:t xml:space="preserve"> </w:t>
      </w:r>
      <w:r w:rsidR="003766DA" w:rsidRPr="00817BA1">
        <w:rPr>
          <w:rFonts w:eastAsia="MS Mincho" w:cs="Arial"/>
          <w:szCs w:val="21"/>
        </w:rPr>
        <w:t xml:space="preserve">a version </w:t>
      </w:r>
      <w:r w:rsidR="0073788A" w:rsidRPr="00817BA1">
        <w:rPr>
          <w:rFonts w:eastAsia="MS Mincho" w:cs="Arial"/>
          <w:szCs w:val="21"/>
        </w:rPr>
        <w:t>developed</w:t>
      </w:r>
      <w:r w:rsidR="003766DA" w:rsidRPr="00817BA1">
        <w:rPr>
          <w:rFonts w:eastAsia="MS Mincho" w:cs="Arial"/>
          <w:szCs w:val="21"/>
        </w:rPr>
        <w:t xml:space="preserve"> by</w:t>
      </w:r>
      <w:r w:rsidRPr="00817BA1">
        <w:rPr>
          <w:rFonts w:eastAsia="MS Mincho" w:cs="Arial"/>
          <w:szCs w:val="21"/>
        </w:rPr>
        <w:t xml:space="preserve"> Austin Health. </w:t>
      </w:r>
    </w:p>
    <w:p w14:paraId="5C6B53D2" w14:textId="47EBC9F1" w:rsidR="00905048" w:rsidRPr="00817BA1" w:rsidRDefault="00E23FF4" w:rsidP="004A535D">
      <w:pPr>
        <w:spacing w:line="270" w:lineRule="atLeast"/>
        <w:jc w:val="both"/>
        <w:rPr>
          <w:rFonts w:eastAsia="MS Mincho" w:cs="Arial"/>
          <w:szCs w:val="21"/>
        </w:rPr>
      </w:pPr>
      <w:r w:rsidRPr="00817BA1">
        <w:rPr>
          <w:rFonts w:eastAsia="MS Mincho" w:cs="Arial"/>
          <w:szCs w:val="21"/>
        </w:rPr>
        <w:lastRenderedPageBreak/>
        <w:t xml:space="preserve">The </w:t>
      </w:r>
      <w:r w:rsidR="009C3B35" w:rsidRPr="00817BA1">
        <w:rPr>
          <w:rFonts w:eastAsia="MS Mincho" w:cs="Arial"/>
          <w:szCs w:val="21"/>
        </w:rPr>
        <w:t>D</w:t>
      </w:r>
      <w:r w:rsidRPr="00817BA1">
        <w:rPr>
          <w:rFonts w:eastAsia="MS Mincho" w:cs="Arial"/>
          <w:szCs w:val="21"/>
        </w:rPr>
        <w:t>epartment recommends that you complete this document</w:t>
      </w:r>
      <w:r w:rsidR="00AF0693" w:rsidRPr="00817BA1">
        <w:rPr>
          <w:rFonts w:eastAsia="MS Mincho" w:cs="Arial"/>
          <w:szCs w:val="21"/>
        </w:rPr>
        <w:t xml:space="preserve"> as </w:t>
      </w:r>
      <w:r w:rsidR="0046403B" w:rsidRPr="00817BA1">
        <w:rPr>
          <w:rFonts w:eastAsia="MS Mincho" w:cs="Arial"/>
          <w:szCs w:val="21"/>
        </w:rPr>
        <w:t>a first step towards</w:t>
      </w:r>
      <w:r w:rsidR="008904AC" w:rsidRPr="00817BA1">
        <w:rPr>
          <w:rFonts w:eastAsia="MS Mincho" w:cs="Arial"/>
          <w:szCs w:val="21"/>
        </w:rPr>
        <w:t xml:space="preserve"> developing an APNE</w:t>
      </w:r>
      <w:r w:rsidR="00E47750" w:rsidRPr="00817BA1">
        <w:rPr>
          <w:rFonts w:eastAsia="MS Mincho" w:cs="Arial"/>
          <w:szCs w:val="21"/>
        </w:rPr>
        <w:t xml:space="preserve"> workforce </w:t>
      </w:r>
      <w:r w:rsidR="00FA6562" w:rsidRPr="00817BA1">
        <w:rPr>
          <w:rFonts w:eastAsia="MS Mincho" w:cs="Arial"/>
          <w:szCs w:val="21"/>
        </w:rPr>
        <w:t xml:space="preserve">and </w:t>
      </w:r>
      <w:r w:rsidR="00E47750" w:rsidRPr="00817BA1">
        <w:rPr>
          <w:rFonts w:eastAsia="MS Mincho" w:cs="Arial"/>
          <w:szCs w:val="21"/>
        </w:rPr>
        <w:t>implementation of a</w:t>
      </w:r>
      <w:r w:rsidR="008904AC" w:rsidRPr="00817BA1">
        <w:rPr>
          <w:rFonts w:eastAsia="MS Mincho" w:cs="Arial"/>
          <w:szCs w:val="21"/>
        </w:rPr>
        <w:t xml:space="preserve"> service</w:t>
      </w:r>
      <w:r w:rsidR="00972294" w:rsidRPr="00817BA1">
        <w:rPr>
          <w:rFonts w:eastAsia="MS Mincho" w:cs="Arial"/>
          <w:szCs w:val="21"/>
        </w:rPr>
        <w:t xml:space="preserve"> model</w:t>
      </w:r>
      <w:r w:rsidR="003D35E1" w:rsidRPr="00817BA1">
        <w:rPr>
          <w:rFonts w:eastAsia="MS Mincho" w:cs="Arial"/>
          <w:szCs w:val="21"/>
        </w:rPr>
        <w:t>,</w:t>
      </w:r>
      <w:r w:rsidR="009B6AED" w:rsidRPr="00817BA1">
        <w:rPr>
          <w:rFonts w:eastAsia="MS Mincho" w:cs="Arial"/>
          <w:szCs w:val="21"/>
        </w:rPr>
        <w:t xml:space="preserve"> to meet the needs of you</w:t>
      </w:r>
      <w:r w:rsidR="00A41223" w:rsidRPr="00817BA1">
        <w:rPr>
          <w:rFonts w:eastAsia="MS Mincho" w:cs="Arial"/>
          <w:szCs w:val="21"/>
        </w:rPr>
        <w:t>r</w:t>
      </w:r>
      <w:r w:rsidR="009B6AED" w:rsidRPr="00817BA1">
        <w:rPr>
          <w:rFonts w:eastAsia="MS Mincho" w:cs="Arial"/>
          <w:szCs w:val="21"/>
        </w:rPr>
        <w:t xml:space="preserve"> organisation and the Victorian community.</w:t>
      </w:r>
      <w:r w:rsidR="00AF0693" w:rsidRPr="00817BA1">
        <w:rPr>
          <w:rFonts w:eastAsia="MS Mincho" w:cs="Arial"/>
          <w:szCs w:val="21"/>
        </w:rPr>
        <w:t xml:space="preserve"> </w:t>
      </w:r>
    </w:p>
    <w:p w14:paraId="44C44125" w14:textId="3DF88CC6" w:rsidR="004A535D" w:rsidRDefault="004A535D" w:rsidP="004A535D">
      <w:pPr>
        <w:spacing w:after="160" w:line="259" w:lineRule="auto"/>
        <w:rPr>
          <w:rFonts w:eastAsia="Calibri" w:cs="Arial"/>
          <w:sz w:val="22"/>
          <w:szCs w:val="22"/>
        </w:rPr>
      </w:pPr>
    </w:p>
    <w:p w14:paraId="7FC6A190" w14:textId="4FC54B57" w:rsidR="004A535D" w:rsidRDefault="004A535D" w:rsidP="004A535D">
      <w:pPr>
        <w:spacing w:after="160" w:line="259" w:lineRule="auto"/>
        <w:rPr>
          <w:rFonts w:eastAsia="Calibri" w:cs="Arial"/>
          <w:b/>
          <w:bCs/>
          <w:sz w:val="28"/>
          <w:szCs w:val="28"/>
        </w:rPr>
      </w:pPr>
      <w:r w:rsidRPr="004A535D">
        <w:rPr>
          <w:rFonts w:eastAsia="Calibri" w:cs="Arial"/>
          <w:b/>
          <w:bCs/>
          <w:sz w:val="28"/>
          <w:szCs w:val="28"/>
        </w:rPr>
        <w:t>APPENDIX 1 - Organisational readiness checklist</w:t>
      </w:r>
    </w:p>
    <w:p w14:paraId="45078D52" w14:textId="77777777" w:rsidR="00BD2422" w:rsidRPr="004A535D" w:rsidRDefault="00BD2422" w:rsidP="004A535D">
      <w:pPr>
        <w:spacing w:after="160" w:line="259" w:lineRule="auto"/>
        <w:rPr>
          <w:rFonts w:eastAsia="Calibri" w:cs="Arial"/>
          <w:b/>
          <w:bCs/>
          <w:sz w:val="28"/>
          <w:szCs w:val="28"/>
        </w:rPr>
      </w:pPr>
    </w:p>
    <w:p w14:paraId="0231089A" w14:textId="77777777" w:rsidR="004A535D" w:rsidRPr="00BD2422" w:rsidRDefault="004A535D" w:rsidP="004A535D">
      <w:pPr>
        <w:tabs>
          <w:tab w:val="left" w:pos="720"/>
        </w:tabs>
        <w:spacing w:line="270" w:lineRule="atLeast"/>
        <w:jc w:val="both"/>
        <w:rPr>
          <w:rFonts w:cs="Arial"/>
          <w:szCs w:val="21"/>
        </w:rPr>
      </w:pPr>
      <w:r w:rsidRPr="00BD2422">
        <w:rPr>
          <w:rFonts w:cs="Arial"/>
          <w:szCs w:val="21"/>
        </w:rPr>
        <w:t xml:space="preserve">This checklist is a tool to assist health services to review their status and monitor their progress against the criteria established to determine organisational readiness and capacity to provide a nurse endoscopy service. </w:t>
      </w:r>
    </w:p>
    <w:tbl>
      <w:tblPr>
        <w:tblW w:w="10206" w:type="dxa"/>
        <w:tblInd w:w="-5" w:type="dxa"/>
        <w:tblBorders>
          <w:top w:val="single" w:sz="4" w:space="0" w:color="008AB0"/>
          <w:left w:val="single" w:sz="4" w:space="0" w:color="008AB0"/>
          <w:bottom w:val="single" w:sz="4" w:space="0" w:color="008AB0"/>
          <w:right w:val="single" w:sz="4" w:space="0" w:color="008AB0"/>
          <w:insideH w:val="single" w:sz="4" w:space="0" w:color="008AB0"/>
          <w:insideV w:val="single" w:sz="4" w:space="0" w:color="008AB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2977"/>
        <w:gridCol w:w="1275"/>
      </w:tblGrid>
      <w:tr w:rsidR="003C6A1B" w:rsidRPr="004A535D" w14:paraId="20F73DBE" w14:textId="77777777" w:rsidTr="003C6A1B">
        <w:trPr>
          <w:cantSplit/>
          <w:tblHeader/>
        </w:trPr>
        <w:tc>
          <w:tcPr>
            <w:tcW w:w="4536" w:type="dxa"/>
          </w:tcPr>
          <w:p w14:paraId="2B0A8888" w14:textId="77777777" w:rsidR="004A535D" w:rsidRPr="004A535D" w:rsidRDefault="004A535D" w:rsidP="004A535D">
            <w:pPr>
              <w:spacing w:before="12" w:after="12" w:line="312" w:lineRule="auto"/>
              <w:rPr>
                <w:rFonts w:eastAsia="Calibri" w:cs="Arial"/>
                <w:color w:val="000000"/>
                <w:sz w:val="22"/>
                <w:szCs w:val="22"/>
              </w:rPr>
            </w:pPr>
            <w:bookmarkStart w:id="3" w:name="_Hlk83208524"/>
          </w:p>
        </w:tc>
        <w:tc>
          <w:tcPr>
            <w:tcW w:w="709" w:type="dxa"/>
            <w:vAlign w:val="bottom"/>
            <w:hideMark/>
          </w:tcPr>
          <w:p w14:paraId="4E24820D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4A535D">
              <w:rPr>
                <w:rFonts w:eastAsia="Calibri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bottom"/>
            <w:hideMark/>
          </w:tcPr>
          <w:p w14:paraId="699E12D9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4A535D">
              <w:rPr>
                <w:rFonts w:eastAsia="Calibri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7" w:type="dxa"/>
            <w:vAlign w:val="bottom"/>
            <w:hideMark/>
          </w:tcPr>
          <w:p w14:paraId="7045FEC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4A535D">
              <w:rPr>
                <w:rFonts w:eastAsia="Calibri" w:cs="Arial"/>
                <w:b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275" w:type="dxa"/>
            <w:vAlign w:val="bottom"/>
            <w:hideMark/>
          </w:tcPr>
          <w:p w14:paraId="484BDA01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4A535D">
              <w:rPr>
                <w:rFonts w:eastAsia="Calibri" w:cs="Arial"/>
                <w:b/>
                <w:color w:val="000000"/>
                <w:sz w:val="22"/>
                <w:szCs w:val="22"/>
              </w:rPr>
              <w:t>Review date</w:t>
            </w:r>
          </w:p>
        </w:tc>
      </w:tr>
      <w:bookmarkEnd w:id="3"/>
      <w:tr w:rsidR="004A535D" w:rsidRPr="004A535D" w14:paraId="66FE15D7" w14:textId="77777777" w:rsidTr="00C95950">
        <w:trPr>
          <w:cantSplit/>
          <w:trHeight w:val="591"/>
        </w:trPr>
        <w:tc>
          <w:tcPr>
            <w:tcW w:w="10206" w:type="dxa"/>
            <w:gridSpan w:val="5"/>
            <w:shd w:val="clear" w:color="auto" w:fill="A7E8FF"/>
            <w:vAlign w:val="center"/>
          </w:tcPr>
          <w:p w14:paraId="07230EDE" w14:textId="12172BF0" w:rsidR="004A535D" w:rsidRPr="004A535D" w:rsidRDefault="004A535D" w:rsidP="006E4713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/>
                <w:bCs/>
                <w:color w:val="17365D"/>
                <w:sz w:val="22"/>
                <w:szCs w:val="22"/>
              </w:rPr>
            </w:pPr>
            <w:r w:rsidRPr="004A535D">
              <w:rPr>
                <w:rFonts w:cs="Arial"/>
                <w:b/>
                <w:sz w:val="28"/>
                <w:szCs w:val="28"/>
              </w:rPr>
              <w:t xml:space="preserve">Commitment to establish a </w:t>
            </w:r>
            <w:r w:rsidR="00AC555D">
              <w:rPr>
                <w:rFonts w:cs="Arial"/>
                <w:b/>
                <w:sz w:val="28"/>
                <w:szCs w:val="28"/>
              </w:rPr>
              <w:t>N</w:t>
            </w:r>
            <w:r w:rsidRPr="004A535D">
              <w:rPr>
                <w:rFonts w:cs="Arial"/>
                <w:b/>
                <w:sz w:val="28"/>
                <w:szCs w:val="28"/>
              </w:rPr>
              <w:t xml:space="preserve">urse </w:t>
            </w:r>
            <w:r w:rsidR="00AC555D">
              <w:rPr>
                <w:rFonts w:cs="Arial"/>
                <w:b/>
                <w:sz w:val="28"/>
                <w:szCs w:val="28"/>
              </w:rPr>
              <w:t>E</w:t>
            </w:r>
            <w:r w:rsidRPr="004A535D">
              <w:rPr>
                <w:rFonts w:cs="Arial"/>
                <w:b/>
                <w:sz w:val="28"/>
                <w:szCs w:val="28"/>
              </w:rPr>
              <w:t xml:space="preserve">ndoscopy </w:t>
            </w:r>
            <w:r w:rsidR="00AC555D">
              <w:rPr>
                <w:rFonts w:cs="Arial"/>
                <w:b/>
                <w:sz w:val="28"/>
                <w:szCs w:val="28"/>
              </w:rPr>
              <w:t xml:space="preserve">(NE) </w:t>
            </w:r>
            <w:r w:rsidRPr="004A535D">
              <w:rPr>
                <w:rFonts w:cs="Arial"/>
                <w:b/>
                <w:sz w:val="28"/>
                <w:szCs w:val="28"/>
              </w:rPr>
              <w:t>service</w:t>
            </w:r>
          </w:p>
        </w:tc>
      </w:tr>
      <w:tr w:rsidR="004A535D" w:rsidRPr="004A535D" w14:paraId="4BEFDEBD" w14:textId="77777777" w:rsidTr="00C95950">
        <w:trPr>
          <w:cantSplit/>
        </w:trPr>
        <w:tc>
          <w:tcPr>
            <w:tcW w:w="10206" w:type="dxa"/>
            <w:gridSpan w:val="5"/>
            <w:shd w:val="clear" w:color="auto" w:fill="A7E8FF"/>
            <w:vAlign w:val="center"/>
            <w:hideMark/>
          </w:tcPr>
          <w:p w14:paraId="3C98C5FA" w14:textId="1805BBAF" w:rsidR="004A535D" w:rsidRPr="004A535D" w:rsidRDefault="004A535D" w:rsidP="004A535D">
            <w:pPr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>The health service has established the need for a NE</w:t>
            </w:r>
            <w:r w:rsidR="006E4713" w:rsidRPr="000221EF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A535D">
              <w:rPr>
                <w:rFonts w:cs="Arial"/>
                <w:bCs/>
                <w:sz w:val="22"/>
                <w:szCs w:val="22"/>
              </w:rPr>
              <w:t xml:space="preserve">service and identified the benefits for the organisation, </w:t>
            </w:r>
            <w:r w:rsidR="000221EF" w:rsidRPr="004A535D">
              <w:rPr>
                <w:rFonts w:cs="Arial"/>
                <w:bCs/>
                <w:sz w:val="22"/>
                <w:szCs w:val="22"/>
              </w:rPr>
              <w:t>staff,</w:t>
            </w:r>
            <w:r w:rsidRPr="004A535D">
              <w:rPr>
                <w:rFonts w:cs="Arial"/>
                <w:bCs/>
                <w:sz w:val="22"/>
                <w:szCs w:val="22"/>
              </w:rPr>
              <w:t xml:space="preserve"> and consumers.</w:t>
            </w:r>
          </w:p>
        </w:tc>
      </w:tr>
      <w:tr w:rsidR="003C6A1B" w:rsidRPr="004A535D" w14:paraId="14A9E67A" w14:textId="77777777" w:rsidTr="003C6A1B">
        <w:trPr>
          <w:cantSplit/>
          <w:trHeight w:val="1573"/>
        </w:trPr>
        <w:tc>
          <w:tcPr>
            <w:tcW w:w="4536" w:type="dxa"/>
            <w:vAlign w:val="center"/>
          </w:tcPr>
          <w:p w14:paraId="6C235DD4" w14:textId="2EFDE8DD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has a documented business case that addresses the future demand for public endoscopy services, access and productivity issues and analyses the benefits of a NE service to the organisation, </w:t>
            </w:r>
            <w:r w:rsidR="00383B40">
              <w:rPr>
                <w:rFonts w:eastAsia="Calibri" w:cs="Arial"/>
                <w:sz w:val="22"/>
                <w:szCs w:val="22"/>
              </w:rPr>
              <w:t>its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 staff, patients and other parts of the health system.</w:t>
            </w:r>
          </w:p>
        </w:tc>
        <w:tc>
          <w:tcPr>
            <w:tcW w:w="709" w:type="dxa"/>
            <w:vAlign w:val="center"/>
            <w:hideMark/>
          </w:tcPr>
          <w:p w14:paraId="23D373FF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0215B95C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1674A8FC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83859F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7758A350" w14:textId="77777777" w:rsidTr="00C95950">
        <w:trPr>
          <w:cantSplit/>
          <w:trHeight w:val="419"/>
        </w:trPr>
        <w:tc>
          <w:tcPr>
            <w:tcW w:w="10206" w:type="dxa"/>
            <w:gridSpan w:val="5"/>
            <w:shd w:val="clear" w:color="auto" w:fill="A7E8FF"/>
            <w:vAlign w:val="center"/>
          </w:tcPr>
          <w:p w14:paraId="5299F4FE" w14:textId="4D056D94" w:rsidR="004A535D" w:rsidRPr="004A535D" w:rsidRDefault="004A535D" w:rsidP="00793DB6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 xml:space="preserve">The health service has developed a service delivery model for the NE service </w:t>
            </w:r>
          </w:p>
        </w:tc>
      </w:tr>
      <w:tr w:rsidR="003C6A1B" w:rsidRPr="004A535D" w14:paraId="4BC6945B" w14:textId="77777777" w:rsidTr="003C6A1B">
        <w:trPr>
          <w:cantSplit/>
          <w:trHeight w:val="5957"/>
        </w:trPr>
        <w:tc>
          <w:tcPr>
            <w:tcW w:w="4536" w:type="dxa"/>
            <w:vAlign w:val="center"/>
          </w:tcPr>
          <w:p w14:paraId="1E7E3B9C" w14:textId="77777777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documented business case that outlines:</w:t>
            </w:r>
          </w:p>
          <w:p w14:paraId="6BC199C6" w14:textId="77777777" w:rsidR="004A535D" w:rsidRPr="004A535D" w:rsidRDefault="004A535D" w:rsidP="008842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type and level of clinical services that can be safely provided by the organisation</w:t>
            </w:r>
          </w:p>
          <w:p w14:paraId="7D35336B" w14:textId="77777777" w:rsidR="004A535D" w:rsidRPr="004A535D" w:rsidRDefault="004A535D" w:rsidP="008842E0">
            <w:pPr>
              <w:numPr>
                <w:ilvl w:val="0"/>
                <w:numId w:val="42"/>
              </w:numPr>
              <w:tabs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>a model of service delivery that clearly outlines the elements of the service</w:t>
            </w:r>
          </w:p>
          <w:p w14:paraId="7D027EB0" w14:textId="77777777" w:rsidR="004A535D" w:rsidRPr="004A535D" w:rsidRDefault="004A535D" w:rsidP="008842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nature of the support required within the health facility for a NE service, including staffing profile and structure, facilities, equipment, support services and minimum safety standards</w:t>
            </w:r>
          </w:p>
          <w:p w14:paraId="63C318A7" w14:textId="77777777" w:rsidR="004A535D" w:rsidRPr="004A535D" w:rsidRDefault="004A535D" w:rsidP="008842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a change management plan for introducing a NE service which considers the timeframes required for cultural change and the processes around providing endoscopy services </w:t>
            </w:r>
          </w:p>
          <w:p w14:paraId="5C927EB0" w14:textId="2A49D8E2" w:rsidR="003C6A1B" w:rsidRPr="004A535D" w:rsidRDefault="004A535D" w:rsidP="008842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 xml:space="preserve">the proposed role of the </w:t>
            </w:r>
            <w:r w:rsidR="00123CFE">
              <w:rPr>
                <w:rFonts w:eastAsia="Calibri" w:cs="Arial"/>
                <w:bCs/>
                <w:sz w:val="22"/>
                <w:szCs w:val="22"/>
              </w:rPr>
              <w:t xml:space="preserve">nurse endoscopist </w:t>
            </w:r>
            <w:r w:rsidRPr="004A535D">
              <w:rPr>
                <w:rFonts w:eastAsia="Calibri" w:cs="Arial"/>
                <w:bCs/>
                <w:sz w:val="22"/>
                <w:szCs w:val="22"/>
              </w:rPr>
              <w:t>based on organisational need and capability, evidence-based criteria on competence and performance and established training and experience.</w:t>
            </w:r>
          </w:p>
        </w:tc>
        <w:tc>
          <w:tcPr>
            <w:tcW w:w="709" w:type="dxa"/>
            <w:vAlign w:val="center"/>
            <w:hideMark/>
          </w:tcPr>
          <w:p w14:paraId="7B131FB1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27B3CFE0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383A808B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6228D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7A0352F8" w14:textId="77777777" w:rsidTr="00C95950">
        <w:trPr>
          <w:cantSplit/>
        </w:trPr>
        <w:tc>
          <w:tcPr>
            <w:tcW w:w="10206" w:type="dxa"/>
            <w:gridSpan w:val="5"/>
            <w:shd w:val="clear" w:color="auto" w:fill="A7E8FF"/>
            <w:vAlign w:val="center"/>
          </w:tcPr>
          <w:p w14:paraId="676A747A" w14:textId="5D7AEF6E" w:rsidR="004A535D" w:rsidRPr="004A535D" w:rsidRDefault="004A535D" w:rsidP="008842E0">
            <w:pPr>
              <w:keepNext/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lastRenderedPageBreak/>
              <w:t>The health service is committed to providing a NE service that is sustainable over the longer term</w:t>
            </w:r>
          </w:p>
        </w:tc>
      </w:tr>
      <w:tr w:rsidR="003C6A1B" w:rsidRPr="004A535D" w14:paraId="76DB31E4" w14:textId="77777777" w:rsidTr="007C2D01">
        <w:trPr>
          <w:cantSplit/>
          <w:trHeight w:val="977"/>
        </w:trPr>
        <w:tc>
          <w:tcPr>
            <w:tcW w:w="4536" w:type="dxa"/>
            <w:vAlign w:val="center"/>
          </w:tcPr>
          <w:p w14:paraId="5BD2A371" w14:textId="6E123209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Health service has undertaken to provide ongoing employment to NE trainees and support the transition to independent colonoscopy lists</w:t>
            </w:r>
            <w:r w:rsidR="00B658F5">
              <w:rPr>
                <w:rFonts w:eastAsia="Calibri" w:cs="Arial"/>
                <w:sz w:val="22"/>
                <w:szCs w:val="22"/>
              </w:rPr>
              <w:t>,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 once the </w:t>
            </w:r>
            <w:r w:rsidR="00123CFE">
              <w:rPr>
                <w:rFonts w:eastAsia="Calibri" w:cs="Arial"/>
                <w:sz w:val="22"/>
                <w:szCs w:val="22"/>
              </w:rPr>
              <w:t>nurse endoscopist</w:t>
            </w:r>
            <w:r w:rsidR="00123CFE" w:rsidRPr="004A535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4A535D">
              <w:rPr>
                <w:rFonts w:eastAsia="Calibri" w:cs="Arial"/>
                <w:sz w:val="22"/>
                <w:szCs w:val="22"/>
              </w:rPr>
              <w:t>is qualified.</w:t>
            </w:r>
          </w:p>
        </w:tc>
        <w:tc>
          <w:tcPr>
            <w:tcW w:w="709" w:type="dxa"/>
            <w:vAlign w:val="center"/>
            <w:hideMark/>
          </w:tcPr>
          <w:p w14:paraId="3AD51505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1B943B08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20A9700F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CB43C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0FDD8EC7" w14:textId="77777777" w:rsidTr="007C2D01">
        <w:trPr>
          <w:cantSplit/>
          <w:trHeight w:val="948"/>
        </w:trPr>
        <w:tc>
          <w:tcPr>
            <w:tcW w:w="4536" w:type="dxa"/>
            <w:vAlign w:val="center"/>
          </w:tcPr>
          <w:p w14:paraId="30D8F112" w14:textId="7C9F2F06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clear process for ongoing data collection and evaluation that will provide evidence of the sustainability of the NE service in the longer term.</w:t>
            </w:r>
          </w:p>
        </w:tc>
        <w:tc>
          <w:tcPr>
            <w:tcW w:w="709" w:type="dxa"/>
            <w:vAlign w:val="center"/>
            <w:hideMark/>
          </w:tcPr>
          <w:p w14:paraId="0DA5036D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0E8135CE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0DF9E513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D5B71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1BFFB6FF" w14:textId="77777777" w:rsidTr="00C95950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69812F47" w14:textId="77777777" w:rsidR="004A535D" w:rsidRPr="004A535D" w:rsidRDefault="004A535D" w:rsidP="004A535D">
            <w:pPr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>The health service has established the clinical governance structures and arrangements required to support a NE service</w:t>
            </w:r>
          </w:p>
        </w:tc>
      </w:tr>
      <w:tr w:rsidR="003C6A1B" w:rsidRPr="004A535D" w14:paraId="60445390" w14:textId="77777777" w:rsidTr="007C2D01">
        <w:trPr>
          <w:cantSplit/>
          <w:trHeight w:val="4150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C1C264F" w14:textId="77777777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has a clear process for establishing </w:t>
            </w:r>
            <w:r w:rsidRPr="004A535D">
              <w:rPr>
                <w:rFonts w:cs="Arial"/>
                <w:sz w:val="22"/>
                <w:szCs w:val="22"/>
                <w:lang w:eastAsia="en-AU"/>
              </w:rPr>
              <w:t>an accreditation and peer review committee that includes nursing representation that will:</w:t>
            </w:r>
          </w:p>
          <w:p w14:paraId="1EF67E17" w14:textId="77777777" w:rsidR="004A535D" w:rsidRPr="004A535D" w:rsidRDefault="004A535D" w:rsidP="008842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98" w:hanging="284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cs="Arial"/>
                <w:sz w:val="22"/>
                <w:szCs w:val="22"/>
                <w:lang w:eastAsia="en-AU"/>
              </w:rPr>
              <w:t>oversee the quality and safety of the procedures performed within the unit</w:t>
            </w:r>
          </w:p>
          <w:p w14:paraId="71500694" w14:textId="4B167E9A" w:rsidR="004A535D" w:rsidRPr="004A535D" w:rsidRDefault="004A535D" w:rsidP="008842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98" w:hanging="284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cs="Arial"/>
                <w:sz w:val="22"/>
                <w:szCs w:val="22"/>
                <w:lang w:eastAsia="en-AU"/>
              </w:rPr>
              <w:t xml:space="preserve">undertake the credentialing and re credentialing of </w:t>
            </w:r>
            <w:r w:rsidR="00123CFE">
              <w:rPr>
                <w:rFonts w:cs="Arial"/>
                <w:sz w:val="22"/>
                <w:szCs w:val="22"/>
                <w:lang w:eastAsia="en-AU"/>
              </w:rPr>
              <w:t>nurse endoscopists</w:t>
            </w:r>
          </w:p>
          <w:p w14:paraId="26194DE2" w14:textId="51BE5C1D" w:rsidR="004A535D" w:rsidRPr="004A535D" w:rsidRDefault="004A535D" w:rsidP="008842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98" w:hanging="284"/>
              <w:rPr>
                <w:rFonts w:cs="Arial"/>
                <w:sz w:val="22"/>
                <w:szCs w:val="22"/>
                <w:lang w:eastAsia="en-AU"/>
              </w:rPr>
            </w:pPr>
            <w:r w:rsidRPr="004A535D">
              <w:rPr>
                <w:rFonts w:cs="Arial"/>
                <w:sz w:val="22"/>
                <w:szCs w:val="22"/>
                <w:lang w:eastAsia="en-AU"/>
              </w:rPr>
              <w:t>oversight the NE</w:t>
            </w:r>
            <w:r w:rsidR="008949DF">
              <w:rPr>
                <w:rFonts w:cs="Arial"/>
                <w:sz w:val="22"/>
                <w:szCs w:val="22"/>
                <w:lang w:eastAsia="en-AU"/>
              </w:rPr>
              <w:t xml:space="preserve"> trainee</w:t>
            </w:r>
            <w:r w:rsidRPr="004A535D">
              <w:rPr>
                <w:rFonts w:cs="Arial"/>
                <w:sz w:val="22"/>
                <w:szCs w:val="22"/>
                <w:lang w:eastAsia="en-AU"/>
              </w:rPr>
              <w:t>’s involvement in clinical audits, peer review activities and continuing education programs since the previous declaration</w:t>
            </w:r>
          </w:p>
          <w:p w14:paraId="72F8F704" w14:textId="139AF20E" w:rsidR="004A535D" w:rsidRPr="004A535D" w:rsidRDefault="004A535D" w:rsidP="008842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98" w:hanging="284"/>
              <w:rPr>
                <w:rFonts w:cs="Arial"/>
                <w:sz w:val="22"/>
                <w:szCs w:val="22"/>
              </w:rPr>
            </w:pPr>
            <w:r w:rsidRPr="004A535D">
              <w:rPr>
                <w:rFonts w:cs="Arial"/>
                <w:sz w:val="22"/>
                <w:szCs w:val="22"/>
                <w:lang w:eastAsia="en-AU"/>
              </w:rPr>
              <w:t>review the NE</w:t>
            </w:r>
            <w:r w:rsidR="008949DF">
              <w:rPr>
                <w:rFonts w:cs="Arial"/>
                <w:sz w:val="22"/>
                <w:szCs w:val="22"/>
                <w:lang w:eastAsia="en-AU"/>
              </w:rPr>
              <w:t xml:space="preserve"> trainee</w:t>
            </w:r>
            <w:r w:rsidRPr="004A535D">
              <w:rPr>
                <w:rFonts w:cs="Arial"/>
                <w:sz w:val="22"/>
                <w:szCs w:val="22"/>
                <w:lang w:eastAsia="en-AU"/>
              </w:rPr>
              <w:t>’s activity logbook or a summary of clinical activity undertaken over specified period and where available, objective data on the outcomes of that clinical activity.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4294B3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F375313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87ACE6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A4E1339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47D19B08" w14:textId="77777777" w:rsidTr="00C95950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081C7C1A" w14:textId="438B9485" w:rsidR="004A535D" w:rsidRPr="004A535D" w:rsidRDefault="004A535D" w:rsidP="004A535D">
            <w:pPr>
              <w:spacing w:before="12" w:after="12" w:line="312" w:lineRule="auto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>The health service has identified and engaged relevant stakeholders required to support a NE service</w:t>
            </w:r>
          </w:p>
        </w:tc>
      </w:tr>
      <w:tr w:rsidR="003C6A1B" w:rsidRPr="004A535D" w14:paraId="7DF25EFD" w14:textId="77777777" w:rsidTr="003C6A1B">
        <w:trPr>
          <w:cantSplit/>
          <w:trHeight w:val="1461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4BF6AC9A" w14:textId="718481BF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documented business case that includes arrangements for engaging and maintaining stakeholder involvement in the establishment and operation of a NE service (e.g. site steering committee).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1487972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467DAA9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F3C73D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D34CEE7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5E7D690A" w14:textId="77777777" w:rsidTr="003C6A1B">
        <w:trPr>
          <w:cantSplit/>
          <w:trHeight w:val="702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7D7CF70B" w14:textId="1DF3B96C" w:rsidR="004A535D" w:rsidRPr="004A535D" w:rsidRDefault="004A535D" w:rsidP="008842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service’s NE project governance arrangements include key internal stakeholders.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E1E5F0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E30571A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F8A45D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6A5B77F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35AB8CBC" w14:textId="77777777" w:rsidTr="00C95950">
        <w:trPr>
          <w:cantSplit/>
          <w:trHeight w:val="489"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354F137E" w14:textId="1D4AB96C" w:rsidR="004A535D" w:rsidRPr="004A535D" w:rsidRDefault="004A535D" w:rsidP="00793DB6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/>
                <w:color w:val="0099CC"/>
                <w:sz w:val="28"/>
                <w:szCs w:val="28"/>
              </w:rPr>
            </w:pPr>
            <w:r w:rsidRPr="004A535D">
              <w:rPr>
                <w:rFonts w:cs="Arial"/>
                <w:b/>
                <w:sz w:val="28"/>
                <w:szCs w:val="28"/>
              </w:rPr>
              <w:t>Capacity to provide and support training of NE trainees</w:t>
            </w:r>
          </w:p>
        </w:tc>
      </w:tr>
      <w:tr w:rsidR="004A535D" w:rsidRPr="004A535D" w14:paraId="4C775B12" w14:textId="77777777" w:rsidTr="00C95950">
        <w:trPr>
          <w:cantSplit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1142D879" w14:textId="77777777" w:rsidR="004A535D" w:rsidRPr="004A535D" w:rsidRDefault="004A535D" w:rsidP="004A535D">
            <w:pPr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>The health service has the physical facilities and equipment required for the supervised clinical practice for NE trainees</w:t>
            </w:r>
          </w:p>
        </w:tc>
      </w:tr>
      <w:tr w:rsidR="000221EF" w:rsidRPr="004A535D" w14:paraId="4C43B884" w14:textId="77777777" w:rsidTr="003C6A1B">
        <w:trPr>
          <w:cantSplit/>
          <w:trHeight w:val="1427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4A8B9420" w14:textId="63AE1690" w:rsidR="004A535D" w:rsidRPr="004A535D" w:rsidRDefault="004A535D" w:rsidP="000221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ensure endoscopy training lists are undertaken in a day surgery or endoscopy centre with timely access to an acute hospital that provides intensive care or emergency service if required.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7BE7BAB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19B4C7B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DD1B9B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1CF6432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0221EF" w:rsidRPr="004A535D" w14:paraId="2197B6DA" w14:textId="77777777" w:rsidTr="007C2D01">
        <w:trPr>
          <w:cantSplit/>
          <w:trHeight w:val="1198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76A16A66" w14:textId="2D481F29" w:rsidR="004A535D" w:rsidRPr="004A535D" w:rsidRDefault="004A535D" w:rsidP="000221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lastRenderedPageBreak/>
              <w:t xml:space="preserve">The physical facilities and equipment provided by the health service are compliant with the minimum </w:t>
            </w:r>
            <w:hyperlink r:id="rId15" w:history="1">
              <w:r w:rsidRPr="004A535D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GESA </w:t>
              </w:r>
              <w:r w:rsidRPr="004A535D">
                <w:rPr>
                  <w:rStyle w:val="Hyperlink"/>
                  <w:rFonts w:eastAsia="Calibri" w:cs="Arial"/>
                  <w:i/>
                  <w:sz w:val="22"/>
                  <w:szCs w:val="22"/>
                </w:rPr>
                <w:t>Standards for Endoscopic Facilities and Services</w:t>
              </w:r>
            </w:hyperlink>
            <w:r w:rsidRPr="004A535D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and specific state regulations. 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97BB17C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954A13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EB9732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B84680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0221EF" w:rsidRPr="004A535D" w14:paraId="6F1D0DC1" w14:textId="77777777" w:rsidTr="003C6A1B">
        <w:trPr>
          <w:cantSplit/>
          <w:trHeight w:val="1113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63DD8F76" w14:textId="3903B330" w:rsidR="009077F6" w:rsidRPr="004A535D" w:rsidRDefault="004A535D" w:rsidP="00907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can ensure NE trainees have access to equipment required for training including scope guide and insertion simulator model (e.g. </w:t>
            </w:r>
            <w:r w:rsidR="007C00BB">
              <w:rPr>
                <w:rFonts w:eastAsia="Calibri" w:cs="Arial"/>
                <w:sz w:val="22"/>
                <w:szCs w:val="22"/>
              </w:rPr>
              <w:t>v</w:t>
            </w:r>
            <w:r w:rsidRPr="004A535D">
              <w:rPr>
                <w:rFonts w:eastAsia="Calibri" w:cs="Arial"/>
                <w:sz w:val="22"/>
                <w:szCs w:val="22"/>
              </w:rPr>
              <w:t>ia College of Surgeons).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5D59A6D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E922B6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897E629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665814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043B20BB" w14:textId="77777777" w:rsidTr="00C95950">
        <w:trPr>
          <w:cantSplit/>
          <w:trHeight w:val="442"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1273EC40" w14:textId="144E6B5B" w:rsidR="004A535D" w:rsidRPr="004A535D" w:rsidRDefault="004A535D" w:rsidP="004A535D">
            <w:pPr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 xml:space="preserve">The health service </w:t>
            </w:r>
            <w:r w:rsidR="000221EF" w:rsidRPr="004A535D">
              <w:rPr>
                <w:rFonts w:cs="Arial"/>
                <w:bCs/>
                <w:sz w:val="22"/>
                <w:szCs w:val="22"/>
              </w:rPr>
              <w:t>can</w:t>
            </w:r>
            <w:r w:rsidRPr="004A535D">
              <w:rPr>
                <w:rFonts w:cs="Arial"/>
                <w:bCs/>
                <w:sz w:val="22"/>
                <w:szCs w:val="22"/>
              </w:rPr>
              <w:t xml:space="preserve"> provide the supervised clinical practice for NE trainees</w:t>
            </w:r>
          </w:p>
        </w:tc>
      </w:tr>
      <w:tr w:rsidR="000221EF" w:rsidRPr="004A535D" w14:paraId="28A786AB" w14:textId="77777777" w:rsidTr="003C6A1B">
        <w:trPr>
          <w:cantSplit/>
          <w:trHeight w:val="2453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6B63525D" w14:textId="77777777" w:rsidR="004A535D" w:rsidRPr="004A535D" w:rsidRDefault="004A535D" w:rsidP="004A53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provide at least two medical practitioners to supervise and assess the NE trainee. The medical practitioners are to have:</w:t>
            </w:r>
          </w:p>
          <w:p w14:paraId="5C5BAEF9" w14:textId="17431459" w:rsidR="004A535D" w:rsidRPr="004A535D" w:rsidRDefault="004A535D" w:rsidP="004A53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639" w:hanging="425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completed or are willing to complete the Train the Colonoscopist Trainer course</w:t>
            </w:r>
            <w:r w:rsidR="00C607B7">
              <w:rPr>
                <w:rFonts w:eastAsia="Calibri" w:cs="Arial"/>
                <w:sz w:val="22"/>
                <w:szCs w:val="22"/>
              </w:rPr>
              <w:t>,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 </w:t>
            </w:r>
            <w:r w:rsidR="00C607B7" w:rsidRPr="004A535D">
              <w:rPr>
                <w:rFonts w:eastAsia="Calibri" w:cs="Arial"/>
                <w:sz w:val="22"/>
                <w:szCs w:val="22"/>
              </w:rPr>
              <w:t>early in the NE Program</w:t>
            </w:r>
          </w:p>
          <w:p w14:paraId="747D8F97" w14:textId="52CE8E20" w:rsidR="004A535D" w:rsidRPr="004A535D" w:rsidRDefault="004A535D" w:rsidP="00793DB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639" w:hanging="425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dedicated training, supervision, assessment, and mentoring time for NE trainees</w:t>
            </w:r>
            <w:r w:rsidR="0089369D">
              <w:rPr>
                <w:rFonts w:eastAsia="Calibri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FFA77BD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6D04616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F1D64DA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5B2D524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0221EF" w:rsidRPr="004A535D" w14:paraId="32E72D99" w14:textId="77777777" w:rsidTr="007C2D01">
        <w:trPr>
          <w:cantSplit/>
          <w:trHeight w:val="1590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F25363C" w14:textId="25D47697" w:rsidR="004A535D" w:rsidRPr="004A535D" w:rsidRDefault="004A535D" w:rsidP="00793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provide each NE trainee with at least two training colonoscopy lists per week (four patients per list compared to a ‘standard’ colonoscopy list of 6-8 patients) and has supporting organisational processes such as patient triage and allocation to direct appropriate patients to the NE list.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19E5EDC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3A9E735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2817821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28E6A22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0221EF" w:rsidRPr="004A535D" w14:paraId="4B42965A" w14:textId="77777777" w:rsidTr="007C2D01">
        <w:trPr>
          <w:cantSplit/>
          <w:trHeight w:val="1124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7CEBC635" w14:textId="6955C908" w:rsidR="004A535D" w:rsidRPr="004A535D" w:rsidRDefault="004A535D" w:rsidP="00793D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provide NE trainees with access to pre and post procedure clinics and clinical, pathology and other relevant meetings within the gastroenterology or colorectal surgical unit.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C1FC826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A4E6565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C94BCD0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11C71B2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5292B6F6" w14:textId="77777777" w:rsidTr="00C95950">
        <w:trPr>
          <w:cantSplit/>
          <w:trHeight w:val="490"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7EC12418" w14:textId="06480964" w:rsidR="004A535D" w:rsidRPr="004A535D" w:rsidRDefault="004A535D" w:rsidP="000221EF">
            <w:pPr>
              <w:keepNext/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>The health service provides employment and appropriate support for NE trainees</w:t>
            </w:r>
          </w:p>
        </w:tc>
      </w:tr>
      <w:tr w:rsidR="00C95950" w:rsidRPr="004A535D" w14:paraId="1EF6D16A" w14:textId="77777777" w:rsidTr="007C2D01">
        <w:trPr>
          <w:cantSplit/>
          <w:trHeight w:val="1902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6181DA26" w14:textId="77777777" w:rsidR="004A535D" w:rsidRPr="004A535D" w:rsidRDefault="004A535D" w:rsidP="004A535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can employ NE trainees in a 0.5 EFT to 0.8 EFT position. This provides health services with flexibility around the provision of project management and/or administrative support for the NE role. </w:t>
            </w:r>
          </w:p>
          <w:p w14:paraId="3CA37B05" w14:textId="1BCB0987" w:rsidR="004A535D" w:rsidRPr="004A535D" w:rsidRDefault="004A535D" w:rsidP="000221E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</w:t>
            </w:r>
            <w:r w:rsidRPr="004A535D">
              <w:rPr>
                <w:rFonts w:eastAsia="Calibri" w:cs="Arial"/>
                <w:b/>
                <w:sz w:val="22"/>
                <w:szCs w:val="22"/>
              </w:rPr>
              <w:t xml:space="preserve">minimum </w:t>
            </w:r>
            <w:r w:rsidRPr="004A535D">
              <w:rPr>
                <w:rFonts w:eastAsia="Calibri" w:cs="Arial"/>
                <w:sz w:val="22"/>
                <w:szCs w:val="22"/>
              </w:rPr>
              <w:t>employment time for the NE trainee position is 0.5 EFT.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6B33852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48482E6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6A9E749D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BEC9AAD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95950" w:rsidRPr="004A535D" w14:paraId="580163D6" w14:textId="77777777" w:rsidTr="003C6A1B">
        <w:trPr>
          <w:cantSplit/>
          <w:trHeight w:val="984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2DF9FEFB" w14:textId="2040A938" w:rsidR="004A535D" w:rsidRPr="004A535D" w:rsidRDefault="004A535D" w:rsidP="004A53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provide NE trainees with the opportunity to complete the theoretical component of NE Skills Training Program.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AB7BA06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568660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11ED8F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776149C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95950" w:rsidRPr="004A535D" w14:paraId="62CD8287" w14:textId="77777777" w:rsidTr="007C2D01">
        <w:trPr>
          <w:cantSplit/>
          <w:trHeight w:val="489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223957A8" w14:textId="63B77D2A" w:rsidR="004A535D" w:rsidRPr="004A535D" w:rsidRDefault="004A535D" w:rsidP="000221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can provide NE trainees with access to office space, computer and other resources.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CE483FA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5A7CD49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17B3D9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6FF69C0D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95950" w:rsidRPr="004A535D" w14:paraId="30053BD9" w14:textId="77777777" w:rsidTr="007C2D01">
        <w:trPr>
          <w:cantSplit/>
          <w:trHeight w:val="631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2AEA357B" w14:textId="1251AD91" w:rsidR="009077F6" w:rsidRPr="004A535D" w:rsidRDefault="004A535D" w:rsidP="009C40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lastRenderedPageBreak/>
              <w:t xml:space="preserve">The health service can ensure NE trainees participate in training and </w:t>
            </w:r>
            <w:r w:rsidR="007C2D01">
              <w:rPr>
                <w:rFonts w:eastAsia="Calibri" w:cs="Arial"/>
                <w:sz w:val="22"/>
                <w:szCs w:val="22"/>
              </w:rPr>
              <w:t xml:space="preserve">any </w:t>
            </w:r>
            <w:r w:rsidRPr="004A535D">
              <w:rPr>
                <w:rFonts w:eastAsia="Calibri" w:cs="Arial"/>
                <w:sz w:val="22"/>
                <w:szCs w:val="22"/>
              </w:rPr>
              <w:t>communit</w:t>
            </w:r>
            <w:r w:rsidR="007C2D01">
              <w:rPr>
                <w:rFonts w:eastAsia="Calibri" w:cs="Arial"/>
                <w:sz w:val="22"/>
                <w:szCs w:val="22"/>
              </w:rPr>
              <w:t>ies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 of practice </w:t>
            </w:r>
            <w:r w:rsidR="007C2D01">
              <w:rPr>
                <w:rFonts w:eastAsia="Calibri" w:cs="Arial"/>
                <w:sz w:val="22"/>
                <w:szCs w:val="22"/>
              </w:rPr>
              <w:t>that may emerge.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612748A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D0DDB11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799DFE2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52ED09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4BECB4E8" w14:textId="77777777" w:rsidTr="00C95950">
        <w:trPr>
          <w:cantSplit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53D5CB7F" w14:textId="62CAEE9A" w:rsidR="004A535D" w:rsidRPr="004A535D" w:rsidRDefault="004A535D" w:rsidP="004A535D">
            <w:pPr>
              <w:spacing w:line="240" w:lineRule="auto"/>
              <w:jc w:val="both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>The health service is to ensure project management skills are available to support the establishment phase of a NE service</w:t>
            </w:r>
          </w:p>
        </w:tc>
      </w:tr>
      <w:tr w:rsidR="00C95950" w:rsidRPr="004A535D" w14:paraId="22C2ADC2" w14:textId="77777777" w:rsidTr="007C2D01">
        <w:trPr>
          <w:cantSplit/>
          <w:trHeight w:val="1617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7278A15" w14:textId="312C6CDB" w:rsidR="004A535D" w:rsidRPr="004A535D" w:rsidRDefault="004A535D" w:rsidP="000221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can provide dedicated project time to establishing and providing a NE service. This may be incorporated as part of the NE trainee EFT and should be explicitly recognised as such. Project EFT will be in addition to the NE trainee’s </w:t>
            </w:r>
            <w:r w:rsidRPr="004A535D">
              <w:rPr>
                <w:rFonts w:eastAsia="Calibri" w:cs="Arial"/>
                <w:b/>
                <w:sz w:val="22"/>
                <w:szCs w:val="22"/>
              </w:rPr>
              <w:t xml:space="preserve">minimum </w:t>
            </w:r>
            <w:r w:rsidRPr="004A535D">
              <w:rPr>
                <w:rFonts w:eastAsia="Calibri" w:cs="Arial"/>
                <w:sz w:val="22"/>
                <w:szCs w:val="22"/>
              </w:rPr>
              <w:t>employment time of 0.5 EFT.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2E9066C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0A818F4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BD21992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62BA0C0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95950" w:rsidRPr="004A535D" w14:paraId="3CAAC93B" w14:textId="77777777" w:rsidTr="007C2D01">
        <w:trPr>
          <w:cantSplit/>
          <w:trHeight w:val="834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2190B44F" w14:textId="77777777" w:rsidR="004A535D" w:rsidRPr="004A535D" w:rsidRDefault="004A535D" w:rsidP="004A53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documented record of undertaking successful projects that required well developed project management skills.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7620374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62B614B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940402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0EA0410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5A4E0681" w14:textId="77777777" w:rsidTr="00C95950">
        <w:trPr>
          <w:cantSplit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7EF6BA17" w14:textId="77777777" w:rsidR="004A535D" w:rsidRPr="004A535D" w:rsidRDefault="004A535D" w:rsidP="004A535D">
            <w:pPr>
              <w:spacing w:before="12" w:after="12" w:line="312" w:lineRule="auto"/>
              <w:rPr>
                <w:rFonts w:eastAsia="Calibri" w:cs="Arial"/>
                <w:bCs/>
                <w:color w:val="FFFFFF"/>
                <w:sz w:val="22"/>
                <w:szCs w:val="22"/>
              </w:rPr>
            </w:pPr>
            <w:r w:rsidRPr="004A535D">
              <w:rPr>
                <w:rFonts w:eastAsia="Calibri" w:cs="Arial"/>
                <w:bCs/>
                <w:sz w:val="22"/>
                <w:szCs w:val="22"/>
              </w:rPr>
              <w:t>The health service has established policies and procedures to obtain patient consent for endoscopy procedures undertaken by NE trainees</w:t>
            </w:r>
          </w:p>
        </w:tc>
      </w:tr>
      <w:tr w:rsidR="00C95950" w:rsidRPr="004A535D" w14:paraId="1EEAFE4B" w14:textId="77777777" w:rsidTr="007C2D01">
        <w:trPr>
          <w:cantSplit/>
          <w:trHeight w:val="675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B4E552E" w14:textId="10A5C0AD" w:rsidR="004A535D" w:rsidRPr="004A535D" w:rsidRDefault="004A535D" w:rsidP="000221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Health service has a clear process for obtaining informed consent from patients for endoscopy procedures undertaken by NE trainees.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726998E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EDDC03E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C24D45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BF27121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95950" w:rsidRPr="004A535D" w14:paraId="44000515" w14:textId="77777777" w:rsidTr="007C2D01">
        <w:trPr>
          <w:cantSplit/>
          <w:trHeight w:val="789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82A4E1A" w14:textId="5925CD8E" w:rsidR="000221EF" w:rsidRPr="004A535D" w:rsidRDefault="004A535D" w:rsidP="004A53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Health service has a clear process for training NEs to obtain informed consent from patients in accordance with GESA </w:t>
            </w:r>
            <w:r w:rsidRPr="004A535D">
              <w:rPr>
                <w:rFonts w:eastAsia="Calibri" w:cs="Arial"/>
                <w:i/>
                <w:sz w:val="22"/>
                <w:szCs w:val="22"/>
              </w:rPr>
              <w:t xml:space="preserve">Standards for Endoscopic Facilities and Services </w:t>
            </w:r>
            <w:r w:rsidRPr="004A535D">
              <w:rPr>
                <w:rFonts w:eastAsia="Calibri" w:cs="Arial"/>
                <w:sz w:val="22"/>
                <w:szCs w:val="22"/>
              </w:rPr>
              <w:t xml:space="preserve">and specific state regulations. 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A03008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0382703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ED34E13" w14:textId="77777777" w:rsid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25AB4D8A" w14:textId="77777777" w:rsidR="000221EF" w:rsidRDefault="000221EF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6DFC4B0D" w14:textId="77777777" w:rsidR="000221EF" w:rsidRDefault="000221EF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353D947A" w14:textId="37CA7BCD" w:rsidR="000221EF" w:rsidRPr="004A535D" w:rsidRDefault="000221EF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675E5DD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7D4C57B1" w14:textId="77777777" w:rsidTr="00C95950">
        <w:trPr>
          <w:cantSplit/>
          <w:trHeight w:val="490"/>
          <w:tblHeader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74E48196" w14:textId="6E4B9400" w:rsidR="004A535D" w:rsidRPr="004A535D" w:rsidRDefault="004A535D" w:rsidP="000221EF">
            <w:pPr>
              <w:keepNext/>
              <w:spacing w:line="240" w:lineRule="auto"/>
              <w:jc w:val="both"/>
              <w:rPr>
                <w:rFonts w:eastAsia="Calibri" w:cs="Arial"/>
                <w:bCs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br w:type="page"/>
            </w:r>
            <w:r w:rsidRPr="004A535D">
              <w:rPr>
                <w:rFonts w:eastAsia="Calibri" w:cs="Arial"/>
                <w:bCs/>
                <w:sz w:val="22"/>
                <w:szCs w:val="22"/>
              </w:rPr>
              <w:t xml:space="preserve">The health service has a strong supportive culture of training and professional development for staff </w:t>
            </w:r>
          </w:p>
        </w:tc>
      </w:tr>
      <w:tr w:rsidR="00C95950" w:rsidRPr="004A535D" w14:paraId="179EECDF" w14:textId="77777777" w:rsidTr="007C2D01">
        <w:trPr>
          <w:cantSplit/>
          <w:trHeight w:val="998"/>
          <w:tblHeader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74CD1968" w14:textId="6C493F1E" w:rsidR="003C6A1B" w:rsidRPr="004A535D" w:rsidRDefault="004A535D" w:rsidP="003C6A1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documented record of providing ongoing training of medical, nursing, administrative and other staff within its organisation and appraising the competence of staff following training prior to unsupervised practice.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B54B193" w14:textId="77777777" w:rsidR="004A535D" w:rsidRPr="004A535D" w:rsidRDefault="004A535D" w:rsidP="004A535D">
            <w:pPr>
              <w:keepNext/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B2D4BE9" w14:textId="77777777" w:rsidR="004A535D" w:rsidRPr="004A535D" w:rsidRDefault="004A535D" w:rsidP="004A535D">
            <w:pPr>
              <w:keepNext/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3C61F0F" w14:textId="77777777" w:rsidR="004A535D" w:rsidRPr="004A535D" w:rsidRDefault="004A535D" w:rsidP="004A535D">
            <w:pPr>
              <w:keepNext/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2A24E34" w14:textId="77777777" w:rsidR="004A535D" w:rsidRPr="004A535D" w:rsidRDefault="004A535D" w:rsidP="004A535D">
            <w:pPr>
              <w:keepNext/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7AD155F2" w14:textId="77777777" w:rsidTr="007C2D01">
        <w:trPr>
          <w:cantSplit/>
          <w:trHeight w:val="466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8B16D75" w14:textId="25CA2EC6" w:rsidR="007C2D01" w:rsidRDefault="004A535D" w:rsidP="003C6A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Establishing a NE service aligns with strategic objectives of the health service and its Statement of Priorities.</w:t>
            </w:r>
          </w:p>
          <w:p w14:paraId="7E994267" w14:textId="45B46271" w:rsidR="007C2D01" w:rsidRPr="004A535D" w:rsidRDefault="007C2D01" w:rsidP="003C6A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89570D0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7815BE1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52A731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88E013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C11492" w:rsidRPr="004A535D" w14:paraId="5621BDEB" w14:textId="77777777" w:rsidTr="001B7DAC">
        <w:trPr>
          <w:cantSplit/>
          <w:trHeight w:val="485"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</w:tcPr>
          <w:p w14:paraId="0844E56A" w14:textId="77777777" w:rsidR="00C11492" w:rsidRPr="004A535D" w:rsidRDefault="00C11492" w:rsidP="001B7DAC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/>
                <w:sz w:val="28"/>
                <w:szCs w:val="28"/>
              </w:rPr>
            </w:pPr>
            <w:r w:rsidRPr="004A535D">
              <w:rPr>
                <w:rFonts w:cs="Arial"/>
                <w:b/>
                <w:sz w:val="28"/>
                <w:szCs w:val="28"/>
              </w:rPr>
              <w:t>Organisational commitment to workforce reform</w:t>
            </w:r>
          </w:p>
        </w:tc>
      </w:tr>
      <w:tr w:rsidR="00C11492" w:rsidRPr="004A535D" w14:paraId="28FDC7F7" w14:textId="77777777" w:rsidTr="001B7DAC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677FB2DD" w14:textId="77777777" w:rsidR="00C11492" w:rsidRPr="004A535D" w:rsidRDefault="00C11492" w:rsidP="001B7DAC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>The preparedness of the health service to reform ‘on behalf of the system’ and drive national and state-wide transferability of the new workforce model</w:t>
            </w:r>
          </w:p>
        </w:tc>
      </w:tr>
      <w:tr w:rsidR="003C6A1B" w:rsidRPr="004A535D" w14:paraId="116C4761" w14:textId="77777777" w:rsidTr="003C6A1B">
        <w:trPr>
          <w:cantSplit/>
          <w:trHeight w:val="1375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0E6C4C0" w14:textId="5DFDF8B9" w:rsidR="00E26373" w:rsidRPr="004A535D" w:rsidRDefault="004A535D" w:rsidP="009C40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 xml:space="preserve">The health service has previously piloted or successfully introduced an advanced practice nursing </w:t>
            </w:r>
            <w:r w:rsidR="00BC26C2">
              <w:rPr>
                <w:rFonts w:eastAsia="Calibri" w:cs="Arial"/>
                <w:sz w:val="22"/>
                <w:szCs w:val="22"/>
              </w:rPr>
              <w:t>and</w:t>
            </w:r>
            <w:r w:rsidRPr="004A535D">
              <w:rPr>
                <w:rFonts w:eastAsia="Calibri" w:cs="Arial"/>
                <w:sz w:val="22"/>
                <w:szCs w:val="22"/>
              </w:rPr>
              <w:t>/or allied health role to deliver key services currently undertaken by medical clinicians.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E069C00" w14:textId="77777777" w:rsid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2016C9ED" w14:textId="2E9B75E1" w:rsidR="009077F6" w:rsidRPr="004A535D" w:rsidRDefault="009077F6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54D4A36" w14:textId="36180E0B" w:rsidR="009077F6" w:rsidRPr="004A535D" w:rsidRDefault="004A535D" w:rsidP="009C4003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2124CD8A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BEDEB65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15F68E12" w14:textId="77777777" w:rsidTr="00C95950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01FB04DF" w14:textId="77777777" w:rsidR="004A535D" w:rsidRPr="004A535D" w:rsidRDefault="004A535D" w:rsidP="008842E0">
            <w:pPr>
              <w:keepNext/>
              <w:tabs>
                <w:tab w:val="left" w:pos="720"/>
              </w:tabs>
              <w:spacing w:before="8" w:after="8" w:line="288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lastRenderedPageBreak/>
              <w:t>There is strong, simultaneous executive support and medical and nursing clinician led support and commitment to address the system and cultural barriers associated with workforce reform</w:t>
            </w:r>
          </w:p>
        </w:tc>
      </w:tr>
      <w:tr w:rsidR="003C6A1B" w:rsidRPr="004A535D" w14:paraId="07E4267A" w14:textId="77777777" w:rsidTr="003C6A1B">
        <w:trPr>
          <w:cantSplit/>
          <w:trHeight w:val="1094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709C8978" w14:textId="49546974" w:rsidR="004A535D" w:rsidRPr="004A535D" w:rsidRDefault="004A535D" w:rsidP="003C6A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identified medical and nursing champions or sponsors who are considered clinical leaders within the unit and /or organisation.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052BC60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1118B69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591E217F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3F7E39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327A971E" w14:textId="77777777" w:rsidTr="007C2D01">
        <w:trPr>
          <w:cantSplit/>
          <w:trHeight w:val="1060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0CC1530F" w14:textId="726B5838" w:rsidR="004A535D" w:rsidRPr="004A535D" w:rsidRDefault="004A535D" w:rsidP="00C11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obtained the support of a group of medical practitioners within the gastroenterology unit or colorectal surgical unit.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F9C17AD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2452EA6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31B783C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FE07F2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082B522A" w14:textId="77777777" w:rsidTr="007C2D01">
        <w:trPr>
          <w:cantSplit/>
          <w:trHeight w:val="1118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4ED49BC1" w14:textId="30A1348F" w:rsidR="004A535D" w:rsidRPr="004A535D" w:rsidRDefault="004A535D" w:rsidP="004A53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the explicit, informed and documented support and commitment of the CEO and executive for a NE service and has an identified Executive Sponsor.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D682D2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0991C8B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7CE8BF22" w14:textId="77777777" w:rsidR="004A535D" w:rsidRPr="004A535D" w:rsidRDefault="004A535D" w:rsidP="004A535D">
            <w:pPr>
              <w:spacing w:before="8" w:after="8" w:line="288" w:lineRule="auto"/>
              <w:rPr>
                <w:rFonts w:eastAsia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7F975DD" w14:textId="77777777" w:rsidR="004A535D" w:rsidRPr="004A535D" w:rsidRDefault="004A535D" w:rsidP="004A535D">
            <w:pPr>
              <w:spacing w:before="8" w:after="8" w:line="288" w:lineRule="auto"/>
              <w:rPr>
                <w:rFonts w:eastAsia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A535D" w:rsidRPr="004A535D" w14:paraId="583C2FDA" w14:textId="77777777" w:rsidTr="00C95950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00FBD58D" w14:textId="77777777" w:rsidR="004A535D" w:rsidRPr="004A535D" w:rsidRDefault="004A535D" w:rsidP="004A535D">
            <w:pPr>
              <w:tabs>
                <w:tab w:val="left" w:pos="720"/>
              </w:tabs>
              <w:spacing w:before="12" w:after="12" w:line="312" w:lineRule="auto"/>
              <w:rPr>
                <w:rFonts w:cs="Arial"/>
                <w:bCs/>
                <w:sz w:val="22"/>
                <w:szCs w:val="22"/>
              </w:rPr>
            </w:pPr>
            <w:r w:rsidRPr="004A535D">
              <w:rPr>
                <w:rFonts w:cs="Arial"/>
                <w:bCs/>
                <w:sz w:val="22"/>
                <w:szCs w:val="22"/>
              </w:rPr>
              <w:t>The preparedness of the health service and gastroenterology/surgical unit to undergo organisational change</w:t>
            </w:r>
          </w:p>
        </w:tc>
      </w:tr>
      <w:tr w:rsidR="003C6A1B" w:rsidRPr="004A535D" w14:paraId="3522E223" w14:textId="77777777" w:rsidTr="003C6A1B">
        <w:trPr>
          <w:cantSplit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804AFCA" w14:textId="77777777" w:rsidR="004A535D" w:rsidRPr="004A535D" w:rsidRDefault="004A535D" w:rsidP="00C11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is stable and not undergoing a period of significant organisational change.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6D8A56A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404E7C7E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E0AD554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20A6AC0B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3E3C0B2A" w14:textId="77777777" w:rsidTr="003C6A1B">
        <w:trPr>
          <w:cantSplit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64A1EC7" w14:textId="77777777" w:rsidR="004A535D" w:rsidRPr="004A535D" w:rsidRDefault="004A535D" w:rsidP="00C11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and the gastroenterology/ surgical unit have established change management processes and documented past record of successful service and workforce redesign and innovation.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48B6567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62BDE13B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297672D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40209D37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514D75DB" w14:textId="77777777" w:rsidTr="003C6A1B">
        <w:trPr>
          <w:cantSplit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</w:tcPr>
          <w:p w14:paraId="3075D15B" w14:textId="0606D1EE" w:rsidR="003C6A1B" w:rsidRPr="004A535D" w:rsidRDefault="004A535D" w:rsidP="00C11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industrial framework is supportive of advanced practice nursing role and facilitates implementation.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2ED651A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84C7681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86B0776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D09F01E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4A535D" w:rsidRPr="004A535D" w14:paraId="125B35D3" w14:textId="77777777" w:rsidTr="00C95950">
        <w:trPr>
          <w:cantSplit/>
        </w:trPr>
        <w:tc>
          <w:tcPr>
            <w:tcW w:w="10206" w:type="dxa"/>
            <w:gridSpan w:val="5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shd w:val="clear" w:color="auto" w:fill="A7E8FF"/>
            <w:vAlign w:val="center"/>
            <w:hideMark/>
          </w:tcPr>
          <w:p w14:paraId="23AF2CED" w14:textId="442E86A8" w:rsidR="004A535D" w:rsidRPr="004A535D" w:rsidRDefault="003C6A1B" w:rsidP="004A535D">
            <w:pPr>
              <w:tabs>
                <w:tab w:val="left" w:pos="720"/>
              </w:tabs>
              <w:spacing w:before="8" w:after="8" w:line="288" w:lineRule="auto"/>
              <w:rPr>
                <w:rFonts w:cs="Arial"/>
                <w:bCs/>
                <w:sz w:val="22"/>
                <w:szCs w:val="22"/>
              </w:rPr>
            </w:pPr>
            <w:r>
              <w:br w:type="page"/>
            </w:r>
            <w:r w:rsidR="004A535D" w:rsidRPr="004A535D">
              <w:rPr>
                <w:rFonts w:cs="Arial"/>
                <w:bCs/>
                <w:sz w:val="22"/>
                <w:szCs w:val="22"/>
              </w:rPr>
              <w:t>The willingness of executive staff, medical and nursing clinicians and surgical services staff to learn with and accept support from others including health services, the Department, training organisations</w:t>
            </w:r>
            <w:r w:rsidR="00C11492">
              <w:rPr>
                <w:rFonts w:cs="Arial"/>
                <w:bCs/>
                <w:sz w:val="22"/>
                <w:szCs w:val="22"/>
              </w:rPr>
              <w:t>,</w:t>
            </w:r>
            <w:r w:rsidR="004A535D" w:rsidRPr="004A535D">
              <w:rPr>
                <w:rFonts w:cs="Arial"/>
                <w:bCs/>
                <w:sz w:val="22"/>
                <w:szCs w:val="22"/>
              </w:rPr>
              <w:t xml:space="preserve"> consumers and carers</w:t>
            </w:r>
          </w:p>
        </w:tc>
      </w:tr>
      <w:tr w:rsidR="003C6A1B" w:rsidRPr="004A535D" w14:paraId="6C70063B" w14:textId="77777777" w:rsidTr="003C6A1B">
        <w:trPr>
          <w:cantSplit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02C9C32" w14:textId="77777777" w:rsidR="004A535D" w:rsidRPr="004A535D" w:rsidRDefault="004A535D" w:rsidP="008842E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successful documented record of working in partnership and collaboration with other health services, professional bodies, educational institutions and consumers and carers in service and workforce redesign and innovation projects.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5A70FB03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3B5A7B8E" w14:textId="77777777" w:rsidR="004A535D" w:rsidRPr="004A535D" w:rsidRDefault="004A535D" w:rsidP="004A535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942CBC8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32907F4A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C6A1B" w:rsidRPr="004A535D" w14:paraId="0405508C" w14:textId="77777777" w:rsidTr="00C11492">
        <w:trPr>
          <w:cantSplit/>
          <w:trHeight w:val="470"/>
        </w:trPr>
        <w:tc>
          <w:tcPr>
            <w:tcW w:w="4536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20AC0929" w14:textId="77777777" w:rsidR="004A535D" w:rsidRPr="004A535D" w:rsidRDefault="004A535D" w:rsidP="008842E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t>The health service has a good working relationship with the Department of Health.</w:t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02E829F6" w14:textId="77777777" w:rsidR="004A535D" w:rsidRPr="004A535D" w:rsidRDefault="004A535D" w:rsidP="00C1149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  <w:vAlign w:val="center"/>
            <w:hideMark/>
          </w:tcPr>
          <w:p w14:paraId="1F9E8176" w14:textId="77777777" w:rsidR="004A535D" w:rsidRPr="004A535D" w:rsidRDefault="004A535D" w:rsidP="00C1149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A535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A535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C04971">
              <w:rPr>
                <w:rFonts w:eastAsia="Calibri" w:cs="Arial"/>
                <w:sz w:val="22"/>
                <w:szCs w:val="22"/>
              </w:rPr>
            </w:r>
            <w:r w:rsidR="00C0497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4A535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1ED93D1A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8AB0"/>
              <w:left w:val="single" w:sz="4" w:space="0" w:color="008AB0"/>
              <w:bottom w:val="single" w:sz="4" w:space="0" w:color="008AB0"/>
              <w:right w:val="single" w:sz="4" w:space="0" w:color="008AB0"/>
            </w:tcBorders>
          </w:tcPr>
          <w:p w14:paraId="0F09BF87" w14:textId="77777777" w:rsidR="004A535D" w:rsidRPr="004A535D" w:rsidRDefault="004A535D" w:rsidP="004A535D">
            <w:pPr>
              <w:spacing w:before="8" w:after="8"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14:paraId="5AEFCEAB" w14:textId="77777777" w:rsidR="004A535D" w:rsidRPr="004A535D" w:rsidRDefault="004A535D" w:rsidP="004A535D">
      <w:pPr>
        <w:tabs>
          <w:tab w:val="left" w:pos="720"/>
        </w:tabs>
        <w:spacing w:before="8" w:after="8" w:line="288" w:lineRule="auto"/>
        <w:rPr>
          <w:rFonts w:cs="Arial"/>
          <w:sz w:val="22"/>
          <w:szCs w:val="22"/>
        </w:rPr>
      </w:pPr>
    </w:p>
    <w:p w14:paraId="4592A084" w14:textId="77777777" w:rsidR="007C2D01" w:rsidRPr="004A535D" w:rsidRDefault="007C2D01" w:rsidP="004A535D">
      <w:pPr>
        <w:tabs>
          <w:tab w:val="left" w:pos="720"/>
        </w:tabs>
        <w:spacing w:before="8" w:after="8" w:line="288" w:lineRule="auto"/>
        <w:rPr>
          <w:rFonts w:cs="Arial"/>
          <w:sz w:val="22"/>
          <w:szCs w:val="22"/>
        </w:rPr>
      </w:pPr>
    </w:p>
    <w:p w14:paraId="7E5AB359" w14:textId="77777777" w:rsidR="004A535D" w:rsidRPr="004A535D" w:rsidRDefault="004A535D" w:rsidP="004A535D">
      <w:pPr>
        <w:spacing w:after="8" w:line="288" w:lineRule="auto"/>
        <w:rPr>
          <w:rFonts w:eastAsia="Calibri" w:cs="Arial"/>
          <w:b/>
          <w:bCs/>
          <w:sz w:val="22"/>
          <w:szCs w:val="22"/>
        </w:rPr>
      </w:pPr>
      <w:r w:rsidRPr="004A535D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C656B1" wp14:editId="25F8AD21">
                <wp:simplePos x="0" y="0"/>
                <wp:positionH relativeFrom="column">
                  <wp:posOffset>571500</wp:posOffset>
                </wp:positionH>
                <wp:positionV relativeFrom="paragraph">
                  <wp:posOffset>174625</wp:posOffset>
                </wp:positionV>
                <wp:extent cx="20574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C751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5pt" to="20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Wq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"/>
            </w:pict>
          </mc:Fallback>
        </mc:AlternateContent>
      </w:r>
      <w:r w:rsidRPr="004A535D">
        <w:rPr>
          <w:rFonts w:eastAsia="Calibri" w:cs="Arial"/>
          <w:b/>
          <w:bCs/>
          <w:sz w:val="22"/>
          <w:szCs w:val="22"/>
        </w:rPr>
        <w:t xml:space="preserve">Signed: </w:t>
      </w:r>
      <w:r w:rsidRPr="004A535D">
        <w:rPr>
          <w:rFonts w:eastAsia="Calibri" w:cs="Arial"/>
          <w:b/>
          <w:bCs/>
          <w:sz w:val="22"/>
          <w:szCs w:val="22"/>
        </w:rPr>
        <w:tab/>
      </w:r>
      <w:r w:rsidRPr="004A535D">
        <w:rPr>
          <w:rFonts w:eastAsia="Calibri" w:cs="Arial"/>
          <w:b/>
          <w:bCs/>
          <w:sz w:val="22"/>
          <w:szCs w:val="22"/>
        </w:rPr>
        <w:tab/>
      </w:r>
      <w:r w:rsidRPr="004A535D">
        <w:rPr>
          <w:rFonts w:eastAsia="Calibri" w:cs="Arial"/>
          <w:b/>
          <w:bCs/>
          <w:sz w:val="22"/>
          <w:szCs w:val="22"/>
        </w:rPr>
        <w:tab/>
      </w:r>
      <w:r w:rsidRPr="004A535D">
        <w:rPr>
          <w:rFonts w:eastAsia="Calibri" w:cs="Arial"/>
          <w:b/>
          <w:bCs/>
          <w:sz w:val="22"/>
          <w:szCs w:val="22"/>
        </w:rPr>
        <w:tab/>
      </w:r>
      <w:r w:rsidRPr="004A535D">
        <w:rPr>
          <w:rFonts w:eastAsia="Calibri" w:cs="Arial"/>
          <w:b/>
          <w:bCs/>
          <w:sz w:val="22"/>
          <w:szCs w:val="22"/>
        </w:rPr>
        <w:tab/>
      </w:r>
      <w:r w:rsidRPr="004A535D">
        <w:rPr>
          <w:rFonts w:eastAsia="Calibri" w:cs="Arial"/>
          <w:b/>
          <w:bCs/>
          <w:sz w:val="22"/>
          <w:szCs w:val="22"/>
        </w:rPr>
        <w:br/>
      </w:r>
    </w:p>
    <w:p w14:paraId="789F4C39" w14:textId="77777777" w:rsidR="004A535D" w:rsidRPr="004A535D" w:rsidRDefault="004A535D" w:rsidP="004A535D">
      <w:pPr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  <w:r w:rsidRPr="004A535D">
        <w:rPr>
          <w:rFonts w:eastAsia="Calibri" w:cs="Arial"/>
          <w:b/>
          <w:bCs/>
          <w:sz w:val="22"/>
          <w:szCs w:val="22"/>
        </w:rPr>
        <w:t>Date:</w:t>
      </w:r>
    </w:p>
    <w:p w14:paraId="123C2052" w14:textId="77777777" w:rsidR="004A535D" w:rsidRPr="004A535D" w:rsidRDefault="004A535D" w:rsidP="004A535D">
      <w:pPr>
        <w:tabs>
          <w:tab w:val="left" w:pos="2064"/>
        </w:tabs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  <w:r w:rsidRPr="004A535D">
        <w:rPr>
          <w:rFonts w:eastAsia="Calibri" w:cs="Arial"/>
          <w:b/>
          <w:bCs/>
          <w:sz w:val="22"/>
          <w:szCs w:val="22"/>
        </w:rPr>
        <w:tab/>
      </w:r>
    </w:p>
    <w:p w14:paraId="65703D87" w14:textId="71D9205C" w:rsidR="00473B68" w:rsidRDefault="004A535D" w:rsidP="009077F6">
      <w:pPr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  <w:r w:rsidRPr="004A535D">
        <w:rPr>
          <w:rFonts w:eastAsia="Calibri" w:cs="Arial"/>
          <w:b/>
          <w:bCs/>
          <w:sz w:val="22"/>
          <w:szCs w:val="22"/>
        </w:rPr>
        <w:t>Chief Executive Officer</w:t>
      </w:r>
      <w:bookmarkEnd w:id="1"/>
    </w:p>
    <w:p w14:paraId="31BB570B" w14:textId="050F217F" w:rsidR="00221753" w:rsidRDefault="00221753" w:rsidP="009077F6">
      <w:pPr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</w:p>
    <w:p w14:paraId="3084C6ED" w14:textId="74565564" w:rsidR="00221753" w:rsidRDefault="00221753" w:rsidP="009077F6">
      <w:pPr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</w:p>
    <w:p w14:paraId="2F16E16E" w14:textId="1BD2F56E" w:rsidR="00221753" w:rsidRDefault="00221753" w:rsidP="009077F6">
      <w:pPr>
        <w:spacing w:before="8" w:after="8" w:line="288" w:lineRule="auto"/>
        <w:rPr>
          <w:rFonts w:eastAsia="Calibri" w:cs="Arial"/>
          <w:b/>
          <w:bCs/>
          <w:sz w:val="22"/>
          <w:szCs w:val="22"/>
        </w:rPr>
      </w:pPr>
    </w:p>
    <w:p w14:paraId="33E438D6" w14:textId="77777777" w:rsidR="00221753" w:rsidRPr="00865691" w:rsidRDefault="00221753" w:rsidP="00221753">
      <w:pPr>
        <w:spacing w:after="130" w:line="268" w:lineRule="auto"/>
        <w:ind w:left="-5" w:right="11" w:hanging="10"/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221753" w:rsidRPr="00865691" w14:paraId="31FD0BA1" w14:textId="77777777" w:rsidTr="00F243D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681" w14:textId="77777777" w:rsidR="00221753" w:rsidRPr="000039E4" w:rsidRDefault="00221753" w:rsidP="00F243DB">
            <w:pPr>
              <w:spacing w:before="240" w:after="200" w:line="300" w:lineRule="atLeast"/>
              <w:rPr>
                <w:rFonts w:eastAsia="Times"/>
                <w:szCs w:val="21"/>
              </w:rPr>
            </w:pPr>
            <w:r w:rsidRPr="000039E4">
              <w:rPr>
                <w:rFonts w:eastAsia="Times"/>
                <w:szCs w:val="21"/>
              </w:rPr>
              <w:t xml:space="preserve">To receive this document in another format, email </w:t>
            </w:r>
            <w:hyperlink r:id="rId16" w:history="1">
              <w:r w:rsidRPr="000039E4">
                <w:rPr>
                  <w:rFonts w:eastAsia="Times"/>
                  <w:szCs w:val="21"/>
                  <w:u w:val="dotted"/>
                </w:rPr>
                <w:t>NMW@health.vic.gov.au</w:t>
              </w:r>
            </w:hyperlink>
          </w:p>
          <w:p w14:paraId="294E97C2" w14:textId="77777777" w:rsidR="00221753" w:rsidRPr="000039E4" w:rsidRDefault="00221753" w:rsidP="00F243DB">
            <w:pPr>
              <w:spacing w:after="60" w:line="270" w:lineRule="atLeast"/>
              <w:rPr>
                <w:rFonts w:eastAsia="Times"/>
                <w:szCs w:val="21"/>
              </w:rPr>
            </w:pPr>
            <w:r w:rsidRPr="000039E4">
              <w:rPr>
                <w:rFonts w:eastAsia="Times"/>
                <w:szCs w:val="21"/>
              </w:rPr>
              <w:t>Authorised and published by the Victorian Government, 1 Treasury Place, Melbourne.</w:t>
            </w:r>
          </w:p>
          <w:p w14:paraId="4720BF99" w14:textId="77777777" w:rsidR="00221753" w:rsidRPr="000039E4" w:rsidRDefault="00221753" w:rsidP="00F243DB">
            <w:pPr>
              <w:spacing w:after="60" w:line="270" w:lineRule="atLeast"/>
              <w:rPr>
                <w:rFonts w:eastAsia="Times"/>
                <w:szCs w:val="21"/>
              </w:rPr>
            </w:pPr>
            <w:r w:rsidRPr="000039E4">
              <w:rPr>
                <w:rFonts w:eastAsia="Times"/>
                <w:szCs w:val="21"/>
              </w:rPr>
              <w:t>© State of Victoria, Australia, Department of Health, April 2021.</w:t>
            </w:r>
          </w:p>
          <w:p w14:paraId="4E632D6B" w14:textId="77777777" w:rsidR="00221753" w:rsidRPr="000039E4" w:rsidRDefault="00221753" w:rsidP="00F243DB">
            <w:pPr>
              <w:spacing w:after="60" w:line="270" w:lineRule="atLeast"/>
              <w:rPr>
                <w:rFonts w:eastAsia="Times"/>
                <w:szCs w:val="21"/>
              </w:rPr>
            </w:pPr>
          </w:p>
          <w:p w14:paraId="4DD23DBC" w14:textId="57294335" w:rsidR="00221753" w:rsidRPr="000039E4" w:rsidRDefault="00B47A8B" w:rsidP="00F243DB">
            <w:pPr>
              <w:spacing w:after="60" w:line="270" w:lineRule="atLeast"/>
              <w:rPr>
                <w:rFonts w:eastAsia="Times"/>
                <w:szCs w:val="21"/>
              </w:rPr>
            </w:pPr>
            <w:r w:rsidRPr="000039E4">
              <w:rPr>
                <w:rFonts w:cs="Arial"/>
                <w:b/>
                <w:bCs/>
                <w:color w:val="000000"/>
                <w:szCs w:val="21"/>
              </w:rPr>
              <w:t xml:space="preserve">ISBN </w:t>
            </w:r>
            <w:r w:rsidRPr="000039E4">
              <w:rPr>
                <w:rFonts w:cs="Arial"/>
                <w:color w:val="000000"/>
                <w:szCs w:val="21"/>
              </w:rPr>
              <w:t xml:space="preserve">978-1-76096-607-2 </w:t>
            </w:r>
            <w:r w:rsidRPr="000039E4">
              <w:rPr>
                <w:rFonts w:cs="Arial"/>
                <w:b/>
                <w:bCs/>
                <w:color w:val="000000"/>
                <w:szCs w:val="21"/>
              </w:rPr>
              <w:t>(pdf/online/MS word)</w:t>
            </w:r>
          </w:p>
          <w:p w14:paraId="6231F7D2" w14:textId="3F462514" w:rsidR="00151851" w:rsidRPr="00865691" w:rsidRDefault="009C40B5" w:rsidP="00F243DB">
            <w:pPr>
              <w:spacing w:after="60" w:line="270" w:lineRule="atLeast"/>
              <w:rPr>
                <w:rFonts w:eastAsia="Times"/>
                <w:sz w:val="20"/>
              </w:rPr>
            </w:pPr>
            <w:r w:rsidRPr="00C04971">
              <w:rPr>
                <w:rFonts w:eastAsia="Times"/>
                <w:szCs w:val="21"/>
              </w:rPr>
              <w:t>Available at &lt;</w:t>
            </w:r>
            <w:r w:rsidR="00C04971" w:rsidRPr="00C04971">
              <w:rPr>
                <w:rFonts w:eastAsia="Times"/>
                <w:szCs w:val="21"/>
              </w:rPr>
              <w:t>https://www2.health.vic.gov.au/health-workforce/nursing-and-midwifery/furthering-your-nursing-and-midwifery-career/advance-practice-nurse-endoscopists</w:t>
            </w:r>
            <w:r w:rsidRPr="00C04971">
              <w:rPr>
                <w:rFonts w:eastAsia="Times"/>
                <w:szCs w:val="21"/>
              </w:rPr>
              <w:t>&gt;</w:t>
            </w:r>
          </w:p>
        </w:tc>
      </w:tr>
    </w:tbl>
    <w:p w14:paraId="071E46D8" w14:textId="77777777" w:rsidR="00221753" w:rsidRPr="004A535D" w:rsidRDefault="00221753" w:rsidP="009077F6">
      <w:pPr>
        <w:spacing w:before="8" w:after="8" w:line="288" w:lineRule="auto"/>
        <w:rPr>
          <w:rFonts w:cs="Arial"/>
          <w:sz w:val="22"/>
          <w:szCs w:val="22"/>
        </w:rPr>
      </w:pPr>
    </w:p>
    <w:sectPr w:rsidR="00221753" w:rsidRPr="004A535D" w:rsidSect="00EC1F0D">
      <w:footerReference w:type="default" r:id="rId17"/>
      <w:type w:val="continuous"/>
      <w:pgSz w:w="11906" w:h="16838" w:code="9"/>
      <w:pgMar w:top="1134" w:right="851" w:bottom="113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22F5" w14:textId="77777777" w:rsidR="000868BA" w:rsidRDefault="000868BA">
      <w:r>
        <w:separator/>
      </w:r>
    </w:p>
  </w:endnote>
  <w:endnote w:type="continuationSeparator" w:id="0">
    <w:p w14:paraId="3626D08D" w14:textId="77777777" w:rsidR="000868BA" w:rsidRDefault="000868BA">
      <w:r>
        <w:continuationSeparator/>
      </w:r>
    </w:p>
  </w:endnote>
  <w:endnote w:type="continuationNotice" w:id="1">
    <w:p w14:paraId="5A48DDCC" w14:textId="77777777" w:rsidR="000868BA" w:rsidRDefault="00086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87E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1EC9E67B" wp14:editId="429BCEC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E5991AB" wp14:editId="7D364F5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822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991A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EF822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9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278ED77C" wp14:editId="2DED74E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AD1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ED77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D9AD1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0559" w14:textId="39DC45A0" w:rsidR="00373890" w:rsidRPr="00F65AA9" w:rsidRDefault="0014175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267E929" wp14:editId="223CF4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bc9c44918b1c84d3127f01d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5C37DB" w14:textId="2989CE6A" w:rsidR="00141752" w:rsidRPr="00141752" w:rsidRDefault="00141752" w:rsidP="0014175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4175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7E929" id="_x0000_t202" coordsize="21600,21600" o:spt="202" path="m,l,21600r21600,l21600,xe">
              <v:stroke joinstyle="miter"/>
              <v:path gradientshapeok="t" o:connecttype="rect"/>
            </v:shapetype>
            <v:shape id="MSIPCMbc9c44918b1c84d3127f01d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tTix5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15C37DB" w14:textId="2989CE6A" w:rsidR="00141752" w:rsidRPr="00141752" w:rsidRDefault="00141752" w:rsidP="0014175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4175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9AABF5A" wp14:editId="767B95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C0768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AABF5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1C0768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3F73" w14:textId="77777777" w:rsidR="000868BA" w:rsidRDefault="000868BA" w:rsidP="002862F1">
      <w:pPr>
        <w:spacing w:before="120"/>
      </w:pPr>
      <w:r>
        <w:separator/>
      </w:r>
    </w:p>
  </w:footnote>
  <w:footnote w:type="continuationSeparator" w:id="0">
    <w:p w14:paraId="778D0B60" w14:textId="77777777" w:rsidR="000868BA" w:rsidRDefault="000868BA">
      <w:r>
        <w:continuationSeparator/>
      </w:r>
    </w:p>
  </w:footnote>
  <w:footnote w:type="continuationNotice" w:id="1">
    <w:p w14:paraId="38328F5B" w14:textId="77777777" w:rsidR="000868BA" w:rsidRDefault="00086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26E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222E4E"/>
    <w:multiLevelType w:val="hybridMultilevel"/>
    <w:tmpl w:val="53D457AC"/>
    <w:lvl w:ilvl="0" w:tplc="0C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 w15:restartNumberingAfterBreak="0">
    <w:nsid w:val="0AAB6B58"/>
    <w:multiLevelType w:val="hybridMultilevel"/>
    <w:tmpl w:val="195A0F9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E24232C"/>
    <w:multiLevelType w:val="hybridMultilevel"/>
    <w:tmpl w:val="27B8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491E3E"/>
    <w:multiLevelType w:val="hybridMultilevel"/>
    <w:tmpl w:val="145C588A"/>
    <w:lvl w:ilvl="0" w:tplc="0C09000B">
      <w:start w:val="1"/>
      <w:numFmt w:val="bullet"/>
      <w:lvlText w:val=""/>
      <w:lvlJc w:val="left"/>
      <w:pPr>
        <w:ind w:left="56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9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B90384"/>
    <w:multiLevelType w:val="hybridMultilevel"/>
    <w:tmpl w:val="FE14107E"/>
    <w:lvl w:ilvl="0" w:tplc="0C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1AA7F05"/>
    <w:multiLevelType w:val="hybridMultilevel"/>
    <w:tmpl w:val="91748E1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1"/>
  </w:num>
  <w:num w:numId="25">
    <w:abstractNumId w:val="29"/>
  </w:num>
  <w:num w:numId="26">
    <w:abstractNumId w:val="24"/>
  </w:num>
  <w:num w:numId="27">
    <w:abstractNumId w:val="11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7"/>
  </w:num>
  <w:num w:numId="42">
    <w:abstractNumId w:val="18"/>
  </w:num>
  <w:num w:numId="43">
    <w:abstractNumId w:val="14"/>
  </w:num>
  <w:num w:numId="44">
    <w:abstractNumId w:val="13"/>
  </w:num>
  <w:num w:numId="4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C1"/>
    <w:rsid w:val="00000719"/>
    <w:rsid w:val="00003403"/>
    <w:rsid w:val="000039E4"/>
    <w:rsid w:val="00005347"/>
    <w:rsid w:val="000072B6"/>
    <w:rsid w:val="0001021B"/>
    <w:rsid w:val="00011D89"/>
    <w:rsid w:val="000154FD"/>
    <w:rsid w:val="00016FBF"/>
    <w:rsid w:val="000221E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68BA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218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3CFE"/>
    <w:rsid w:val="00124ED5"/>
    <w:rsid w:val="00126B3B"/>
    <w:rsid w:val="001276FA"/>
    <w:rsid w:val="001405F2"/>
    <w:rsid w:val="00141752"/>
    <w:rsid w:val="0014255B"/>
    <w:rsid w:val="001447B3"/>
    <w:rsid w:val="00151851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F1E"/>
    <w:rsid w:val="001B738B"/>
    <w:rsid w:val="001B7DAC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00F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3BDF"/>
    <w:rsid w:val="00216C03"/>
    <w:rsid w:val="00220C04"/>
    <w:rsid w:val="00221753"/>
    <w:rsid w:val="00221A70"/>
    <w:rsid w:val="0022278D"/>
    <w:rsid w:val="0022701F"/>
    <w:rsid w:val="00227C68"/>
    <w:rsid w:val="002333F5"/>
    <w:rsid w:val="00233724"/>
    <w:rsid w:val="002365B4"/>
    <w:rsid w:val="00237C7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1C5B"/>
    <w:rsid w:val="002B36C7"/>
    <w:rsid w:val="002B4DD4"/>
    <w:rsid w:val="002B5277"/>
    <w:rsid w:val="002B5375"/>
    <w:rsid w:val="002B77C1"/>
    <w:rsid w:val="002C0ED7"/>
    <w:rsid w:val="002C2728"/>
    <w:rsid w:val="002C3D84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4F76"/>
    <w:rsid w:val="003459BD"/>
    <w:rsid w:val="00350D38"/>
    <w:rsid w:val="00351B36"/>
    <w:rsid w:val="00357B4E"/>
    <w:rsid w:val="00364C0B"/>
    <w:rsid w:val="00366C10"/>
    <w:rsid w:val="003716FD"/>
    <w:rsid w:val="0037204B"/>
    <w:rsid w:val="00373890"/>
    <w:rsid w:val="003744CF"/>
    <w:rsid w:val="00374717"/>
    <w:rsid w:val="003766DA"/>
    <w:rsid w:val="0037676C"/>
    <w:rsid w:val="00381043"/>
    <w:rsid w:val="003829E5"/>
    <w:rsid w:val="00383B40"/>
    <w:rsid w:val="00386109"/>
    <w:rsid w:val="00386944"/>
    <w:rsid w:val="00387225"/>
    <w:rsid w:val="00395427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A1B"/>
    <w:rsid w:val="003C7897"/>
    <w:rsid w:val="003C7A3F"/>
    <w:rsid w:val="003D2766"/>
    <w:rsid w:val="003D2A74"/>
    <w:rsid w:val="003D35E1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ECF"/>
    <w:rsid w:val="004013C7"/>
    <w:rsid w:val="00401FCF"/>
    <w:rsid w:val="0040248F"/>
    <w:rsid w:val="00406285"/>
    <w:rsid w:val="00406914"/>
    <w:rsid w:val="004112C6"/>
    <w:rsid w:val="004148F9"/>
    <w:rsid w:val="00414D4A"/>
    <w:rsid w:val="0042084E"/>
    <w:rsid w:val="00421EEF"/>
    <w:rsid w:val="00424D65"/>
    <w:rsid w:val="00435D8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403B"/>
    <w:rsid w:val="00466E79"/>
    <w:rsid w:val="00470D7D"/>
    <w:rsid w:val="0047372D"/>
    <w:rsid w:val="00473B68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35D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2716"/>
    <w:rsid w:val="00503DC6"/>
    <w:rsid w:val="00506F5D"/>
    <w:rsid w:val="00510C37"/>
    <w:rsid w:val="005126D0"/>
    <w:rsid w:val="0051568D"/>
    <w:rsid w:val="0052104B"/>
    <w:rsid w:val="00526AC7"/>
    <w:rsid w:val="00526C15"/>
    <w:rsid w:val="00536395"/>
    <w:rsid w:val="00536499"/>
    <w:rsid w:val="00541276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CBF"/>
    <w:rsid w:val="0058757E"/>
    <w:rsid w:val="00596A4B"/>
    <w:rsid w:val="00597507"/>
    <w:rsid w:val="005A3660"/>
    <w:rsid w:val="005A479D"/>
    <w:rsid w:val="005A5E97"/>
    <w:rsid w:val="005B1C6D"/>
    <w:rsid w:val="005B21B6"/>
    <w:rsid w:val="005B3A08"/>
    <w:rsid w:val="005B7A63"/>
    <w:rsid w:val="005C0955"/>
    <w:rsid w:val="005C49AC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8D3"/>
    <w:rsid w:val="005F0775"/>
    <w:rsid w:val="005F0CF5"/>
    <w:rsid w:val="005F21EB"/>
    <w:rsid w:val="00605908"/>
    <w:rsid w:val="006107A5"/>
    <w:rsid w:val="00610D7C"/>
    <w:rsid w:val="006132C1"/>
    <w:rsid w:val="00613414"/>
    <w:rsid w:val="00620154"/>
    <w:rsid w:val="0062408D"/>
    <w:rsid w:val="006240CC"/>
    <w:rsid w:val="00624940"/>
    <w:rsid w:val="006254F8"/>
    <w:rsid w:val="00626DC1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8C5"/>
    <w:rsid w:val="00677574"/>
    <w:rsid w:val="00680DDD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3977"/>
    <w:rsid w:val="006D0F16"/>
    <w:rsid w:val="006D2A3F"/>
    <w:rsid w:val="006D2FBC"/>
    <w:rsid w:val="006E0541"/>
    <w:rsid w:val="006E138B"/>
    <w:rsid w:val="006E4713"/>
    <w:rsid w:val="006F0330"/>
    <w:rsid w:val="006F1FDC"/>
    <w:rsid w:val="006F6B8C"/>
    <w:rsid w:val="007013EF"/>
    <w:rsid w:val="007055BD"/>
    <w:rsid w:val="007058C6"/>
    <w:rsid w:val="007173CA"/>
    <w:rsid w:val="007216AA"/>
    <w:rsid w:val="00721AB5"/>
    <w:rsid w:val="00721CFB"/>
    <w:rsid w:val="00721DEF"/>
    <w:rsid w:val="007221EC"/>
    <w:rsid w:val="0072251A"/>
    <w:rsid w:val="00724A43"/>
    <w:rsid w:val="00724DA0"/>
    <w:rsid w:val="007273AC"/>
    <w:rsid w:val="00731AD4"/>
    <w:rsid w:val="007346E4"/>
    <w:rsid w:val="00734FCA"/>
    <w:rsid w:val="0073582E"/>
    <w:rsid w:val="0073788A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DB6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0BB"/>
    <w:rsid w:val="007C1838"/>
    <w:rsid w:val="007C20B9"/>
    <w:rsid w:val="007C2D01"/>
    <w:rsid w:val="007C61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BA1"/>
    <w:rsid w:val="00820141"/>
    <w:rsid w:val="00820E0C"/>
    <w:rsid w:val="008213F0"/>
    <w:rsid w:val="00823275"/>
    <w:rsid w:val="0082366F"/>
    <w:rsid w:val="008338A2"/>
    <w:rsid w:val="00835FAF"/>
    <w:rsid w:val="00841AA9"/>
    <w:rsid w:val="00842B74"/>
    <w:rsid w:val="008474FE"/>
    <w:rsid w:val="00853EE4"/>
    <w:rsid w:val="00855535"/>
    <w:rsid w:val="00855920"/>
    <w:rsid w:val="00857C5A"/>
    <w:rsid w:val="0086070E"/>
    <w:rsid w:val="0086255E"/>
    <w:rsid w:val="008633F0"/>
    <w:rsid w:val="00867D9D"/>
    <w:rsid w:val="00872E0A"/>
    <w:rsid w:val="00873594"/>
    <w:rsid w:val="00875285"/>
    <w:rsid w:val="008777FC"/>
    <w:rsid w:val="008842E0"/>
    <w:rsid w:val="00884B62"/>
    <w:rsid w:val="0088529C"/>
    <w:rsid w:val="00887903"/>
    <w:rsid w:val="008904AC"/>
    <w:rsid w:val="0089270A"/>
    <w:rsid w:val="0089369D"/>
    <w:rsid w:val="00893AF6"/>
    <w:rsid w:val="008949DF"/>
    <w:rsid w:val="00894BC4"/>
    <w:rsid w:val="008A28A8"/>
    <w:rsid w:val="008A5B32"/>
    <w:rsid w:val="008B2EE4"/>
    <w:rsid w:val="008B4D3D"/>
    <w:rsid w:val="008B57C7"/>
    <w:rsid w:val="008B71BB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613B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5048"/>
    <w:rsid w:val="00906490"/>
    <w:rsid w:val="009077F6"/>
    <w:rsid w:val="009111B2"/>
    <w:rsid w:val="009151F5"/>
    <w:rsid w:val="009220CA"/>
    <w:rsid w:val="00924AE1"/>
    <w:rsid w:val="009269B1"/>
    <w:rsid w:val="00926E4B"/>
    <w:rsid w:val="0092724D"/>
    <w:rsid w:val="009272B3"/>
    <w:rsid w:val="009315BE"/>
    <w:rsid w:val="0093338F"/>
    <w:rsid w:val="00936093"/>
    <w:rsid w:val="00937BD9"/>
    <w:rsid w:val="009462B1"/>
    <w:rsid w:val="00950E2C"/>
    <w:rsid w:val="00951D50"/>
    <w:rsid w:val="009525EB"/>
    <w:rsid w:val="0095470B"/>
    <w:rsid w:val="00954874"/>
    <w:rsid w:val="0095615A"/>
    <w:rsid w:val="00956384"/>
    <w:rsid w:val="00961400"/>
    <w:rsid w:val="00963646"/>
    <w:rsid w:val="0096632D"/>
    <w:rsid w:val="009718C7"/>
    <w:rsid w:val="00972294"/>
    <w:rsid w:val="0097395A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D"/>
    <w:rsid w:val="009B70AA"/>
    <w:rsid w:val="009C3B35"/>
    <w:rsid w:val="009C4003"/>
    <w:rsid w:val="009C40B5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1223"/>
    <w:rsid w:val="00A44882"/>
    <w:rsid w:val="00A45125"/>
    <w:rsid w:val="00A54715"/>
    <w:rsid w:val="00A6061C"/>
    <w:rsid w:val="00A62D44"/>
    <w:rsid w:val="00A65947"/>
    <w:rsid w:val="00A67263"/>
    <w:rsid w:val="00A7161C"/>
    <w:rsid w:val="00A75E0E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504F"/>
    <w:rsid w:val="00AA63D4"/>
    <w:rsid w:val="00AB06E8"/>
    <w:rsid w:val="00AB1CD3"/>
    <w:rsid w:val="00AB352F"/>
    <w:rsid w:val="00AB56DE"/>
    <w:rsid w:val="00AC1B7F"/>
    <w:rsid w:val="00AC274B"/>
    <w:rsid w:val="00AC4764"/>
    <w:rsid w:val="00AC555D"/>
    <w:rsid w:val="00AC6D36"/>
    <w:rsid w:val="00AD0CBA"/>
    <w:rsid w:val="00AD177A"/>
    <w:rsid w:val="00AD2087"/>
    <w:rsid w:val="00AD23FD"/>
    <w:rsid w:val="00AD26E2"/>
    <w:rsid w:val="00AD784C"/>
    <w:rsid w:val="00AE126A"/>
    <w:rsid w:val="00AE1BAE"/>
    <w:rsid w:val="00AE3005"/>
    <w:rsid w:val="00AE3BD5"/>
    <w:rsid w:val="00AE59A0"/>
    <w:rsid w:val="00AF0693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CFA"/>
    <w:rsid w:val="00B3588E"/>
    <w:rsid w:val="00B41F3D"/>
    <w:rsid w:val="00B431E8"/>
    <w:rsid w:val="00B45141"/>
    <w:rsid w:val="00B46DE7"/>
    <w:rsid w:val="00B4728A"/>
    <w:rsid w:val="00B47A8B"/>
    <w:rsid w:val="00B519CD"/>
    <w:rsid w:val="00B5273A"/>
    <w:rsid w:val="00B57329"/>
    <w:rsid w:val="00B60E61"/>
    <w:rsid w:val="00B62B50"/>
    <w:rsid w:val="00B635B7"/>
    <w:rsid w:val="00B63AE8"/>
    <w:rsid w:val="00B658F5"/>
    <w:rsid w:val="00B65950"/>
    <w:rsid w:val="00B66D83"/>
    <w:rsid w:val="00B672C0"/>
    <w:rsid w:val="00B676FD"/>
    <w:rsid w:val="00B75646"/>
    <w:rsid w:val="00B8705C"/>
    <w:rsid w:val="00B90729"/>
    <w:rsid w:val="00B907DA"/>
    <w:rsid w:val="00B94CD5"/>
    <w:rsid w:val="00B950BC"/>
    <w:rsid w:val="00B9714C"/>
    <w:rsid w:val="00BA29AD"/>
    <w:rsid w:val="00BA33CF"/>
    <w:rsid w:val="00BA3F8D"/>
    <w:rsid w:val="00BB4349"/>
    <w:rsid w:val="00BB7A10"/>
    <w:rsid w:val="00BC26C2"/>
    <w:rsid w:val="00BC3E8F"/>
    <w:rsid w:val="00BC60BE"/>
    <w:rsid w:val="00BC7468"/>
    <w:rsid w:val="00BC7D4F"/>
    <w:rsid w:val="00BC7ED7"/>
    <w:rsid w:val="00BD1803"/>
    <w:rsid w:val="00BD2422"/>
    <w:rsid w:val="00BD2850"/>
    <w:rsid w:val="00BD632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4073"/>
    <w:rsid w:val="00C04971"/>
    <w:rsid w:val="00C06137"/>
    <w:rsid w:val="00C079B8"/>
    <w:rsid w:val="00C10037"/>
    <w:rsid w:val="00C11492"/>
    <w:rsid w:val="00C123EA"/>
    <w:rsid w:val="00C12A49"/>
    <w:rsid w:val="00C133EE"/>
    <w:rsid w:val="00C149D0"/>
    <w:rsid w:val="00C26588"/>
    <w:rsid w:val="00C27109"/>
    <w:rsid w:val="00C27DE9"/>
    <w:rsid w:val="00C32989"/>
    <w:rsid w:val="00C33388"/>
    <w:rsid w:val="00C35484"/>
    <w:rsid w:val="00C4173A"/>
    <w:rsid w:val="00C50DED"/>
    <w:rsid w:val="00C602FF"/>
    <w:rsid w:val="00C607B7"/>
    <w:rsid w:val="00C61174"/>
    <w:rsid w:val="00C6148F"/>
    <w:rsid w:val="00C621B1"/>
    <w:rsid w:val="00C62F7A"/>
    <w:rsid w:val="00C63B9C"/>
    <w:rsid w:val="00C6682F"/>
    <w:rsid w:val="00C66B96"/>
    <w:rsid w:val="00C67BF4"/>
    <w:rsid w:val="00C7275E"/>
    <w:rsid w:val="00C74C5D"/>
    <w:rsid w:val="00C759A6"/>
    <w:rsid w:val="00C863C4"/>
    <w:rsid w:val="00C8746D"/>
    <w:rsid w:val="00C920EA"/>
    <w:rsid w:val="00C93C3E"/>
    <w:rsid w:val="00C9595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0B"/>
    <w:rsid w:val="00DD1951"/>
    <w:rsid w:val="00DD487D"/>
    <w:rsid w:val="00DD4E83"/>
    <w:rsid w:val="00DD6628"/>
    <w:rsid w:val="00DD6945"/>
    <w:rsid w:val="00DE2D04"/>
    <w:rsid w:val="00DE3250"/>
    <w:rsid w:val="00DE451A"/>
    <w:rsid w:val="00DE5176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3FF4"/>
    <w:rsid w:val="00E261B3"/>
    <w:rsid w:val="00E26373"/>
    <w:rsid w:val="00E26818"/>
    <w:rsid w:val="00E27FFC"/>
    <w:rsid w:val="00E30B15"/>
    <w:rsid w:val="00E33237"/>
    <w:rsid w:val="00E34B3E"/>
    <w:rsid w:val="00E40181"/>
    <w:rsid w:val="00E47750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0D"/>
    <w:rsid w:val="00EC1F24"/>
    <w:rsid w:val="00EC22F6"/>
    <w:rsid w:val="00EC40D5"/>
    <w:rsid w:val="00EC6FC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75B9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097"/>
    <w:rsid w:val="00F4203E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6562"/>
    <w:rsid w:val="00FB2551"/>
    <w:rsid w:val="00FB4769"/>
    <w:rsid w:val="00FB4CDA"/>
    <w:rsid w:val="00FB5DE6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0441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9C4F9A"/>
  <w15:docId w15:val="{E018FABD-5AF3-4EBC-A780-FDC8270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114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NMW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esa.org.au/public/13/files/Education%20%26%20Resources/Clinical%20Practice%20Resources/Endoscopy%20Standards/Endoscopy_Standard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6" ma:contentTypeDescription="Create a new document." ma:contentTypeScope="" ma:versionID="50eb02a4db41fd25d15cad58aee2d755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14d4c0cfc70313bbda080dd972895363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C01C2-98A9-41F9-AD0F-BE20846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Practice Nurse Endoscopist’s (APNE) - An organisational readiness checklist</vt:lpstr>
    </vt:vector>
  </TitlesOfParts>
  <Manager/>
  <Company>Victoria State Government, Department of Health</Company>
  <LinksUpToDate>false</LinksUpToDate>
  <CharactersWithSpaces>14003</CharactersWithSpaces>
  <SharedDoc>false</SharedDoc>
  <HyperlinkBase/>
  <HLinks>
    <vt:vector size="6" baseType="variant">
      <vt:variant>
        <vt:i4>5374055</vt:i4>
      </vt:variant>
      <vt:variant>
        <vt:i4>51</vt:i4>
      </vt:variant>
      <vt:variant>
        <vt:i4>0</vt:i4>
      </vt:variant>
      <vt:variant>
        <vt:i4>5</vt:i4>
      </vt:variant>
      <vt:variant>
        <vt:lpwstr>https://www.gesa.org.au/public/13/files/Education %26 Resources/Clinical Practice Resources/Endoscopy Standards/Endoscopy_Standards.pdf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Practice Nurse Endoscopist’s (APNE) - An organisational readiness checklist</dc:title>
  <dc:subject>Advanced Practice Nurse Endoscopist’s (APNE) - An organisational readiness checklist</dc:subject>
  <dc:creator>Nursing, Midwifery and Paramedicine Workforce </dc:creator>
  <cp:keywords/>
  <dc:description/>
  <cp:revision>3</cp:revision>
  <cp:lastPrinted>2020-03-29T09:28:00Z</cp:lastPrinted>
  <dcterms:created xsi:type="dcterms:W3CDTF">2021-10-11T23:17:00Z</dcterms:created>
  <dcterms:modified xsi:type="dcterms:W3CDTF">2021-10-11T23:21:00Z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2021-10-11T23:20:59Z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