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520F" w14:textId="77777777" w:rsidR="0074696E" w:rsidRPr="004C6EEE" w:rsidRDefault="00AE7FF6" w:rsidP="00AD784C">
      <w:pPr>
        <w:pStyle w:val="Spacerparatopoffirstpage"/>
      </w:pPr>
      <w:r>
        <w:pict w14:anchorId="75A1D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Decorative" style="position:absolute;margin-left:0;margin-top:0;width:595.55pt;height:163.2pt;z-index:-251658752;mso-position-horizontal-relative:page;mso-position-vertical-relative:page" o:allowincell="f">
            <v:imagedata r:id="rId7" o:title="Factsheet Banner Portrait 01 Navy 2765"/>
            <w10:wrap anchorx="page" anchory="page"/>
            <w10:anchorlock/>
          </v:shape>
        </w:pict>
      </w:r>
    </w:p>
    <w:p w14:paraId="6E61E9BB"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75B3692" w14:textId="77777777" w:rsidTr="001C277E">
        <w:trPr>
          <w:trHeight w:val="1247"/>
        </w:trPr>
        <w:tc>
          <w:tcPr>
            <w:tcW w:w="8046" w:type="dxa"/>
            <w:shd w:val="clear" w:color="auto" w:fill="auto"/>
            <w:vAlign w:val="bottom"/>
          </w:tcPr>
          <w:p w14:paraId="3D50946F" w14:textId="77777777" w:rsidR="00AD784C" w:rsidRPr="00161AA0" w:rsidRDefault="008C5BC2" w:rsidP="00A91406">
            <w:pPr>
              <w:pStyle w:val="DHHSmainheading"/>
            </w:pPr>
            <w:r>
              <w:t>Fleet management</w:t>
            </w:r>
          </w:p>
        </w:tc>
      </w:tr>
      <w:tr w:rsidR="00AD784C" w14:paraId="58F9FDD8" w14:textId="77777777" w:rsidTr="00357B4E">
        <w:trPr>
          <w:trHeight w:hRule="exact" w:val="1162"/>
        </w:trPr>
        <w:tc>
          <w:tcPr>
            <w:tcW w:w="8046" w:type="dxa"/>
            <w:shd w:val="clear" w:color="auto" w:fill="auto"/>
            <w:tcMar>
              <w:top w:w="170" w:type="dxa"/>
              <w:bottom w:w="510" w:type="dxa"/>
            </w:tcMar>
          </w:tcPr>
          <w:p w14:paraId="61496D7B" w14:textId="77777777" w:rsidR="00357B4E" w:rsidRPr="00AD784C" w:rsidRDefault="003768BC" w:rsidP="00357B4E">
            <w:pPr>
              <w:pStyle w:val="DHHSmainsubheading"/>
              <w:rPr>
                <w:szCs w:val="28"/>
              </w:rPr>
            </w:pPr>
            <w:r>
              <w:rPr>
                <w:szCs w:val="28"/>
              </w:rPr>
              <w:t>The cost-benefit of switching to hybrids</w:t>
            </w:r>
          </w:p>
        </w:tc>
      </w:tr>
    </w:tbl>
    <w:p w14:paraId="12B8A8B8" w14:textId="7F0C926A" w:rsidR="003768BC" w:rsidRPr="00B57329" w:rsidRDefault="003768BC" w:rsidP="006717C6">
      <w:pPr>
        <w:pStyle w:val="Heading1"/>
        <w:spacing w:before="240"/>
      </w:pPr>
      <w:bookmarkStart w:id="0" w:name="_Toc11750999"/>
      <w:bookmarkStart w:id="1" w:name="_Toc16245100"/>
      <w:r>
        <w:t>Introduction</w:t>
      </w:r>
      <w:bookmarkEnd w:id="0"/>
      <w:bookmarkEnd w:id="1"/>
    </w:p>
    <w:p w14:paraId="512D5C68" w14:textId="253C05E1" w:rsidR="003768BC" w:rsidRDefault="003768BC" w:rsidP="003768BC">
      <w:pPr>
        <w:pStyle w:val="DHHSbody"/>
      </w:pPr>
      <w:r>
        <w:t>There are financial and environmental benefits for switching from standard internal combustion engines to hybrids in hospital corporate fleets where</w:t>
      </w:r>
      <w:bookmarkStart w:id="2" w:name="_GoBack"/>
      <w:bookmarkEnd w:id="2"/>
      <w:r>
        <w:t xml:space="preserve"> operational requirements are met. This fact</w:t>
      </w:r>
      <w:r w:rsidR="00F002D8">
        <w:t xml:space="preserve"> </w:t>
      </w:r>
      <w:r>
        <w:t>sheet provides advice on the cost-benefits of switching to hybrids</w:t>
      </w:r>
      <w:r w:rsidR="00F002D8">
        <w:t>,</w:t>
      </w:r>
      <w:r>
        <w:t xml:space="preserve"> comparing moving from a small hatchback and large sedan to hybrid equivalents.</w:t>
      </w:r>
    </w:p>
    <w:p w14:paraId="4690AED2" w14:textId="77777777" w:rsidR="00E571BB" w:rsidRDefault="00E571BB" w:rsidP="00E571BB">
      <w:pPr>
        <w:pStyle w:val="Heading1"/>
      </w:pPr>
      <w:r>
        <w:t>Methodology and assumptions</w:t>
      </w:r>
    </w:p>
    <w:p w14:paraId="378F98B0" w14:textId="7E4CAFD4" w:rsidR="00E571BB" w:rsidRDefault="00E571BB" w:rsidP="00E571BB">
      <w:pPr>
        <w:pStyle w:val="DHHSbody"/>
      </w:pPr>
      <w:proofErr w:type="spellStart"/>
      <w:r>
        <w:t>VicFleet</w:t>
      </w:r>
      <w:proofErr w:type="spellEnd"/>
      <w:r>
        <w:t xml:space="preserve"> costs for standard vehicles and equivalent hybrids over a standard three-year lease term were </w:t>
      </w:r>
      <w:proofErr w:type="spellStart"/>
      <w:r>
        <w:t>anaylsed</w:t>
      </w:r>
      <w:proofErr w:type="spellEnd"/>
      <w:r>
        <w:t xml:space="preserve"> to provide a guide to potential cost savings. Costs for administration, delivery and motor vehicle duty were included in ‘fixed’ costs. The following assumptions were used in the assessment:</w:t>
      </w:r>
    </w:p>
    <w:p w14:paraId="1AE16F15" w14:textId="77777777" w:rsidR="00E571BB" w:rsidRDefault="00E571BB" w:rsidP="00E571BB">
      <w:pPr>
        <w:pStyle w:val="DHHSbullet1"/>
      </w:pPr>
      <w:r>
        <w:t xml:space="preserve">Vehicles are replaced after three years at the end of the lease. </w:t>
      </w:r>
    </w:p>
    <w:p w14:paraId="556F359F" w14:textId="5F024B8E" w:rsidR="00E571BB" w:rsidRDefault="00E571BB" w:rsidP="00E571BB">
      <w:pPr>
        <w:pStyle w:val="DHHSbullet1"/>
      </w:pPr>
      <w:r>
        <w:t xml:space="preserve">Each hospital fleet has community benefit registration status and the $891 registration savings over </w:t>
      </w:r>
      <w:r w:rsidR="00F002D8">
        <w:t>three</w:t>
      </w:r>
      <w:r>
        <w:t xml:space="preserve"> years are not applicable. </w:t>
      </w:r>
    </w:p>
    <w:p w14:paraId="2668E90F" w14:textId="0B78965C" w:rsidR="00E571BB" w:rsidRDefault="00E571BB" w:rsidP="00E571BB">
      <w:pPr>
        <w:pStyle w:val="DHHSbullet1"/>
      </w:pPr>
      <w:r>
        <w:t>Costs are based on 2018</w:t>
      </w:r>
      <w:r w:rsidR="00F002D8">
        <w:t>–</w:t>
      </w:r>
      <w:r>
        <w:t xml:space="preserve">19 value of vehicles (as per the </w:t>
      </w:r>
      <w:proofErr w:type="spellStart"/>
      <w:r>
        <w:t>VicFleet</w:t>
      </w:r>
      <w:proofErr w:type="spellEnd"/>
      <w:r>
        <w:t xml:space="preserve"> whole</w:t>
      </w:r>
      <w:r w:rsidR="00F002D8">
        <w:t>-</w:t>
      </w:r>
      <w:r>
        <w:t>of</w:t>
      </w:r>
      <w:r w:rsidR="00F002D8">
        <w:t>-</w:t>
      </w:r>
      <w:r>
        <w:t>life quotations) excluding GST.</w:t>
      </w:r>
    </w:p>
    <w:p w14:paraId="21C1A530" w14:textId="77777777" w:rsidR="00E571BB" w:rsidRDefault="00E571BB" w:rsidP="00E571BB">
      <w:pPr>
        <w:pStyle w:val="DHHSbullet1"/>
      </w:pPr>
      <w:r>
        <w:t>Vehicles travel an average of 10,000 kilometres per year, which is the standard distance travelled per car across all hospitals considered in the analysis.</w:t>
      </w:r>
    </w:p>
    <w:p w14:paraId="1CEAF9E2" w14:textId="2C2D0F34" w:rsidR="00E571BB" w:rsidRDefault="00E571BB" w:rsidP="00E571BB">
      <w:pPr>
        <w:pStyle w:val="DHHSbullet1"/>
      </w:pPr>
      <w:r>
        <w:t>Fuel price is based on the average unleaded fuel price for Victoria for 2017–18 at $1.35 per litre and petrol pump and fuel card prices remain constant over the lease cycle.</w:t>
      </w:r>
    </w:p>
    <w:p w14:paraId="2BEC6A30" w14:textId="7D81059A" w:rsidR="00E571BB" w:rsidRDefault="00E571BB" w:rsidP="00E571BB">
      <w:pPr>
        <w:pStyle w:val="DHHSbullet1"/>
      </w:pPr>
      <w:r>
        <w:t>Premium unleaded fuel is required to maintain the manufacturer’s car warranty for some vehicles, including the medium-sized hybrid. This added 16 cents per litre to the petrol cost.</w:t>
      </w:r>
    </w:p>
    <w:p w14:paraId="6DA0E463" w14:textId="77777777" w:rsidR="003768BC" w:rsidRDefault="003768BC" w:rsidP="003768BC">
      <w:pPr>
        <w:pStyle w:val="Heading1"/>
      </w:pPr>
      <w:bookmarkStart w:id="3" w:name="_Toc11679528"/>
      <w:bookmarkStart w:id="4" w:name="_Toc11751001"/>
      <w:bookmarkStart w:id="5" w:name="_Toc16245102"/>
      <w:r>
        <w:t>Vehicle comparison</w:t>
      </w:r>
      <w:bookmarkEnd w:id="3"/>
      <w:bookmarkEnd w:id="4"/>
      <w:bookmarkEnd w:id="5"/>
    </w:p>
    <w:p w14:paraId="50669A0F" w14:textId="686CB90A" w:rsidR="003768BC" w:rsidRDefault="003768BC" w:rsidP="003768BC">
      <w:pPr>
        <w:pStyle w:val="DHHSbody"/>
      </w:pPr>
      <w:r>
        <w:t>The small hybrid is marginally cheaper than the standard vehicle over three years but differs depending on which two cars were being compared. The hybrid reduces emissions by 1,249 kg C</w:t>
      </w:r>
      <w:r w:rsidRPr="00B076FC">
        <w:t>O</w:t>
      </w:r>
      <w:r w:rsidRPr="00AE7FF6">
        <w:rPr>
          <w:vertAlign w:val="subscript"/>
        </w:rPr>
        <w:t>2</w:t>
      </w:r>
      <w:r>
        <w:t xml:space="preserve">-e compared </w:t>
      </w:r>
      <w:r w:rsidR="00F002D8">
        <w:t>with</w:t>
      </w:r>
      <w:r>
        <w:t xml:space="preserve"> the standard vehicle over the same period. The cost savings of the hybrid is due mostly to lower registration and ongoing costs (comp</w:t>
      </w:r>
      <w:r w:rsidR="00F002D8">
        <w:t>o</w:t>
      </w:r>
      <w:r>
        <w:t>sed of maintenance and fuel costs). The savings from selecting the hybrid alternative increase if the vehicles travel 60,000 kilometres over the lease term.</w:t>
      </w:r>
    </w:p>
    <w:p w14:paraId="0B31011A" w14:textId="5DD5F794" w:rsidR="003768BC" w:rsidRDefault="003768BC" w:rsidP="003768BC">
      <w:pPr>
        <w:pStyle w:val="DHHSbody"/>
      </w:pPr>
      <w:r>
        <w:t xml:space="preserve">There is no large car category hybrid on the </w:t>
      </w:r>
      <w:proofErr w:type="spellStart"/>
      <w:r>
        <w:t>VicFleet</w:t>
      </w:r>
      <w:proofErr w:type="spellEnd"/>
      <w:r w:rsidR="00F002D8">
        <w:t>-</w:t>
      </w:r>
      <w:r>
        <w:t xml:space="preserve">approved vehicle list. </w:t>
      </w:r>
      <w:r w:rsidR="00F002D8">
        <w:t>A</w:t>
      </w:r>
      <w:r>
        <w:t xml:space="preserve"> medium-hybrid was</w:t>
      </w:r>
      <w:r w:rsidR="00F002D8">
        <w:t xml:space="preserve"> therefore</w:t>
      </w:r>
      <w:r>
        <w:t xml:space="preserve"> used</w:t>
      </w:r>
      <w:r w:rsidR="00F002D8">
        <w:t xml:space="preserve"> for analysis</w:t>
      </w:r>
      <w:r>
        <w:t>, noting that it may not be possible to switch large cars to a medium-sized hybrid for operational reasons</w:t>
      </w:r>
      <w:r w:rsidR="00990DA3">
        <w:t xml:space="preserve"> (see Tables 1–3)</w:t>
      </w:r>
      <w:r>
        <w:t xml:space="preserve">. </w:t>
      </w:r>
    </w:p>
    <w:p w14:paraId="7203F924" w14:textId="19A5CA70" w:rsidR="003768BC" w:rsidRDefault="003768BC" w:rsidP="003768BC">
      <w:pPr>
        <w:pStyle w:val="DHHSbody"/>
      </w:pPr>
      <w:r>
        <w:t>The medium-sized hybrid costs $6,905 less than a large standard vehicle over three years and reduces emissions by 2,428 kg CO</w:t>
      </w:r>
      <w:r w:rsidRPr="00AE7FF6">
        <w:rPr>
          <w:vertAlign w:val="subscript"/>
        </w:rPr>
        <w:t>2</w:t>
      </w:r>
      <w:r>
        <w:t>-e. In respect to the analysis, both vehicles assessed require premium unleaded fuel to maintain the manufacturer’s warranty and as such the fuel unit price does not affect the savings. The cost savings of the hybrid is due mostly to lower depreciation, maintenance and ongoing costs (maintenance and fuel costs).</w:t>
      </w:r>
    </w:p>
    <w:p w14:paraId="1D79CAD9" w14:textId="68065920" w:rsidR="003768BC" w:rsidRDefault="00A40477" w:rsidP="003768BC">
      <w:pPr>
        <w:pStyle w:val="DHHStablecaption"/>
      </w:pPr>
      <w:r>
        <w:br w:type="page"/>
      </w:r>
      <w:r w:rsidR="003768BC">
        <w:lastRenderedPageBreak/>
        <w:t xml:space="preserve">Table 1: Comparison of hybrids to standard internal combustion engine vehicles of </w:t>
      </w:r>
      <w:r w:rsidR="00871D36">
        <w:t xml:space="preserve">a </w:t>
      </w:r>
      <w:r w:rsidR="003768BC">
        <w:t>similar size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3119"/>
        <w:gridCol w:w="3118"/>
      </w:tblGrid>
      <w:tr w:rsidR="00E7209E" w14:paraId="230F3783" w14:textId="77777777" w:rsidTr="00E7209E">
        <w:trPr>
          <w:tblHeader/>
        </w:trPr>
        <w:tc>
          <w:tcPr>
            <w:tcW w:w="3544" w:type="dxa"/>
            <w:shd w:val="clear" w:color="auto" w:fill="auto"/>
          </w:tcPr>
          <w:p w14:paraId="12817DBF" w14:textId="3648B5C3" w:rsidR="003768BC" w:rsidRPr="00E571BB" w:rsidRDefault="00E571BB" w:rsidP="00E571BB">
            <w:pPr>
              <w:pStyle w:val="DHHStablecolhead"/>
            </w:pPr>
            <w:r w:rsidRPr="00E571BB">
              <w:t>Vehicle attribute</w:t>
            </w:r>
          </w:p>
        </w:tc>
        <w:tc>
          <w:tcPr>
            <w:tcW w:w="3119" w:type="dxa"/>
            <w:shd w:val="clear" w:color="auto" w:fill="auto"/>
          </w:tcPr>
          <w:p w14:paraId="0CC1CA2D" w14:textId="0853E25D" w:rsidR="003768BC" w:rsidRPr="00E571BB" w:rsidRDefault="003768BC" w:rsidP="00E571BB">
            <w:pPr>
              <w:pStyle w:val="DHHStablecolhead"/>
            </w:pPr>
            <w:r w:rsidRPr="00E571BB">
              <w:t xml:space="preserve">Difference: </w:t>
            </w:r>
            <w:r w:rsidR="00871D36">
              <w:t>s</w:t>
            </w:r>
            <w:r w:rsidRPr="00E571BB">
              <w:t>mall hybrid</w:t>
            </w:r>
          </w:p>
        </w:tc>
        <w:tc>
          <w:tcPr>
            <w:tcW w:w="3118" w:type="dxa"/>
            <w:shd w:val="clear" w:color="auto" w:fill="auto"/>
          </w:tcPr>
          <w:p w14:paraId="0175E643" w14:textId="151FBBB1" w:rsidR="003768BC" w:rsidRPr="00E571BB" w:rsidRDefault="003768BC" w:rsidP="00E571BB">
            <w:pPr>
              <w:pStyle w:val="DHHStablecolhead"/>
            </w:pPr>
            <w:r w:rsidRPr="00E571BB">
              <w:t xml:space="preserve">Difference: </w:t>
            </w:r>
            <w:r w:rsidR="00871D36">
              <w:t>m</w:t>
            </w:r>
            <w:r w:rsidRPr="00E571BB">
              <w:t>edium hybrid</w:t>
            </w:r>
          </w:p>
        </w:tc>
      </w:tr>
      <w:tr w:rsidR="003768BC" w14:paraId="7CE6CC8B" w14:textId="77777777" w:rsidTr="00E7209E">
        <w:tc>
          <w:tcPr>
            <w:tcW w:w="3544" w:type="dxa"/>
            <w:shd w:val="clear" w:color="auto" w:fill="auto"/>
          </w:tcPr>
          <w:p w14:paraId="19D165A6" w14:textId="7D7027B9" w:rsidR="003768BC" w:rsidRDefault="003768BC" w:rsidP="006231F7">
            <w:pPr>
              <w:pStyle w:val="DHHStabletext"/>
            </w:pPr>
            <w:r>
              <w:t>Fuel efficiency (</w:t>
            </w:r>
            <w:r w:rsidR="00871D36">
              <w:t>L</w:t>
            </w:r>
            <w:r>
              <w:t>/100 km)</w:t>
            </w:r>
          </w:p>
        </w:tc>
        <w:tc>
          <w:tcPr>
            <w:tcW w:w="3119" w:type="dxa"/>
            <w:shd w:val="clear" w:color="auto" w:fill="auto"/>
          </w:tcPr>
          <w:p w14:paraId="1135541B" w14:textId="689EB1A6" w:rsidR="003768BC" w:rsidRDefault="003768BC" w:rsidP="006231F7">
            <w:pPr>
              <w:pStyle w:val="DHHStabletext"/>
            </w:pPr>
            <w:r>
              <w:t xml:space="preserve">1.8 </w:t>
            </w:r>
            <w:r w:rsidR="00871D36">
              <w:t>L</w:t>
            </w:r>
            <w:r>
              <w:t>/100 km more efficient</w:t>
            </w:r>
          </w:p>
        </w:tc>
        <w:tc>
          <w:tcPr>
            <w:tcW w:w="3118" w:type="dxa"/>
            <w:shd w:val="clear" w:color="auto" w:fill="auto"/>
          </w:tcPr>
          <w:p w14:paraId="45E853E2" w14:textId="70E1E2FE" w:rsidR="003768BC" w:rsidRDefault="003768BC" w:rsidP="00E7209E">
            <w:pPr>
              <w:pStyle w:val="DHHStablebullet1"/>
              <w:numPr>
                <w:ilvl w:val="0"/>
                <w:numId w:val="0"/>
              </w:numPr>
              <w:ind w:left="227" w:hanging="227"/>
            </w:pPr>
            <w:r>
              <w:t xml:space="preserve">3.5 </w:t>
            </w:r>
            <w:r w:rsidR="00871D36">
              <w:t>L</w:t>
            </w:r>
            <w:r>
              <w:t>/100 km more efficient</w:t>
            </w:r>
          </w:p>
        </w:tc>
      </w:tr>
      <w:tr w:rsidR="003768BC" w14:paraId="2ACB6B0B" w14:textId="77777777" w:rsidTr="00E7209E">
        <w:tc>
          <w:tcPr>
            <w:tcW w:w="3544" w:type="dxa"/>
            <w:shd w:val="clear" w:color="auto" w:fill="auto"/>
          </w:tcPr>
          <w:p w14:paraId="3D41E4EF" w14:textId="77777777" w:rsidR="003768BC" w:rsidRDefault="003768BC" w:rsidP="006231F7">
            <w:pPr>
              <w:pStyle w:val="DHHStabletext"/>
            </w:pPr>
            <w:r>
              <w:t>ANCAP safety rating</w:t>
            </w:r>
          </w:p>
        </w:tc>
        <w:tc>
          <w:tcPr>
            <w:tcW w:w="3119" w:type="dxa"/>
            <w:shd w:val="clear" w:color="auto" w:fill="auto"/>
          </w:tcPr>
          <w:p w14:paraId="23F88928" w14:textId="77777777" w:rsidR="003768BC" w:rsidRDefault="003768BC" w:rsidP="006231F7">
            <w:pPr>
              <w:pStyle w:val="DHHStabletext"/>
            </w:pPr>
            <w:r>
              <w:t>5 star rating</w:t>
            </w:r>
          </w:p>
        </w:tc>
        <w:tc>
          <w:tcPr>
            <w:tcW w:w="3118" w:type="dxa"/>
            <w:shd w:val="clear" w:color="auto" w:fill="auto"/>
          </w:tcPr>
          <w:p w14:paraId="10B27F54" w14:textId="77777777" w:rsidR="003768BC" w:rsidRDefault="003768BC" w:rsidP="00E7209E">
            <w:pPr>
              <w:pStyle w:val="DHHStablebullet1"/>
              <w:numPr>
                <w:ilvl w:val="0"/>
                <w:numId w:val="0"/>
              </w:numPr>
              <w:ind w:left="227" w:hanging="227"/>
            </w:pPr>
            <w:r>
              <w:t>5 star rating</w:t>
            </w:r>
          </w:p>
        </w:tc>
      </w:tr>
    </w:tbl>
    <w:p w14:paraId="1E71BA21" w14:textId="24CE308C" w:rsidR="00E571BB" w:rsidRDefault="00E571BB" w:rsidP="00E571BB">
      <w:pPr>
        <w:pStyle w:val="DHHStablecaption"/>
      </w:pPr>
      <w:r>
        <w:t xml:space="preserve">Table 2: </w:t>
      </w:r>
      <w:r w:rsidRPr="005E6B65">
        <w:t xml:space="preserve">Comparison of </w:t>
      </w:r>
      <w:r>
        <w:t>hybrids to standard internal combustion engine vehicles</w:t>
      </w:r>
      <w:r w:rsidR="00A40477">
        <w:t>’</w:t>
      </w:r>
      <w:r>
        <w:t xml:space="preserve"> </w:t>
      </w:r>
      <w:r w:rsidRPr="005E6B65">
        <w:t xml:space="preserve">costs </w:t>
      </w:r>
      <w:r>
        <w:t>over three years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3119"/>
        <w:gridCol w:w="3118"/>
      </w:tblGrid>
      <w:tr w:rsidR="00E7209E" w14:paraId="335FE526" w14:textId="77777777" w:rsidTr="00E7209E">
        <w:trPr>
          <w:tblHeader/>
        </w:trPr>
        <w:tc>
          <w:tcPr>
            <w:tcW w:w="3544" w:type="dxa"/>
            <w:shd w:val="clear" w:color="auto" w:fill="auto"/>
          </w:tcPr>
          <w:p w14:paraId="49F99738" w14:textId="68BF2BB7" w:rsidR="00E571BB" w:rsidRPr="005E6B65" w:rsidRDefault="00E571BB" w:rsidP="00E7209E">
            <w:pPr>
              <w:pStyle w:val="DHHStablecolhead"/>
            </w:pPr>
            <w:r w:rsidRPr="00E571BB">
              <w:t>Vehicle attribute</w:t>
            </w:r>
          </w:p>
        </w:tc>
        <w:tc>
          <w:tcPr>
            <w:tcW w:w="3119" w:type="dxa"/>
            <w:shd w:val="clear" w:color="auto" w:fill="auto"/>
          </w:tcPr>
          <w:p w14:paraId="072B2686" w14:textId="15293185" w:rsidR="00E571BB" w:rsidRPr="005E6B65" w:rsidRDefault="00E571BB" w:rsidP="00E7209E">
            <w:pPr>
              <w:pStyle w:val="DHHStablecolhead"/>
            </w:pPr>
            <w:r w:rsidRPr="00E571BB">
              <w:t xml:space="preserve">Difference: </w:t>
            </w:r>
            <w:r w:rsidR="00871D36">
              <w:t>s</w:t>
            </w:r>
            <w:r w:rsidRPr="00E571BB">
              <w:t>mall hybrid</w:t>
            </w:r>
          </w:p>
        </w:tc>
        <w:tc>
          <w:tcPr>
            <w:tcW w:w="3118" w:type="dxa"/>
            <w:shd w:val="clear" w:color="auto" w:fill="auto"/>
          </w:tcPr>
          <w:p w14:paraId="58D6614E" w14:textId="685D79CE" w:rsidR="00E571BB" w:rsidRPr="005E6B65" w:rsidRDefault="00E571BB" w:rsidP="00E7209E">
            <w:pPr>
              <w:pStyle w:val="DHHStablecolhead"/>
            </w:pPr>
            <w:r w:rsidRPr="00E571BB">
              <w:t xml:space="preserve">Difference: </w:t>
            </w:r>
            <w:r w:rsidR="00871D36">
              <w:t>m</w:t>
            </w:r>
            <w:r w:rsidRPr="00E571BB">
              <w:t>edium hybrid</w:t>
            </w:r>
          </w:p>
        </w:tc>
      </w:tr>
      <w:tr w:rsidR="003768BC" w14:paraId="2A19948A" w14:textId="77777777" w:rsidTr="00E7209E">
        <w:tc>
          <w:tcPr>
            <w:tcW w:w="3544" w:type="dxa"/>
            <w:shd w:val="clear" w:color="auto" w:fill="auto"/>
          </w:tcPr>
          <w:p w14:paraId="00E6A74B" w14:textId="6516C068" w:rsidR="003768BC" w:rsidRDefault="003768BC" w:rsidP="006231F7">
            <w:pPr>
              <w:pStyle w:val="DHHStabletext"/>
            </w:pPr>
            <w:r w:rsidRPr="0070356D">
              <w:t xml:space="preserve">Fixed costs: </w:t>
            </w:r>
            <w:r w:rsidR="00871D36">
              <w:t>a</w:t>
            </w:r>
            <w:r w:rsidRPr="0070356D">
              <w:t xml:space="preserve">dministration, </w:t>
            </w:r>
            <w:r>
              <w:t>d</w:t>
            </w:r>
            <w:r w:rsidRPr="0070356D">
              <w:t>elivery</w:t>
            </w:r>
          </w:p>
        </w:tc>
        <w:tc>
          <w:tcPr>
            <w:tcW w:w="3119" w:type="dxa"/>
            <w:shd w:val="clear" w:color="auto" w:fill="auto"/>
          </w:tcPr>
          <w:p w14:paraId="2BAC9C79" w14:textId="77777777" w:rsidR="003768BC" w:rsidRDefault="003768BC" w:rsidP="006231F7">
            <w:pPr>
              <w:pStyle w:val="DHHStabletext"/>
            </w:pPr>
            <w:r>
              <w:t>$0</w:t>
            </w:r>
          </w:p>
        </w:tc>
        <w:tc>
          <w:tcPr>
            <w:tcW w:w="3118" w:type="dxa"/>
            <w:shd w:val="clear" w:color="auto" w:fill="auto"/>
          </w:tcPr>
          <w:p w14:paraId="17FB9897" w14:textId="77777777" w:rsidR="003768BC" w:rsidRDefault="003768BC" w:rsidP="00E7209E">
            <w:pPr>
              <w:pStyle w:val="DHHStablebullet1"/>
              <w:numPr>
                <w:ilvl w:val="0"/>
                <w:numId w:val="0"/>
              </w:numPr>
              <w:ind w:left="227" w:hanging="227"/>
            </w:pPr>
            <w:r>
              <w:t>$0</w:t>
            </w:r>
          </w:p>
        </w:tc>
      </w:tr>
      <w:tr w:rsidR="003768BC" w14:paraId="499231F6" w14:textId="77777777" w:rsidTr="00E7209E">
        <w:tc>
          <w:tcPr>
            <w:tcW w:w="3544" w:type="dxa"/>
            <w:shd w:val="clear" w:color="auto" w:fill="auto"/>
          </w:tcPr>
          <w:p w14:paraId="32642C64" w14:textId="77777777" w:rsidR="003768BC" w:rsidRDefault="003768BC" w:rsidP="006231F7">
            <w:pPr>
              <w:pStyle w:val="DHHStabletext"/>
            </w:pPr>
            <w:r>
              <w:t>Depreciation</w:t>
            </w:r>
          </w:p>
        </w:tc>
        <w:tc>
          <w:tcPr>
            <w:tcW w:w="3119" w:type="dxa"/>
            <w:shd w:val="clear" w:color="auto" w:fill="auto"/>
          </w:tcPr>
          <w:p w14:paraId="4807C7A4" w14:textId="77777777" w:rsidR="003768BC" w:rsidRDefault="003768BC" w:rsidP="006231F7">
            <w:pPr>
              <w:pStyle w:val="DHHStabletext"/>
            </w:pPr>
            <w:r>
              <w:t>$549</w:t>
            </w:r>
          </w:p>
        </w:tc>
        <w:tc>
          <w:tcPr>
            <w:tcW w:w="3118" w:type="dxa"/>
            <w:shd w:val="clear" w:color="auto" w:fill="auto"/>
          </w:tcPr>
          <w:p w14:paraId="6D82AF76" w14:textId="34E03730" w:rsidR="003768BC" w:rsidRDefault="00A40477" w:rsidP="00E7209E">
            <w:pPr>
              <w:pStyle w:val="DHHStablebullet1"/>
              <w:numPr>
                <w:ilvl w:val="0"/>
                <w:numId w:val="0"/>
              </w:numPr>
              <w:ind w:left="227" w:hanging="227"/>
            </w:pPr>
            <w:r>
              <w:t>–</w:t>
            </w:r>
            <w:r w:rsidR="003768BC">
              <w:t>$4,447</w:t>
            </w:r>
          </w:p>
        </w:tc>
      </w:tr>
      <w:tr w:rsidR="003768BC" w14:paraId="737C9D0E" w14:textId="77777777" w:rsidTr="00E7209E">
        <w:tc>
          <w:tcPr>
            <w:tcW w:w="3544" w:type="dxa"/>
            <w:shd w:val="clear" w:color="auto" w:fill="auto"/>
          </w:tcPr>
          <w:p w14:paraId="08937A05" w14:textId="77777777" w:rsidR="003768BC" w:rsidRDefault="003768BC" w:rsidP="006231F7">
            <w:pPr>
              <w:pStyle w:val="DHHStabletext"/>
            </w:pPr>
            <w:r>
              <w:t>Financing</w:t>
            </w:r>
          </w:p>
        </w:tc>
        <w:tc>
          <w:tcPr>
            <w:tcW w:w="3119" w:type="dxa"/>
            <w:shd w:val="clear" w:color="auto" w:fill="auto"/>
          </w:tcPr>
          <w:p w14:paraId="1CBCC884" w14:textId="77777777" w:rsidR="003768BC" w:rsidRDefault="003768BC" w:rsidP="006231F7">
            <w:pPr>
              <w:pStyle w:val="DHHStabletext"/>
            </w:pPr>
            <w:r>
              <w:t>$93</w:t>
            </w:r>
          </w:p>
        </w:tc>
        <w:tc>
          <w:tcPr>
            <w:tcW w:w="3118" w:type="dxa"/>
            <w:shd w:val="clear" w:color="auto" w:fill="auto"/>
          </w:tcPr>
          <w:p w14:paraId="11653A5C" w14:textId="18B20B60" w:rsidR="003768BC" w:rsidRDefault="00A40477" w:rsidP="00E7209E">
            <w:pPr>
              <w:pStyle w:val="DHHStablebullet1"/>
              <w:numPr>
                <w:ilvl w:val="0"/>
                <w:numId w:val="0"/>
              </w:numPr>
              <w:ind w:left="227" w:hanging="227"/>
            </w:pPr>
            <w:r>
              <w:t>–</w:t>
            </w:r>
            <w:r w:rsidR="003768BC">
              <w:t>$197</w:t>
            </w:r>
          </w:p>
        </w:tc>
      </w:tr>
      <w:tr w:rsidR="003768BC" w14:paraId="3948ED41" w14:textId="77777777" w:rsidTr="00E7209E">
        <w:tc>
          <w:tcPr>
            <w:tcW w:w="3544" w:type="dxa"/>
            <w:shd w:val="clear" w:color="auto" w:fill="auto"/>
          </w:tcPr>
          <w:p w14:paraId="0EA226CA" w14:textId="77777777" w:rsidR="003768BC" w:rsidRDefault="003768BC" w:rsidP="006231F7">
            <w:pPr>
              <w:pStyle w:val="DHHStabletext"/>
            </w:pPr>
            <w:r>
              <w:t>Maintenance</w:t>
            </w:r>
          </w:p>
        </w:tc>
        <w:tc>
          <w:tcPr>
            <w:tcW w:w="3119" w:type="dxa"/>
            <w:shd w:val="clear" w:color="auto" w:fill="auto"/>
          </w:tcPr>
          <w:p w14:paraId="7DB6BADE" w14:textId="016B1AAD" w:rsidR="003768BC" w:rsidRDefault="00A40477" w:rsidP="006231F7">
            <w:pPr>
              <w:pStyle w:val="DHHStabletext"/>
            </w:pPr>
            <w:r>
              <w:t>–</w:t>
            </w:r>
            <w:r w:rsidR="003768BC">
              <w:t>$50</w:t>
            </w:r>
          </w:p>
        </w:tc>
        <w:tc>
          <w:tcPr>
            <w:tcW w:w="3118" w:type="dxa"/>
            <w:shd w:val="clear" w:color="auto" w:fill="auto"/>
          </w:tcPr>
          <w:p w14:paraId="662BCC49" w14:textId="04EB0630" w:rsidR="003768BC" w:rsidRDefault="00A40477" w:rsidP="00E7209E">
            <w:pPr>
              <w:pStyle w:val="DHHStablebullet1"/>
              <w:numPr>
                <w:ilvl w:val="0"/>
                <w:numId w:val="0"/>
              </w:numPr>
              <w:ind w:left="227" w:hanging="227"/>
            </w:pPr>
            <w:r>
              <w:t>–</w:t>
            </w:r>
            <w:r w:rsidR="003768BC">
              <w:t>$675</w:t>
            </w:r>
          </w:p>
        </w:tc>
      </w:tr>
      <w:tr w:rsidR="003768BC" w14:paraId="34D4C9C1" w14:textId="77777777" w:rsidTr="00E7209E">
        <w:tc>
          <w:tcPr>
            <w:tcW w:w="3544" w:type="dxa"/>
            <w:shd w:val="clear" w:color="auto" w:fill="auto"/>
          </w:tcPr>
          <w:p w14:paraId="3DC29D32" w14:textId="475920C7" w:rsidR="003768BC" w:rsidRDefault="003768BC" w:rsidP="006231F7">
            <w:pPr>
              <w:pStyle w:val="DHHStabletext"/>
            </w:pPr>
            <w:r w:rsidRPr="00666A7F">
              <w:t xml:space="preserve">Fuel </w:t>
            </w:r>
            <w:r>
              <w:t>(30,000 km over 3 years)</w:t>
            </w:r>
          </w:p>
        </w:tc>
        <w:tc>
          <w:tcPr>
            <w:tcW w:w="3119" w:type="dxa"/>
            <w:shd w:val="clear" w:color="auto" w:fill="auto"/>
          </w:tcPr>
          <w:p w14:paraId="6E15650C" w14:textId="414B4040" w:rsidR="003768BC" w:rsidRDefault="00A40477" w:rsidP="006231F7">
            <w:pPr>
              <w:pStyle w:val="DHHStabletext"/>
            </w:pPr>
            <w:r>
              <w:t>–</w:t>
            </w:r>
            <w:r w:rsidR="003768BC">
              <w:t>$729</w:t>
            </w:r>
          </w:p>
        </w:tc>
        <w:tc>
          <w:tcPr>
            <w:tcW w:w="3118" w:type="dxa"/>
            <w:shd w:val="clear" w:color="auto" w:fill="auto"/>
          </w:tcPr>
          <w:p w14:paraId="45D26E0D" w14:textId="7EECBC8D" w:rsidR="003768BC" w:rsidRDefault="00A40477" w:rsidP="00E7209E">
            <w:pPr>
              <w:pStyle w:val="DHHStablebullet1"/>
              <w:numPr>
                <w:ilvl w:val="0"/>
                <w:numId w:val="0"/>
              </w:numPr>
              <w:ind w:left="227" w:hanging="227"/>
            </w:pPr>
            <w:r>
              <w:t>–</w:t>
            </w:r>
            <w:r w:rsidR="003768BC">
              <w:t>$1,586</w:t>
            </w:r>
          </w:p>
        </w:tc>
      </w:tr>
      <w:tr w:rsidR="003768BC" w14:paraId="729FD9AE" w14:textId="77777777" w:rsidTr="00E7209E">
        <w:tc>
          <w:tcPr>
            <w:tcW w:w="3544" w:type="dxa"/>
            <w:shd w:val="clear" w:color="auto" w:fill="auto"/>
          </w:tcPr>
          <w:p w14:paraId="624CD391" w14:textId="77777777" w:rsidR="003768BC" w:rsidRPr="00E7209E" w:rsidRDefault="003768BC" w:rsidP="006231F7">
            <w:pPr>
              <w:pStyle w:val="DHHStabletext"/>
              <w:rPr>
                <w:b/>
              </w:rPr>
            </w:pPr>
            <w:r w:rsidRPr="00E7209E">
              <w:rPr>
                <w:b/>
              </w:rPr>
              <w:t>Subtotal of costs</w:t>
            </w:r>
          </w:p>
        </w:tc>
        <w:tc>
          <w:tcPr>
            <w:tcW w:w="3119" w:type="dxa"/>
            <w:shd w:val="clear" w:color="auto" w:fill="auto"/>
          </w:tcPr>
          <w:p w14:paraId="385D5571" w14:textId="5B0A5D3D" w:rsidR="003768BC" w:rsidRPr="00E7209E" w:rsidRDefault="00871D36" w:rsidP="006231F7">
            <w:pPr>
              <w:pStyle w:val="DHHStabletext"/>
              <w:rPr>
                <w:b/>
              </w:rPr>
            </w:pPr>
            <w:r>
              <w:rPr>
                <w:b/>
              </w:rPr>
              <w:t>–</w:t>
            </w:r>
            <w:r w:rsidR="003768BC" w:rsidRPr="00E7209E">
              <w:rPr>
                <w:b/>
              </w:rPr>
              <w:t>$137</w:t>
            </w:r>
          </w:p>
        </w:tc>
        <w:tc>
          <w:tcPr>
            <w:tcW w:w="3118" w:type="dxa"/>
            <w:shd w:val="clear" w:color="auto" w:fill="auto"/>
          </w:tcPr>
          <w:p w14:paraId="6FA39BE0" w14:textId="37A7DC48" w:rsidR="003768BC" w:rsidRPr="00E7209E" w:rsidRDefault="00871D36" w:rsidP="00E7209E">
            <w:pPr>
              <w:pStyle w:val="DHHStablebullet1"/>
              <w:numPr>
                <w:ilvl w:val="0"/>
                <w:numId w:val="0"/>
              </w:numPr>
              <w:ind w:left="227" w:hanging="227"/>
              <w:rPr>
                <w:b/>
              </w:rPr>
            </w:pPr>
            <w:r>
              <w:rPr>
                <w:b/>
              </w:rPr>
              <w:t>–</w:t>
            </w:r>
            <w:r w:rsidR="003768BC" w:rsidRPr="00E7209E">
              <w:rPr>
                <w:b/>
              </w:rPr>
              <w:t>$6,905</w:t>
            </w:r>
          </w:p>
        </w:tc>
      </w:tr>
    </w:tbl>
    <w:p w14:paraId="0BFE57FD" w14:textId="359844D3" w:rsidR="00E571BB" w:rsidRDefault="00E571BB" w:rsidP="00E571BB">
      <w:pPr>
        <w:pStyle w:val="DHHStablecaption"/>
      </w:pPr>
      <w:r>
        <w:t>Table 3: Comparison of hybrids to standard internal combustion engine vehicles</w:t>
      </w:r>
      <w:r w:rsidR="00A40477">
        <w:t>’</w:t>
      </w:r>
      <w:r>
        <w:t xml:space="preserve"> e</w:t>
      </w:r>
      <w:r w:rsidRPr="005E6B65">
        <w:t xml:space="preserve">nvironmental performance over </w:t>
      </w:r>
      <w:r>
        <w:t>three</w:t>
      </w:r>
      <w:r w:rsidRPr="005E6B65">
        <w:t xml:space="preserve"> years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3119"/>
        <w:gridCol w:w="3118"/>
      </w:tblGrid>
      <w:tr w:rsidR="00E7209E" w14:paraId="2F49F715" w14:textId="77777777" w:rsidTr="00E7209E">
        <w:trPr>
          <w:tblHeader/>
        </w:trPr>
        <w:tc>
          <w:tcPr>
            <w:tcW w:w="3544" w:type="dxa"/>
            <w:shd w:val="clear" w:color="auto" w:fill="auto"/>
          </w:tcPr>
          <w:p w14:paraId="24D7FBE7" w14:textId="7261B6CA" w:rsidR="00E571BB" w:rsidRPr="005E6B65" w:rsidRDefault="00E571BB" w:rsidP="00E7209E">
            <w:pPr>
              <w:pStyle w:val="DHHStablecolhead"/>
            </w:pPr>
            <w:r w:rsidRPr="00E571BB">
              <w:t>Vehicle attribute</w:t>
            </w:r>
          </w:p>
        </w:tc>
        <w:tc>
          <w:tcPr>
            <w:tcW w:w="3119" w:type="dxa"/>
            <w:shd w:val="clear" w:color="auto" w:fill="auto"/>
          </w:tcPr>
          <w:p w14:paraId="0CE7A4E3" w14:textId="2D951830" w:rsidR="00E571BB" w:rsidRPr="005E6B65" w:rsidRDefault="00E571BB" w:rsidP="00E7209E">
            <w:pPr>
              <w:pStyle w:val="DHHStablecolhead"/>
            </w:pPr>
            <w:r w:rsidRPr="00E571BB">
              <w:t xml:space="preserve">Difference: </w:t>
            </w:r>
            <w:r w:rsidR="00871D36">
              <w:t>s</w:t>
            </w:r>
            <w:r w:rsidRPr="00E571BB">
              <w:t>mall hybrid</w:t>
            </w:r>
          </w:p>
        </w:tc>
        <w:tc>
          <w:tcPr>
            <w:tcW w:w="3118" w:type="dxa"/>
            <w:shd w:val="clear" w:color="auto" w:fill="auto"/>
          </w:tcPr>
          <w:p w14:paraId="796EEB68" w14:textId="4BCDB27E" w:rsidR="00E571BB" w:rsidRPr="005E6B65" w:rsidRDefault="00E571BB" w:rsidP="00E7209E">
            <w:pPr>
              <w:pStyle w:val="DHHStablecolhead"/>
            </w:pPr>
            <w:r w:rsidRPr="00E571BB">
              <w:t xml:space="preserve">Difference: </w:t>
            </w:r>
            <w:r w:rsidR="00871D36">
              <w:t>m</w:t>
            </w:r>
            <w:r w:rsidRPr="00E571BB">
              <w:t>edium hybrid</w:t>
            </w:r>
          </w:p>
        </w:tc>
      </w:tr>
      <w:tr w:rsidR="003768BC" w14:paraId="77AA92F7" w14:textId="77777777" w:rsidTr="00E7209E">
        <w:trPr>
          <w:trHeight w:val="274"/>
        </w:trPr>
        <w:tc>
          <w:tcPr>
            <w:tcW w:w="3544" w:type="dxa"/>
            <w:shd w:val="clear" w:color="auto" w:fill="auto"/>
          </w:tcPr>
          <w:p w14:paraId="4398B5AC" w14:textId="77777777" w:rsidR="003768BC" w:rsidRDefault="003768BC" w:rsidP="006231F7">
            <w:pPr>
              <w:pStyle w:val="DHHStabletext"/>
            </w:pPr>
            <w:r>
              <w:t>Total fuel used (</w:t>
            </w:r>
            <w:proofErr w:type="spellStart"/>
            <w:r>
              <w:t>kL</w:t>
            </w:r>
            <w:proofErr w:type="spellEnd"/>
            <w:r>
              <w:t xml:space="preserve">) </w:t>
            </w:r>
          </w:p>
        </w:tc>
        <w:tc>
          <w:tcPr>
            <w:tcW w:w="3119" w:type="dxa"/>
            <w:shd w:val="clear" w:color="auto" w:fill="auto"/>
          </w:tcPr>
          <w:p w14:paraId="547E678B" w14:textId="2D45696F" w:rsidR="003768BC" w:rsidRDefault="00A40477" w:rsidP="006231F7">
            <w:pPr>
              <w:pStyle w:val="DHHStabletext6pt"/>
            </w:pPr>
            <w:r>
              <w:t>–</w:t>
            </w:r>
            <w:r w:rsidR="003768BC">
              <w:t>540</w:t>
            </w:r>
          </w:p>
        </w:tc>
        <w:tc>
          <w:tcPr>
            <w:tcW w:w="3118" w:type="dxa"/>
            <w:shd w:val="clear" w:color="auto" w:fill="auto"/>
          </w:tcPr>
          <w:p w14:paraId="10571418" w14:textId="5AEAA31C" w:rsidR="003768BC" w:rsidRDefault="00A40477" w:rsidP="00E7209E">
            <w:pPr>
              <w:pStyle w:val="DHHStablebullet2"/>
              <w:numPr>
                <w:ilvl w:val="0"/>
                <w:numId w:val="0"/>
              </w:numPr>
            </w:pPr>
            <w:r>
              <w:t>–</w:t>
            </w:r>
            <w:r w:rsidR="003768BC">
              <w:t>1,050</w:t>
            </w:r>
          </w:p>
        </w:tc>
      </w:tr>
      <w:tr w:rsidR="003768BC" w14:paraId="255DB010" w14:textId="77777777" w:rsidTr="00E7209E">
        <w:trPr>
          <w:trHeight w:val="274"/>
        </w:trPr>
        <w:tc>
          <w:tcPr>
            <w:tcW w:w="3544" w:type="dxa"/>
            <w:shd w:val="clear" w:color="auto" w:fill="auto"/>
          </w:tcPr>
          <w:p w14:paraId="65D4FB0D" w14:textId="77777777" w:rsidR="003768BC" w:rsidRDefault="003768BC" w:rsidP="006231F7">
            <w:pPr>
              <w:pStyle w:val="DHHStabletext"/>
            </w:pPr>
            <w:r>
              <w:t>Total GHG emissions (kg CO</w:t>
            </w:r>
            <w:r w:rsidRPr="00AE7FF6">
              <w:rPr>
                <w:vertAlign w:val="subscript"/>
              </w:rPr>
              <w:t>2</w:t>
            </w:r>
            <w:r>
              <w:t>-e)</w:t>
            </w:r>
          </w:p>
        </w:tc>
        <w:tc>
          <w:tcPr>
            <w:tcW w:w="3119" w:type="dxa"/>
            <w:shd w:val="clear" w:color="auto" w:fill="auto"/>
          </w:tcPr>
          <w:p w14:paraId="36AFFC29" w14:textId="76805690" w:rsidR="003768BC" w:rsidRDefault="00A40477" w:rsidP="006231F7">
            <w:pPr>
              <w:pStyle w:val="DHHStabletext6pt"/>
            </w:pPr>
            <w:r>
              <w:t>–</w:t>
            </w:r>
            <w:r w:rsidR="003768BC">
              <w:t>1,249</w:t>
            </w:r>
          </w:p>
        </w:tc>
        <w:tc>
          <w:tcPr>
            <w:tcW w:w="3118" w:type="dxa"/>
            <w:shd w:val="clear" w:color="auto" w:fill="auto"/>
          </w:tcPr>
          <w:p w14:paraId="186993F4" w14:textId="3485DA02" w:rsidR="003768BC" w:rsidRDefault="00A40477" w:rsidP="00E7209E">
            <w:pPr>
              <w:pStyle w:val="DHHStablebullet2"/>
              <w:numPr>
                <w:ilvl w:val="0"/>
                <w:numId w:val="0"/>
              </w:numPr>
            </w:pPr>
            <w:r>
              <w:t>–</w:t>
            </w:r>
            <w:r w:rsidR="003768BC">
              <w:t>2,428</w:t>
            </w:r>
          </w:p>
        </w:tc>
      </w:tr>
    </w:tbl>
    <w:p w14:paraId="1638270A" w14:textId="17528774" w:rsidR="003768BC" w:rsidRDefault="003768BC" w:rsidP="003768BC">
      <w:pPr>
        <w:pStyle w:val="DHHStablefigurenote"/>
      </w:pPr>
      <w:r>
        <w:t xml:space="preserve">Note: The small hybrid is compared </w:t>
      </w:r>
      <w:r w:rsidR="00871D36">
        <w:t xml:space="preserve">with </w:t>
      </w:r>
      <w:r>
        <w:t xml:space="preserve">a small standard vehicle. The medium-hybrid is compared </w:t>
      </w:r>
      <w:r w:rsidR="00871D36">
        <w:t xml:space="preserve">with </w:t>
      </w:r>
      <w:r>
        <w:t xml:space="preserve">a large standard vehicle. </w:t>
      </w:r>
    </w:p>
    <w:p w14:paraId="033E5A37" w14:textId="77777777" w:rsidR="003768BC" w:rsidRDefault="003768BC" w:rsidP="003768BC">
      <w:pPr>
        <w:pStyle w:val="Heading1"/>
      </w:pPr>
      <w:bookmarkStart w:id="6" w:name="_Toc11751002"/>
      <w:bookmarkStart w:id="7" w:name="_Toc16245103"/>
      <w:r>
        <w:t>Conclusion</w:t>
      </w:r>
      <w:bookmarkEnd w:id="6"/>
      <w:bookmarkEnd w:id="7"/>
    </w:p>
    <w:p w14:paraId="0A17B093" w14:textId="77777777" w:rsidR="003768BC" w:rsidRDefault="003768BC" w:rsidP="003768BC">
      <w:pPr>
        <w:pStyle w:val="DHHSbody"/>
      </w:pPr>
      <w:r w:rsidRPr="00557AC9">
        <w:t>Given the</w:t>
      </w:r>
      <w:r>
        <w:t xml:space="preserve"> financial and environmental savings, health services are strongly encouraged to actively investigate switching to hybrid vehicles in their corporate fleet where hybrids can meet operational requirements.</w:t>
      </w:r>
    </w:p>
    <w:p w14:paraId="49DD9A8C" w14:textId="54233658" w:rsidR="003768BC" w:rsidRDefault="003768BC" w:rsidP="003768BC">
      <w:pPr>
        <w:pStyle w:val="DHHSbody"/>
      </w:pPr>
      <w:r>
        <w:t xml:space="preserve">Health services required to make an emissions reduction pledge under the </w:t>
      </w:r>
      <w:r>
        <w:rPr>
          <w:i/>
        </w:rPr>
        <w:t>Climate Change Act 2017</w:t>
      </w:r>
      <w:r>
        <w:t xml:space="preserve"> can count any emission savings from switching to hybrids as part of their pledge. The carbon savings </w:t>
      </w:r>
      <w:r w:rsidR="00871D36">
        <w:t>noted above</w:t>
      </w:r>
      <w:r>
        <w:t xml:space="preserve"> can be used as a reasonable estimate of savings for the purposes of making a pledge.</w:t>
      </w:r>
    </w:p>
    <w:p w14:paraId="7F9195AC" w14:textId="77777777" w:rsidR="003500AB" w:rsidRDefault="003500AB" w:rsidP="003768BC">
      <w:pPr>
        <w:pStyle w:val="DHHSbody"/>
      </w:pPr>
    </w:p>
    <w:tbl>
      <w:tblPr>
        <w:tblW w:w="4895" w:type="pct"/>
        <w:tblInd w:w="113" w:type="dxa"/>
        <w:tblCellMar>
          <w:top w:w="113" w:type="dxa"/>
          <w:bottom w:w="57" w:type="dxa"/>
        </w:tblCellMar>
        <w:tblLook w:val="00A0" w:firstRow="1" w:lastRow="0" w:firstColumn="1" w:lastColumn="0" w:noHBand="0" w:noVBand="0"/>
      </w:tblPr>
      <w:tblGrid>
        <w:gridCol w:w="10201"/>
      </w:tblGrid>
      <w:tr w:rsidR="003768BC" w:rsidRPr="002802E3" w14:paraId="35E87397" w14:textId="77777777" w:rsidTr="006231F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57EBE99" w14:textId="64487C9A" w:rsidR="003768BC" w:rsidRPr="00C31117" w:rsidRDefault="003768BC" w:rsidP="006231F7">
            <w:pPr>
              <w:pStyle w:val="DHHSaccessibilitypara"/>
            </w:pPr>
            <w:r w:rsidRPr="00C31117">
              <w:t xml:space="preserve">To receive this publication in an accessible format </w:t>
            </w:r>
            <w:r w:rsidRPr="001801F7">
              <w:t xml:space="preserve">phone (03) 9194 8565, using the National Relay Service 13 36 77 if required, </w:t>
            </w:r>
            <w:r w:rsidR="003500AB" w:rsidRPr="001801F7">
              <w:t xml:space="preserve">or </w:t>
            </w:r>
            <w:hyperlink r:id="rId9" w:history="1">
              <w:r w:rsidR="003500AB" w:rsidRPr="00F34D92">
                <w:rPr>
                  <w:rStyle w:val="Hyperlink"/>
                </w:rPr>
                <w:t>email Environmental Sustainability</w:t>
              </w:r>
            </w:hyperlink>
            <w:r w:rsidR="003500AB">
              <w:rPr>
                <w:rFonts w:cs="Arial"/>
                <w:color w:val="000000"/>
                <w:sz w:val="18"/>
                <w:szCs w:val="18"/>
                <w:shd w:val="clear" w:color="auto" w:fill="FFFFFF"/>
              </w:rPr>
              <w:t xml:space="preserve"> </w:t>
            </w:r>
            <w:r w:rsidR="003500AB" w:rsidRPr="00C31117">
              <w:t>&lt;</w:t>
            </w:r>
            <w:r w:rsidR="003500AB" w:rsidRPr="00B9542A">
              <w:t>sustainability@dhhs.vic.gov.au</w:t>
            </w:r>
            <w:r w:rsidR="003500AB" w:rsidRPr="00C31117">
              <w:t>&gt;</w:t>
            </w:r>
            <w:r w:rsidR="003500AB">
              <w:t>.</w:t>
            </w:r>
          </w:p>
          <w:p w14:paraId="7A62C4A7" w14:textId="77777777" w:rsidR="003768BC" w:rsidRPr="00C31117" w:rsidRDefault="003768BC" w:rsidP="006231F7">
            <w:pPr>
              <w:pStyle w:val="DHHSbody"/>
            </w:pPr>
            <w:r w:rsidRPr="00C31117">
              <w:t>Authorised and published by the Victorian Government, 1 Treasury Place, Melbourne.</w:t>
            </w:r>
          </w:p>
          <w:p w14:paraId="3A1F290A" w14:textId="45A8C629" w:rsidR="003768BC" w:rsidRPr="00C31117" w:rsidRDefault="003768BC" w:rsidP="006231F7">
            <w:pPr>
              <w:pStyle w:val="DHHSbody"/>
            </w:pPr>
            <w:r w:rsidRPr="00C31117">
              <w:t xml:space="preserve">© State of Victoria, </w:t>
            </w:r>
            <w:r w:rsidR="00AE7FF6">
              <w:t>Department of</w:t>
            </w:r>
            <w:r>
              <w:t xml:space="preserve"> Health and Human Service</w:t>
            </w:r>
            <w:r w:rsidRPr="00C31117">
              <w:t>s</w:t>
            </w:r>
            <w:r w:rsidR="003500AB">
              <w:t>,</w:t>
            </w:r>
            <w:r w:rsidR="004A1832">
              <w:t xml:space="preserve"> September 2019</w:t>
            </w:r>
            <w:r w:rsidRPr="00C31117">
              <w:t>.</w:t>
            </w:r>
          </w:p>
          <w:p w14:paraId="58762D89" w14:textId="77777777" w:rsidR="003768BC" w:rsidRPr="00C31117" w:rsidRDefault="000563F2" w:rsidP="006231F7">
            <w:pPr>
              <w:pStyle w:val="DHHSbody"/>
            </w:pPr>
            <w:r w:rsidRPr="000563F2">
              <w:t>ISBN 978-1-76069-018-2 (pdf/online/MS word)</w:t>
            </w:r>
          </w:p>
          <w:p w14:paraId="48BDD6DB" w14:textId="26D3B00A" w:rsidR="003768BC" w:rsidRPr="00DC7029" w:rsidRDefault="003768BC" w:rsidP="006231F7">
            <w:pPr>
              <w:pStyle w:val="DHHSbody"/>
              <w:rPr>
                <w:color w:val="000000"/>
                <w:szCs w:val="19"/>
              </w:rPr>
            </w:pPr>
            <w:r w:rsidRPr="00C31117">
              <w:rPr>
                <w:szCs w:val="19"/>
              </w:rPr>
              <w:t xml:space="preserve">Available </w:t>
            </w:r>
            <w:r w:rsidR="003500AB">
              <w:t xml:space="preserve">from the department’s </w:t>
            </w:r>
            <w:hyperlink r:id="rId10" w:history="1">
              <w:r w:rsidR="003500AB" w:rsidRPr="00F34D92">
                <w:rPr>
                  <w:rStyle w:val="Hyperlink"/>
                </w:rPr>
                <w:t>Environmental Sustainability webpage</w:t>
              </w:r>
            </w:hyperlink>
            <w:r w:rsidR="003500AB" w:rsidRPr="006254F8">
              <w:rPr>
                <w:color w:val="000000"/>
                <w:szCs w:val="19"/>
              </w:rPr>
              <w:t xml:space="preserve"> </w:t>
            </w:r>
            <w:r w:rsidR="003500AB" w:rsidRPr="006254F8">
              <w:rPr>
                <w:color w:val="000000"/>
              </w:rPr>
              <w:t>&lt;</w:t>
            </w:r>
            <w:r w:rsidR="003500AB" w:rsidRPr="00B9542A">
              <w:t>www.health.vic.gov.au/sustainability</w:t>
            </w:r>
            <w:r w:rsidRPr="006254F8">
              <w:rPr>
                <w:color w:val="000000"/>
              </w:rPr>
              <w:t>&gt;</w:t>
            </w:r>
            <w:r w:rsidR="003500AB">
              <w:rPr>
                <w:color w:val="000000"/>
              </w:rPr>
              <w:t>.</w:t>
            </w:r>
          </w:p>
        </w:tc>
      </w:tr>
    </w:tbl>
    <w:p w14:paraId="31A72E24" w14:textId="77777777" w:rsidR="008C5BC2" w:rsidRPr="008C5BC2" w:rsidRDefault="008C5BC2" w:rsidP="00A40477">
      <w:pPr>
        <w:pStyle w:val="DHHSbody"/>
      </w:pPr>
    </w:p>
    <w:sectPr w:rsidR="008C5BC2" w:rsidRPr="008C5BC2"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78DE" w14:textId="77777777" w:rsidR="00687D62" w:rsidRDefault="00687D62">
      <w:r>
        <w:separator/>
      </w:r>
    </w:p>
  </w:endnote>
  <w:endnote w:type="continuationSeparator" w:id="0">
    <w:p w14:paraId="445B2556" w14:textId="77777777" w:rsidR="00687D62" w:rsidRDefault="0068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4B9C" w14:textId="77777777" w:rsidR="009D70A4" w:rsidRPr="00F65AA9" w:rsidRDefault="00AE7FF6" w:rsidP="0051568D">
    <w:pPr>
      <w:pStyle w:val="DHHSfooter"/>
    </w:pPr>
    <w:r>
      <w:rPr>
        <w:noProof/>
      </w:rPr>
      <w:pict w14:anchorId="66FEC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251657728;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D78" w14:textId="61DFC259" w:rsidR="009D70A4" w:rsidRPr="00A11421" w:rsidRDefault="008C5BC2" w:rsidP="0051568D">
    <w:pPr>
      <w:pStyle w:val="DHHSfooter"/>
    </w:pPr>
    <w:r w:rsidRPr="008C5BC2">
      <w:t xml:space="preserve">Fleet management: </w:t>
    </w:r>
    <w:r w:rsidR="00AB2093" w:rsidRPr="00AB2093">
      <w:t>the cost-benefit of switching to hybrids</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6E7D" w14:textId="77777777" w:rsidR="00687D62" w:rsidRDefault="00687D62" w:rsidP="002862F1">
      <w:pPr>
        <w:spacing w:before="120"/>
      </w:pPr>
      <w:r>
        <w:separator/>
      </w:r>
    </w:p>
  </w:footnote>
  <w:footnote w:type="continuationSeparator" w:id="0">
    <w:p w14:paraId="7B203BF3" w14:textId="77777777" w:rsidR="00687D62" w:rsidRDefault="0068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379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7B96CDA"/>
    <w:multiLevelType w:val="multilevel"/>
    <w:tmpl w:val="ACFE227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45B15F88"/>
    <w:multiLevelType w:val="hybridMultilevel"/>
    <w:tmpl w:val="7CF65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BC2"/>
    <w:rsid w:val="000072B6"/>
    <w:rsid w:val="0001021B"/>
    <w:rsid w:val="00011D89"/>
    <w:rsid w:val="00024D89"/>
    <w:rsid w:val="000250B6"/>
    <w:rsid w:val="00033D81"/>
    <w:rsid w:val="00041BF0"/>
    <w:rsid w:val="0004536B"/>
    <w:rsid w:val="00046B68"/>
    <w:rsid w:val="000527DD"/>
    <w:rsid w:val="000563F2"/>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0AB"/>
    <w:rsid w:val="00350D38"/>
    <w:rsid w:val="00351B36"/>
    <w:rsid w:val="00357B4E"/>
    <w:rsid w:val="003744CF"/>
    <w:rsid w:val="00374717"/>
    <w:rsid w:val="0037676C"/>
    <w:rsid w:val="003768B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1832"/>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7C6"/>
    <w:rsid w:val="00677574"/>
    <w:rsid w:val="0068454C"/>
    <w:rsid w:val="00687D62"/>
    <w:rsid w:val="00691B62"/>
    <w:rsid w:val="00693D14"/>
    <w:rsid w:val="006A18C2"/>
    <w:rsid w:val="006B077C"/>
    <w:rsid w:val="006B6803"/>
    <w:rsid w:val="006D2A3F"/>
    <w:rsid w:val="006D2FBC"/>
    <w:rsid w:val="006E138B"/>
    <w:rsid w:val="006F1FDC"/>
    <w:rsid w:val="007013EF"/>
    <w:rsid w:val="00703F09"/>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1D36"/>
    <w:rsid w:val="00872E0A"/>
    <w:rsid w:val="00875285"/>
    <w:rsid w:val="00884B62"/>
    <w:rsid w:val="0088529C"/>
    <w:rsid w:val="00887903"/>
    <w:rsid w:val="0089270A"/>
    <w:rsid w:val="00893AF6"/>
    <w:rsid w:val="00894BC4"/>
    <w:rsid w:val="008A5B32"/>
    <w:rsid w:val="008B2EE4"/>
    <w:rsid w:val="008B4D3D"/>
    <w:rsid w:val="008B57C7"/>
    <w:rsid w:val="008C2F92"/>
    <w:rsid w:val="008C5BC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0DA3"/>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0477"/>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2093"/>
    <w:rsid w:val="00AB352F"/>
    <w:rsid w:val="00AC274B"/>
    <w:rsid w:val="00AC4764"/>
    <w:rsid w:val="00AC6D36"/>
    <w:rsid w:val="00AD0CBA"/>
    <w:rsid w:val="00AD26E2"/>
    <w:rsid w:val="00AD784C"/>
    <w:rsid w:val="00AE126A"/>
    <w:rsid w:val="00AE3005"/>
    <w:rsid w:val="00AE3BD5"/>
    <w:rsid w:val="00AE59A0"/>
    <w:rsid w:val="00AE7FF6"/>
    <w:rsid w:val="00AF0C57"/>
    <w:rsid w:val="00AF26F3"/>
    <w:rsid w:val="00AF5F04"/>
    <w:rsid w:val="00B00672"/>
    <w:rsid w:val="00B01B4D"/>
    <w:rsid w:val="00B06571"/>
    <w:rsid w:val="00B068BA"/>
    <w:rsid w:val="00B076FC"/>
    <w:rsid w:val="00B13851"/>
    <w:rsid w:val="00B13B1C"/>
    <w:rsid w:val="00B22291"/>
    <w:rsid w:val="00B23F9A"/>
    <w:rsid w:val="00B2417B"/>
    <w:rsid w:val="00B24E6F"/>
    <w:rsid w:val="00B26CB5"/>
    <w:rsid w:val="00B2752E"/>
    <w:rsid w:val="00B30670"/>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571BB"/>
    <w:rsid w:val="00E629A1"/>
    <w:rsid w:val="00E71591"/>
    <w:rsid w:val="00E7209E"/>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2D8"/>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2556098C"/>
  <w15:chartTrackingRefBased/>
  <w15:docId w15:val="{13BFD991-74A5-4F60-9D35-79654C00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3768BC"/>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tablebullet2">
    <w:name w:val="DHHS table bullet 2"/>
    <w:basedOn w:val="DHHStabletext"/>
    <w:uiPriority w:val="11"/>
    <w:rsid w:val="008C5BC2"/>
    <w:pPr>
      <w:numPr>
        <w:ilvl w:val="1"/>
        <w:numId w:val="10"/>
      </w:numPr>
    </w:pPr>
  </w:style>
  <w:style w:type="paragraph" w:customStyle="1" w:styleId="DHHStablebullet1">
    <w:name w:val="DHHS table bullet 1"/>
    <w:basedOn w:val="DHHStabletext"/>
    <w:uiPriority w:val="3"/>
    <w:qFormat/>
    <w:rsid w:val="008C5BC2"/>
    <w:pPr>
      <w:numPr>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numbering" w:customStyle="1" w:styleId="ZZTablebullets">
    <w:name w:val="ZZ Table bullets"/>
    <w:basedOn w:val="NoList"/>
    <w:rsid w:val="008C5BC2"/>
    <w:pPr>
      <w:numPr>
        <w:numId w:val="10"/>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uiPriority w:val="99"/>
    <w:semiHidden/>
    <w:unhideWhenUsed/>
    <w:rsid w:val="003500AB"/>
    <w:rPr>
      <w:sz w:val="16"/>
      <w:szCs w:val="16"/>
    </w:rPr>
  </w:style>
  <w:style w:type="paragraph" w:styleId="CommentText">
    <w:name w:val="annotation text"/>
    <w:basedOn w:val="Normal"/>
    <w:link w:val="CommentTextChar"/>
    <w:uiPriority w:val="99"/>
    <w:semiHidden/>
    <w:unhideWhenUsed/>
    <w:rsid w:val="003500AB"/>
  </w:style>
  <w:style w:type="character" w:customStyle="1" w:styleId="CommentTextChar">
    <w:name w:val="Comment Text Char"/>
    <w:link w:val="CommentText"/>
    <w:uiPriority w:val="99"/>
    <w:semiHidden/>
    <w:rsid w:val="003500A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500AB"/>
    <w:rPr>
      <w:b/>
      <w:bCs/>
    </w:rPr>
  </w:style>
  <w:style w:type="character" w:customStyle="1" w:styleId="CommentSubjectChar">
    <w:name w:val="Comment Subject Char"/>
    <w:link w:val="CommentSubject"/>
    <w:uiPriority w:val="99"/>
    <w:semiHidden/>
    <w:rsid w:val="003500AB"/>
    <w:rPr>
      <w:rFonts w:ascii="Cambria" w:hAnsi="Cambria"/>
      <w:b/>
      <w:bCs/>
      <w:lang w:eastAsia="en-US"/>
    </w:rPr>
  </w:style>
  <w:style w:type="paragraph" w:styleId="BalloonText">
    <w:name w:val="Balloon Text"/>
    <w:basedOn w:val="Normal"/>
    <w:link w:val="BalloonTextChar"/>
    <w:uiPriority w:val="99"/>
    <w:semiHidden/>
    <w:unhideWhenUsed/>
    <w:rsid w:val="003500AB"/>
    <w:rPr>
      <w:rFonts w:ascii="Segoe UI" w:hAnsi="Segoe UI" w:cs="Segoe UI"/>
      <w:sz w:val="18"/>
      <w:szCs w:val="18"/>
    </w:rPr>
  </w:style>
  <w:style w:type="character" w:customStyle="1" w:styleId="BalloonTextChar">
    <w:name w:val="Balloon Text Char"/>
    <w:link w:val="BalloonText"/>
    <w:uiPriority w:val="99"/>
    <w:semiHidden/>
    <w:rsid w:val="003500AB"/>
    <w:rPr>
      <w:rFonts w:ascii="Segoe UI" w:hAnsi="Segoe UI" w:cs="Segoe UI"/>
      <w:sz w:val="18"/>
      <w:szCs w:val="18"/>
      <w:lang w:eastAsia="en-US"/>
    </w:rPr>
  </w:style>
  <w:style w:type="paragraph" w:styleId="Revision">
    <w:name w:val="Revision"/>
    <w:hidden/>
    <w:uiPriority w:val="71"/>
    <w:rsid w:val="00A40477"/>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alth.vic.gov.au/sustainability" TargetMode="External"/><Relationship Id="rId4" Type="http://schemas.openxmlformats.org/officeDocument/2006/relationships/webSettings" Target="webSettings.xml"/><Relationship Id="rId9" Type="http://schemas.openxmlformats.org/officeDocument/2006/relationships/hyperlink" Target="mailto:sustainability@dhhs.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Fleet management: the cost-benefit of switching to hybrids</vt:lpstr>
    </vt:vector>
  </TitlesOfParts>
  <Company>Department of Health and Human Services</Company>
  <LinksUpToDate>false</LinksUpToDate>
  <CharactersWithSpaces>4984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the cost-benefit of switching to hybrids</dc:title>
  <dc:subject>Fleet management: the cost-benefit of switching to hybrids</dc:subject>
  <dc:creator>Environmental Sustainability</dc:creator>
  <cp:keywords>Fleet management, cost-benefit, hybrid cars</cp:keywords>
  <cp:lastModifiedBy>Tiernan Humphrys (DHHS)</cp:lastModifiedBy>
  <cp:revision>13</cp:revision>
  <cp:lastPrinted>2015-08-21T04:17:00Z</cp:lastPrinted>
  <dcterms:created xsi:type="dcterms:W3CDTF">2019-08-08T23:56:00Z</dcterms:created>
  <dcterms:modified xsi:type="dcterms:W3CDTF">2019-09-17T07:16:00Z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