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91240B"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headerReference w:type="even" r:id="rId9"/>
          <w:headerReference w:type="default"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160"/>
      </w:tblGrid>
      <w:tr w:rsidR="00AD784C" w:rsidTr="00C24CCA">
        <w:trPr>
          <w:trHeight w:val="488"/>
        </w:trPr>
        <w:tc>
          <w:tcPr>
            <w:tcW w:w="8160" w:type="dxa"/>
            <w:shd w:val="clear" w:color="auto" w:fill="auto"/>
            <w:vAlign w:val="bottom"/>
          </w:tcPr>
          <w:p w:rsidR="00AD784C" w:rsidRPr="00161AA0" w:rsidRDefault="00B97D88" w:rsidP="004D05E9">
            <w:pPr>
              <w:pStyle w:val="DHHSmainheading"/>
            </w:pPr>
            <w:r w:rsidRPr="00F943A8">
              <w:rPr>
                <w:sz w:val="40"/>
              </w:rPr>
              <w:t>Appendix 1</w:t>
            </w:r>
            <w:r w:rsidR="00155C99" w:rsidRPr="00F943A8">
              <w:rPr>
                <w:sz w:val="40"/>
              </w:rPr>
              <w:t>A</w:t>
            </w:r>
            <w:r w:rsidRPr="00F943A8">
              <w:rPr>
                <w:sz w:val="40"/>
              </w:rPr>
              <w:t xml:space="preserve">: </w:t>
            </w:r>
            <w:r w:rsidR="004D05E9" w:rsidRPr="00F943A8">
              <w:rPr>
                <w:sz w:val="40"/>
              </w:rPr>
              <w:t>Quick guide</w:t>
            </w:r>
            <w:r w:rsidRPr="00F943A8">
              <w:rPr>
                <w:sz w:val="40"/>
              </w:rPr>
              <w:t xml:space="preserve"> for the dilution of chlorine-based </w:t>
            </w:r>
            <w:r w:rsidR="0022315E" w:rsidRPr="00F943A8">
              <w:rPr>
                <w:sz w:val="40"/>
              </w:rPr>
              <w:t xml:space="preserve">(sodium hypochlorite) </w:t>
            </w:r>
            <w:r w:rsidRPr="00F943A8">
              <w:rPr>
                <w:sz w:val="40"/>
              </w:rPr>
              <w:t>solutions required for disinfection</w:t>
            </w:r>
          </w:p>
        </w:tc>
      </w:tr>
      <w:tr w:rsidR="00AD784C" w:rsidTr="00C24CCA">
        <w:trPr>
          <w:trHeight w:hRule="exact" w:val="453"/>
        </w:trPr>
        <w:tc>
          <w:tcPr>
            <w:tcW w:w="8160" w:type="dxa"/>
            <w:shd w:val="clear" w:color="auto" w:fill="auto"/>
            <w:tcMar>
              <w:top w:w="170" w:type="dxa"/>
              <w:bottom w:w="510" w:type="dxa"/>
            </w:tcMar>
          </w:tcPr>
          <w:p w:rsidR="00357B4E" w:rsidRPr="00AD784C" w:rsidRDefault="00B97D88" w:rsidP="00B97D88">
            <w:pPr>
              <w:pStyle w:val="DHHSmainsubheading"/>
              <w:rPr>
                <w:szCs w:val="28"/>
              </w:rPr>
            </w:pPr>
            <w:r>
              <w:rPr>
                <w:szCs w:val="28"/>
              </w:rPr>
              <w:t>Guidelines for the investigation of gastroenteritis</w:t>
            </w:r>
          </w:p>
        </w:tc>
      </w:tr>
    </w:tbl>
    <w:p w:rsidR="008F7F6E" w:rsidRDefault="008F7F6E" w:rsidP="008F7F6E">
      <w:pPr>
        <w:pStyle w:val="Heading2"/>
      </w:pPr>
      <w:bookmarkStart w:id="0" w:name="_Toc440566509"/>
      <w:r>
        <w:t>Bleach (sodium hypochlorite)</w:t>
      </w:r>
    </w:p>
    <w:p w:rsidR="00BC5E69" w:rsidRPr="00C60DBD" w:rsidRDefault="00D751E7" w:rsidP="00BC5E69">
      <w:pPr>
        <w:pStyle w:val="DHHSbody"/>
        <w:rPr>
          <w:sz w:val="16"/>
        </w:rPr>
      </w:pPr>
      <w:r>
        <w:t>Chlorine-</w:t>
      </w:r>
      <w:r w:rsidR="00B97D88" w:rsidRPr="00B97D88">
        <w:t xml:space="preserve">based </w:t>
      </w:r>
      <w:r w:rsidR="002028E7">
        <w:t xml:space="preserve">(sodium hypochlorite) </w:t>
      </w:r>
      <w:r w:rsidR="00B97D88" w:rsidRPr="00B97D88">
        <w:t>sanitisers</w:t>
      </w:r>
      <w:r w:rsidR="0022315E">
        <w:t>/disinfectants</w:t>
      </w:r>
      <w:r w:rsidR="00B97D88" w:rsidRPr="00B97D88">
        <w:t xml:space="preserve"> (</w:t>
      </w:r>
      <w:r w:rsidR="0022315E">
        <w:t xml:space="preserve">for example, </w:t>
      </w:r>
      <w:r w:rsidR="008F7F6E">
        <w:t>plain, unscented</w:t>
      </w:r>
      <w:r w:rsidR="00B97D88" w:rsidRPr="00B97D88">
        <w:t xml:space="preserve"> household bleach) should be used in outbreak situations, as other sanitisers have very little effect on destroying viruses such as Norovirus</w:t>
      </w:r>
      <w:r w:rsidR="002028E7">
        <w:t>.</w:t>
      </w:r>
      <w:r w:rsidR="00B97D88" w:rsidRPr="00B97D88">
        <w:t xml:space="preserve"> The following table will assist in making up the required concentration needed for disinfection. </w:t>
      </w:r>
    </w:p>
    <w:p w:rsidR="00CB49AA" w:rsidRPr="00BC5E69" w:rsidRDefault="00CB49AA" w:rsidP="00CB49AA">
      <w:pPr>
        <w:pStyle w:val="DHHStablecaption"/>
        <w:rPr>
          <w:sz w:val="18"/>
        </w:rPr>
      </w:pPr>
      <w:bookmarkStart w:id="1" w:name="_Toc517947633"/>
      <w:bookmarkEnd w:id="0"/>
      <w:r w:rsidRPr="00BC5E69">
        <w:rPr>
          <w:sz w:val="18"/>
        </w:rPr>
        <w:t xml:space="preserve">Dilutions using household </w:t>
      </w:r>
      <w:r w:rsidR="006D5343" w:rsidRPr="00BC5E69">
        <w:rPr>
          <w:sz w:val="18"/>
        </w:rPr>
        <w:t xml:space="preserve">liquid </w:t>
      </w:r>
      <w:r w:rsidRPr="00BC5E69">
        <w:rPr>
          <w:sz w:val="18"/>
        </w:rPr>
        <w:t>bleach (with 4% available chlorine as written on the label).</w:t>
      </w:r>
      <w:bookmarkEnd w:id="1"/>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21"/>
        <w:gridCol w:w="2221"/>
        <w:gridCol w:w="2221"/>
      </w:tblGrid>
      <w:tr w:rsidR="00335100" w:rsidRPr="00335100" w:rsidTr="00335100">
        <w:trPr>
          <w:tblHeader/>
        </w:trPr>
        <w:tc>
          <w:tcPr>
            <w:tcW w:w="3402" w:type="dxa"/>
            <w:tcBorders>
              <w:top w:val="single" w:sz="4" w:space="0" w:color="auto"/>
              <w:left w:val="single" w:sz="4" w:space="0" w:color="auto"/>
              <w:bottom w:val="single" w:sz="4" w:space="0" w:color="auto"/>
              <w:right w:val="single" w:sz="4" w:space="0" w:color="auto"/>
            </w:tcBorders>
            <w:shd w:val="solid" w:color="auto" w:fill="auto"/>
          </w:tcPr>
          <w:p w:rsidR="00CB49AA" w:rsidRPr="00335100" w:rsidRDefault="00CB49AA" w:rsidP="00335100">
            <w:pPr>
              <w:pStyle w:val="DHHStablecolhead"/>
              <w:jc w:val="center"/>
              <w:rPr>
                <w:color w:val="FFFFFF" w:themeColor="background1"/>
                <w:sz w:val="18"/>
              </w:rPr>
            </w:pPr>
            <w:r w:rsidRPr="00335100">
              <w:rPr>
                <w:color w:val="FFFFFF" w:themeColor="background1"/>
                <w:sz w:val="18"/>
              </w:rPr>
              <w:t>Household bleach 4% available chlorine</w:t>
            </w:r>
          </w:p>
        </w:tc>
        <w:tc>
          <w:tcPr>
            <w:tcW w:w="6663" w:type="dxa"/>
            <w:gridSpan w:val="3"/>
            <w:tcBorders>
              <w:top w:val="single" w:sz="4" w:space="0" w:color="auto"/>
              <w:left w:val="single" w:sz="4" w:space="0" w:color="auto"/>
              <w:bottom w:val="single" w:sz="4" w:space="0" w:color="auto"/>
              <w:right w:val="single" w:sz="4" w:space="0" w:color="auto"/>
            </w:tcBorders>
            <w:shd w:val="solid" w:color="auto" w:fill="auto"/>
            <w:hideMark/>
          </w:tcPr>
          <w:p w:rsidR="00CB49AA" w:rsidRPr="00335100" w:rsidRDefault="00CB49AA" w:rsidP="00335100">
            <w:pPr>
              <w:pStyle w:val="DHHStablecolhead"/>
              <w:jc w:val="center"/>
              <w:rPr>
                <w:color w:val="FFFFFF" w:themeColor="background1"/>
                <w:sz w:val="18"/>
              </w:rPr>
            </w:pPr>
            <w:r w:rsidRPr="00335100">
              <w:rPr>
                <w:color w:val="FFFFFF" w:themeColor="background1"/>
                <w:sz w:val="18"/>
              </w:rPr>
              <w:t>Add the following amounts of bleach to the water to give the required concentration</w:t>
            </w:r>
          </w:p>
        </w:tc>
      </w:tr>
      <w:tr w:rsidR="00CB49AA" w:rsidRPr="00335100" w:rsidTr="00CB49AA">
        <w:trPr>
          <w:tblHeader/>
        </w:trPr>
        <w:tc>
          <w:tcPr>
            <w:tcW w:w="3402" w:type="dxa"/>
            <w:tcBorders>
              <w:top w:val="single" w:sz="4" w:space="0" w:color="auto"/>
              <w:left w:val="single" w:sz="4" w:space="0" w:color="auto"/>
              <w:bottom w:val="single" w:sz="4" w:space="0" w:color="auto"/>
              <w:right w:val="single" w:sz="4" w:space="0" w:color="auto"/>
            </w:tcBorders>
            <w:shd w:val="pct12" w:color="auto" w:fill="auto"/>
            <w:hideMark/>
          </w:tcPr>
          <w:p w:rsidR="00CB49AA" w:rsidRPr="00335100" w:rsidRDefault="00CB49AA" w:rsidP="00335100">
            <w:pPr>
              <w:pStyle w:val="DHHStablecolhead"/>
              <w:rPr>
                <w:i/>
                <w:sz w:val="16"/>
              </w:rPr>
            </w:pPr>
            <w:r w:rsidRPr="00335100">
              <w:rPr>
                <w:i/>
                <w:sz w:val="16"/>
              </w:rPr>
              <w:t>Volume of water to which chlorine is added</w:t>
            </w:r>
          </w:p>
        </w:tc>
        <w:tc>
          <w:tcPr>
            <w:tcW w:w="2221" w:type="dxa"/>
            <w:tcBorders>
              <w:top w:val="single" w:sz="4" w:space="0" w:color="auto"/>
              <w:left w:val="single" w:sz="4" w:space="0" w:color="auto"/>
              <w:bottom w:val="single" w:sz="4" w:space="0" w:color="auto"/>
              <w:right w:val="single" w:sz="4" w:space="0" w:color="auto"/>
            </w:tcBorders>
            <w:shd w:val="pct12" w:color="auto" w:fill="auto"/>
            <w:vAlign w:val="bottom"/>
            <w:hideMark/>
          </w:tcPr>
          <w:p w:rsidR="00CB49AA" w:rsidRPr="00335100" w:rsidRDefault="00CB49AA" w:rsidP="00096A98">
            <w:pPr>
              <w:pStyle w:val="DHHStablecolhead"/>
              <w:rPr>
                <w:i/>
                <w:sz w:val="16"/>
              </w:rPr>
            </w:pPr>
            <w:r w:rsidRPr="00335100">
              <w:rPr>
                <w:i/>
                <w:sz w:val="16"/>
              </w:rPr>
              <w:t>100ppm</w:t>
            </w:r>
          </w:p>
        </w:tc>
        <w:tc>
          <w:tcPr>
            <w:tcW w:w="2221" w:type="dxa"/>
            <w:tcBorders>
              <w:top w:val="single" w:sz="4" w:space="0" w:color="auto"/>
              <w:left w:val="single" w:sz="4" w:space="0" w:color="auto"/>
              <w:bottom w:val="single" w:sz="4" w:space="0" w:color="auto"/>
              <w:right w:val="single" w:sz="4" w:space="0" w:color="auto"/>
            </w:tcBorders>
            <w:shd w:val="pct12" w:color="auto" w:fill="auto"/>
            <w:vAlign w:val="bottom"/>
            <w:hideMark/>
          </w:tcPr>
          <w:p w:rsidR="00CB49AA" w:rsidRPr="00335100" w:rsidRDefault="00CB49AA" w:rsidP="00096A98">
            <w:pPr>
              <w:pStyle w:val="DHHStablecolhead"/>
              <w:rPr>
                <w:i/>
                <w:sz w:val="16"/>
              </w:rPr>
            </w:pPr>
            <w:r w:rsidRPr="00335100">
              <w:rPr>
                <w:i/>
                <w:sz w:val="16"/>
              </w:rPr>
              <w:t>200ppm</w:t>
            </w:r>
          </w:p>
        </w:tc>
        <w:tc>
          <w:tcPr>
            <w:tcW w:w="2221" w:type="dxa"/>
            <w:tcBorders>
              <w:top w:val="single" w:sz="4" w:space="0" w:color="auto"/>
              <w:left w:val="single" w:sz="4" w:space="0" w:color="auto"/>
              <w:bottom w:val="single" w:sz="4" w:space="0" w:color="auto"/>
              <w:right w:val="single" w:sz="4" w:space="0" w:color="auto"/>
            </w:tcBorders>
            <w:shd w:val="pct12" w:color="auto" w:fill="auto"/>
            <w:vAlign w:val="bottom"/>
            <w:hideMark/>
          </w:tcPr>
          <w:p w:rsidR="00CB49AA" w:rsidRPr="00335100" w:rsidRDefault="00CB49AA" w:rsidP="00096A98">
            <w:pPr>
              <w:pStyle w:val="DHHStablecolhead"/>
              <w:rPr>
                <w:i/>
                <w:sz w:val="16"/>
              </w:rPr>
            </w:pPr>
            <w:r w:rsidRPr="00335100">
              <w:rPr>
                <w:i/>
                <w:sz w:val="16"/>
              </w:rPr>
              <w:t>1000ppm</w:t>
            </w:r>
          </w:p>
        </w:tc>
      </w:tr>
      <w:tr w:rsidR="006D5343" w:rsidRPr="00BC5E69" w:rsidTr="00CB49AA">
        <w:tc>
          <w:tcPr>
            <w:tcW w:w="3402" w:type="dxa"/>
            <w:tcBorders>
              <w:top w:val="single" w:sz="4" w:space="0" w:color="auto"/>
              <w:left w:val="single" w:sz="4" w:space="0" w:color="auto"/>
              <w:bottom w:val="single" w:sz="4" w:space="0" w:color="auto"/>
              <w:right w:val="single" w:sz="4" w:space="0" w:color="auto"/>
            </w:tcBorders>
            <w:vAlign w:val="center"/>
          </w:tcPr>
          <w:p w:rsidR="006D5343" w:rsidRPr="00BC5E69" w:rsidRDefault="006D5343" w:rsidP="00096A98">
            <w:pPr>
              <w:pStyle w:val="DHHStabletext"/>
              <w:rPr>
                <w:sz w:val="18"/>
              </w:rPr>
            </w:pPr>
            <w:r w:rsidRPr="00BC5E69">
              <w:rPr>
                <w:sz w:val="18"/>
              </w:rPr>
              <w:t>1 litre</w:t>
            </w:r>
          </w:p>
        </w:tc>
        <w:tc>
          <w:tcPr>
            <w:tcW w:w="2221" w:type="dxa"/>
            <w:tcBorders>
              <w:top w:val="single" w:sz="4" w:space="0" w:color="auto"/>
              <w:left w:val="single" w:sz="4" w:space="0" w:color="auto"/>
              <w:bottom w:val="single" w:sz="4" w:space="0" w:color="auto"/>
              <w:right w:val="single" w:sz="4" w:space="0" w:color="auto"/>
            </w:tcBorders>
            <w:vAlign w:val="center"/>
          </w:tcPr>
          <w:p w:rsidR="006D5343" w:rsidRPr="00BC5E69" w:rsidRDefault="006D5343" w:rsidP="00E42DEC">
            <w:pPr>
              <w:pStyle w:val="DHHStabletext"/>
              <w:rPr>
                <w:sz w:val="18"/>
              </w:rPr>
            </w:pPr>
            <w:r w:rsidRPr="00BC5E69">
              <w:rPr>
                <w:sz w:val="18"/>
              </w:rPr>
              <w:t>2.6ml</w:t>
            </w:r>
          </w:p>
        </w:tc>
        <w:tc>
          <w:tcPr>
            <w:tcW w:w="2221" w:type="dxa"/>
            <w:tcBorders>
              <w:top w:val="single" w:sz="4" w:space="0" w:color="auto"/>
              <w:left w:val="single" w:sz="4" w:space="0" w:color="auto"/>
              <w:bottom w:val="single" w:sz="4" w:space="0" w:color="auto"/>
              <w:right w:val="single" w:sz="4" w:space="0" w:color="auto"/>
            </w:tcBorders>
            <w:vAlign w:val="center"/>
          </w:tcPr>
          <w:p w:rsidR="006D5343" w:rsidRPr="00BC5E69" w:rsidRDefault="00E42DEC" w:rsidP="00096A98">
            <w:pPr>
              <w:pStyle w:val="DHHStabletext"/>
              <w:rPr>
                <w:sz w:val="18"/>
              </w:rPr>
            </w:pPr>
            <w:r>
              <w:rPr>
                <w:sz w:val="18"/>
              </w:rPr>
              <w:t>5.3</w:t>
            </w:r>
            <w:r w:rsidR="006D5343" w:rsidRPr="00BC5E69">
              <w:rPr>
                <w:sz w:val="18"/>
              </w:rPr>
              <w:t>ml</w:t>
            </w:r>
          </w:p>
        </w:tc>
        <w:tc>
          <w:tcPr>
            <w:tcW w:w="2221" w:type="dxa"/>
            <w:tcBorders>
              <w:top w:val="single" w:sz="4" w:space="0" w:color="auto"/>
              <w:left w:val="single" w:sz="4" w:space="0" w:color="auto"/>
              <w:bottom w:val="single" w:sz="4" w:space="0" w:color="auto"/>
              <w:right w:val="single" w:sz="4" w:space="0" w:color="auto"/>
            </w:tcBorders>
            <w:vAlign w:val="center"/>
          </w:tcPr>
          <w:p w:rsidR="006D5343" w:rsidRPr="00BC5E69" w:rsidRDefault="006A11F2" w:rsidP="00096A98">
            <w:pPr>
              <w:pStyle w:val="DHHStabletext"/>
              <w:rPr>
                <w:sz w:val="18"/>
              </w:rPr>
            </w:pPr>
            <w:r w:rsidRPr="00BC5E69">
              <w:rPr>
                <w:sz w:val="18"/>
              </w:rPr>
              <w:t>26.3ml</w:t>
            </w:r>
          </w:p>
        </w:tc>
      </w:tr>
      <w:tr w:rsidR="00CB49AA" w:rsidRPr="00BC5E69" w:rsidTr="00CB49AA">
        <w:tc>
          <w:tcPr>
            <w:tcW w:w="3402" w:type="dxa"/>
            <w:tcBorders>
              <w:top w:val="single" w:sz="4" w:space="0" w:color="auto"/>
              <w:left w:val="single" w:sz="4" w:space="0" w:color="auto"/>
              <w:bottom w:val="single" w:sz="4" w:space="0" w:color="auto"/>
              <w:right w:val="single" w:sz="4" w:space="0" w:color="auto"/>
            </w:tcBorders>
            <w:vAlign w:val="center"/>
            <w:hideMark/>
          </w:tcPr>
          <w:p w:rsidR="00CB49AA" w:rsidRPr="00BC5E69" w:rsidRDefault="00CB49AA" w:rsidP="00096A98">
            <w:pPr>
              <w:pStyle w:val="DHHStabletext"/>
              <w:rPr>
                <w:sz w:val="18"/>
              </w:rPr>
            </w:pPr>
            <w:r w:rsidRPr="00BC5E69">
              <w:rPr>
                <w:sz w:val="18"/>
              </w:rPr>
              <w:t>5 litres</w:t>
            </w:r>
          </w:p>
        </w:tc>
        <w:tc>
          <w:tcPr>
            <w:tcW w:w="2221" w:type="dxa"/>
            <w:tcBorders>
              <w:top w:val="single" w:sz="4" w:space="0" w:color="auto"/>
              <w:left w:val="single" w:sz="4" w:space="0" w:color="auto"/>
              <w:bottom w:val="single" w:sz="4" w:space="0" w:color="auto"/>
              <w:right w:val="single" w:sz="4" w:space="0" w:color="auto"/>
            </w:tcBorders>
            <w:vAlign w:val="center"/>
            <w:hideMark/>
          </w:tcPr>
          <w:p w:rsidR="00CB49AA" w:rsidRPr="00BC5E69" w:rsidRDefault="00CB49AA" w:rsidP="00096A98">
            <w:pPr>
              <w:pStyle w:val="DHHStabletext"/>
              <w:rPr>
                <w:sz w:val="18"/>
              </w:rPr>
            </w:pPr>
            <w:r w:rsidRPr="00BC5E69">
              <w:rPr>
                <w:sz w:val="18"/>
              </w:rPr>
              <w:t>12.5ml</w:t>
            </w:r>
          </w:p>
        </w:tc>
        <w:tc>
          <w:tcPr>
            <w:tcW w:w="2221" w:type="dxa"/>
            <w:tcBorders>
              <w:top w:val="single" w:sz="4" w:space="0" w:color="auto"/>
              <w:left w:val="single" w:sz="4" w:space="0" w:color="auto"/>
              <w:bottom w:val="single" w:sz="4" w:space="0" w:color="auto"/>
              <w:right w:val="single" w:sz="4" w:space="0" w:color="auto"/>
            </w:tcBorders>
            <w:vAlign w:val="center"/>
            <w:hideMark/>
          </w:tcPr>
          <w:p w:rsidR="00CB49AA" w:rsidRPr="00BC5E69" w:rsidRDefault="00CB49AA" w:rsidP="00096A98">
            <w:pPr>
              <w:pStyle w:val="DHHStabletext"/>
              <w:rPr>
                <w:sz w:val="18"/>
              </w:rPr>
            </w:pPr>
            <w:r w:rsidRPr="00BC5E69">
              <w:rPr>
                <w:sz w:val="18"/>
              </w:rPr>
              <w:t>25ml</w:t>
            </w:r>
          </w:p>
        </w:tc>
        <w:tc>
          <w:tcPr>
            <w:tcW w:w="2221" w:type="dxa"/>
            <w:tcBorders>
              <w:top w:val="single" w:sz="4" w:space="0" w:color="auto"/>
              <w:left w:val="single" w:sz="4" w:space="0" w:color="auto"/>
              <w:bottom w:val="single" w:sz="4" w:space="0" w:color="auto"/>
              <w:right w:val="single" w:sz="4" w:space="0" w:color="auto"/>
            </w:tcBorders>
            <w:vAlign w:val="center"/>
            <w:hideMark/>
          </w:tcPr>
          <w:p w:rsidR="00CB49AA" w:rsidRPr="00BC5E69" w:rsidRDefault="00CB49AA" w:rsidP="00096A98">
            <w:pPr>
              <w:pStyle w:val="DHHStabletext"/>
              <w:rPr>
                <w:sz w:val="18"/>
              </w:rPr>
            </w:pPr>
            <w:r w:rsidRPr="00BC5E69">
              <w:rPr>
                <w:sz w:val="18"/>
              </w:rPr>
              <w:t>125ml</w:t>
            </w:r>
          </w:p>
        </w:tc>
      </w:tr>
      <w:tr w:rsidR="00CB49AA" w:rsidRPr="00BC5E69" w:rsidTr="00CB49AA">
        <w:tc>
          <w:tcPr>
            <w:tcW w:w="3402" w:type="dxa"/>
            <w:tcBorders>
              <w:top w:val="single" w:sz="4" w:space="0" w:color="auto"/>
              <w:left w:val="single" w:sz="4" w:space="0" w:color="auto"/>
              <w:bottom w:val="single" w:sz="4" w:space="0" w:color="auto"/>
              <w:right w:val="single" w:sz="4" w:space="0" w:color="auto"/>
            </w:tcBorders>
            <w:vAlign w:val="center"/>
            <w:hideMark/>
          </w:tcPr>
          <w:p w:rsidR="00CB49AA" w:rsidRPr="00BC5E69" w:rsidRDefault="00CB49AA" w:rsidP="00096A98">
            <w:pPr>
              <w:pStyle w:val="DHHStabletext"/>
              <w:rPr>
                <w:sz w:val="18"/>
              </w:rPr>
            </w:pPr>
            <w:r w:rsidRPr="00BC5E69">
              <w:rPr>
                <w:sz w:val="18"/>
              </w:rPr>
              <w:t>10 litres</w:t>
            </w:r>
          </w:p>
        </w:tc>
        <w:tc>
          <w:tcPr>
            <w:tcW w:w="2221" w:type="dxa"/>
            <w:tcBorders>
              <w:top w:val="single" w:sz="4" w:space="0" w:color="auto"/>
              <w:left w:val="single" w:sz="4" w:space="0" w:color="auto"/>
              <w:bottom w:val="single" w:sz="4" w:space="0" w:color="auto"/>
              <w:right w:val="single" w:sz="4" w:space="0" w:color="auto"/>
            </w:tcBorders>
            <w:vAlign w:val="center"/>
            <w:hideMark/>
          </w:tcPr>
          <w:p w:rsidR="00CB49AA" w:rsidRPr="00BC5E69" w:rsidRDefault="00CB49AA" w:rsidP="00096A98">
            <w:pPr>
              <w:pStyle w:val="DHHStabletext"/>
              <w:rPr>
                <w:sz w:val="18"/>
              </w:rPr>
            </w:pPr>
            <w:r w:rsidRPr="00BC5E69">
              <w:rPr>
                <w:sz w:val="18"/>
              </w:rPr>
              <w:t>25ml</w:t>
            </w:r>
          </w:p>
        </w:tc>
        <w:tc>
          <w:tcPr>
            <w:tcW w:w="2221" w:type="dxa"/>
            <w:tcBorders>
              <w:top w:val="single" w:sz="4" w:space="0" w:color="auto"/>
              <w:left w:val="single" w:sz="4" w:space="0" w:color="auto"/>
              <w:bottom w:val="single" w:sz="4" w:space="0" w:color="auto"/>
              <w:right w:val="single" w:sz="4" w:space="0" w:color="auto"/>
            </w:tcBorders>
            <w:vAlign w:val="center"/>
            <w:hideMark/>
          </w:tcPr>
          <w:p w:rsidR="00CB49AA" w:rsidRPr="00BC5E69" w:rsidRDefault="00CB49AA" w:rsidP="00096A98">
            <w:pPr>
              <w:pStyle w:val="DHHStabletext"/>
              <w:rPr>
                <w:sz w:val="18"/>
              </w:rPr>
            </w:pPr>
            <w:r w:rsidRPr="00BC5E69">
              <w:rPr>
                <w:sz w:val="18"/>
              </w:rPr>
              <w:t>50ml</w:t>
            </w:r>
          </w:p>
        </w:tc>
        <w:tc>
          <w:tcPr>
            <w:tcW w:w="2221" w:type="dxa"/>
            <w:tcBorders>
              <w:top w:val="single" w:sz="4" w:space="0" w:color="auto"/>
              <w:left w:val="single" w:sz="4" w:space="0" w:color="auto"/>
              <w:bottom w:val="single" w:sz="4" w:space="0" w:color="auto"/>
              <w:right w:val="single" w:sz="4" w:space="0" w:color="auto"/>
            </w:tcBorders>
            <w:vAlign w:val="center"/>
            <w:hideMark/>
          </w:tcPr>
          <w:p w:rsidR="00CB49AA" w:rsidRPr="00BC5E69" w:rsidRDefault="00CB49AA" w:rsidP="00096A98">
            <w:pPr>
              <w:pStyle w:val="DHHStabletext"/>
              <w:rPr>
                <w:sz w:val="18"/>
              </w:rPr>
            </w:pPr>
            <w:r w:rsidRPr="00BC5E69">
              <w:rPr>
                <w:sz w:val="18"/>
              </w:rPr>
              <w:t>250ml</w:t>
            </w:r>
          </w:p>
        </w:tc>
      </w:tr>
    </w:tbl>
    <w:p w:rsidR="00EF05F0" w:rsidRDefault="0043763D" w:rsidP="00EF05F0">
      <w:pPr>
        <w:pStyle w:val="Heading2"/>
      </w:pPr>
      <w:bookmarkStart w:id="2" w:name="_Toc517947634"/>
      <w:r>
        <w:t>Commercial sanitisers</w:t>
      </w:r>
      <w:r w:rsidR="00C014F7">
        <w:t>/disinfectants</w:t>
      </w:r>
    </w:p>
    <w:p w:rsidR="0043763D" w:rsidRPr="0043763D" w:rsidRDefault="0043763D" w:rsidP="0043763D">
      <w:pPr>
        <w:pStyle w:val="DHHSbody"/>
      </w:pPr>
      <w:r>
        <w:t>Commercial sanitisers</w:t>
      </w:r>
      <w:r w:rsidR="00C014F7">
        <w:t>/disinfectants</w:t>
      </w:r>
      <w:r>
        <w:t xml:space="preserve"> are available from a range of commercial chemical suppliers and retailers. It is important that the active ingredient in the sanitiser you use during an outbreak of gastroenteritis is chlorine (or sodium hypochlorite). This sanitiser</w:t>
      </w:r>
      <w:r w:rsidR="004F2C2B">
        <w:t xml:space="preserve"> should be an approved food grade sanitiser and</w:t>
      </w:r>
      <w:r>
        <w:t xml:space="preserve"> must be used </w:t>
      </w:r>
      <w:r>
        <w:rPr>
          <w:b/>
        </w:rPr>
        <w:t xml:space="preserve">in accordance with the manufacturer’s instructions. </w:t>
      </w:r>
      <w:r>
        <w:t xml:space="preserve">The following table should assist with </w:t>
      </w:r>
      <w:r w:rsidR="00187D77">
        <w:t xml:space="preserve">making up the required concentration needed for disinfection. </w:t>
      </w:r>
    </w:p>
    <w:p w:rsidR="00CB49AA" w:rsidRPr="00BC5E69" w:rsidRDefault="00CB49AA" w:rsidP="00CB49AA">
      <w:pPr>
        <w:pStyle w:val="DHHStablecaption"/>
        <w:rPr>
          <w:sz w:val="18"/>
        </w:rPr>
      </w:pPr>
      <w:r w:rsidRPr="00BC5E69">
        <w:rPr>
          <w:sz w:val="18"/>
        </w:rPr>
        <w:t>Dilutions using a commercial grade sanitiser (with 12.5% available chlorine as written on the label)</w:t>
      </w:r>
      <w:bookmarkEnd w:id="2"/>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21"/>
        <w:gridCol w:w="2221"/>
        <w:gridCol w:w="2221"/>
      </w:tblGrid>
      <w:tr w:rsidR="00CB49AA" w:rsidRPr="00BC5E69" w:rsidTr="00335100">
        <w:trPr>
          <w:tblHeader/>
        </w:trPr>
        <w:tc>
          <w:tcPr>
            <w:tcW w:w="3402" w:type="dxa"/>
            <w:tcBorders>
              <w:top w:val="single" w:sz="4" w:space="0" w:color="auto"/>
              <w:left w:val="single" w:sz="4" w:space="0" w:color="auto"/>
              <w:bottom w:val="single" w:sz="4" w:space="0" w:color="auto"/>
              <w:right w:val="single" w:sz="4" w:space="0" w:color="auto"/>
            </w:tcBorders>
            <w:shd w:val="solid" w:color="auto" w:fill="auto"/>
          </w:tcPr>
          <w:p w:rsidR="00CB49AA" w:rsidRPr="00BC5E69" w:rsidRDefault="00CB49AA" w:rsidP="00335100">
            <w:pPr>
              <w:pStyle w:val="DHHStablefigurenote"/>
              <w:jc w:val="center"/>
              <w:rPr>
                <w:b/>
              </w:rPr>
            </w:pPr>
            <w:r w:rsidRPr="00BC5E69">
              <w:rPr>
                <w:b/>
              </w:rPr>
              <w:t>Commercial grade sanitiser 12.5% available chlorine</w:t>
            </w:r>
          </w:p>
        </w:tc>
        <w:tc>
          <w:tcPr>
            <w:tcW w:w="6663" w:type="dxa"/>
            <w:gridSpan w:val="3"/>
            <w:tcBorders>
              <w:top w:val="single" w:sz="4" w:space="0" w:color="auto"/>
              <w:left w:val="single" w:sz="4" w:space="0" w:color="auto"/>
              <w:bottom w:val="single" w:sz="4" w:space="0" w:color="auto"/>
              <w:right w:val="single" w:sz="4" w:space="0" w:color="auto"/>
            </w:tcBorders>
            <w:shd w:val="solid" w:color="auto" w:fill="auto"/>
            <w:hideMark/>
          </w:tcPr>
          <w:p w:rsidR="00CB49AA" w:rsidRPr="00BC5E69" w:rsidRDefault="00CB49AA" w:rsidP="00335100">
            <w:pPr>
              <w:pStyle w:val="DHHStablefigurenote"/>
              <w:jc w:val="center"/>
              <w:rPr>
                <w:b/>
              </w:rPr>
            </w:pPr>
            <w:r w:rsidRPr="00BC5E69">
              <w:rPr>
                <w:b/>
              </w:rPr>
              <w:t xml:space="preserve">Add the following amounts of </w:t>
            </w:r>
            <w:r w:rsidR="00335100">
              <w:rPr>
                <w:b/>
              </w:rPr>
              <w:t>sanitiser</w:t>
            </w:r>
            <w:r w:rsidRPr="00BC5E69">
              <w:rPr>
                <w:b/>
              </w:rPr>
              <w:t xml:space="preserve"> to the water to give the required concentration</w:t>
            </w:r>
          </w:p>
        </w:tc>
      </w:tr>
      <w:tr w:rsidR="00CB49AA" w:rsidRPr="00335100" w:rsidTr="00CB49AA">
        <w:trPr>
          <w:tblHeader/>
        </w:trPr>
        <w:tc>
          <w:tcPr>
            <w:tcW w:w="3402" w:type="dxa"/>
            <w:tcBorders>
              <w:top w:val="single" w:sz="4" w:space="0" w:color="auto"/>
              <w:left w:val="single" w:sz="4" w:space="0" w:color="auto"/>
              <w:bottom w:val="single" w:sz="4" w:space="0" w:color="auto"/>
              <w:right w:val="single" w:sz="4" w:space="0" w:color="auto"/>
            </w:tcBorders>
            <w:shd w:val="pct12" w:color="auto" w:fill="auto"/>
            <w:hideMark/>
          </w:tcPr>
          <w:p w:rsidR="00CB49AA" w:rsidRPr="00335100" w:rsidRDefault="00335100" w:rsidP="00CB49AA">
            <w:pPr>
              <w:pStyle w:val="DHHStablefigurenote"/>
              <w:rPr>
                <w:b/>
                <w:sz w:val="16"/>
              </w:rPr>
            </w:pPr>
            <w:r w:rsidRPr="00335100">
              <w:rPr>
                <w:b/>
                <w:sz w:val="16"/>
              </w:rPr>
              <w:t xml:space="preserve">Volume of </w:t>
            </w:r>
            <w:r w:rsidR="00CB49AA" w:rsidRPr="00335100">
              <w:rPr>
                <w:b/>
                <w:sz w:val="16"/>
              </w:rPr>
              <w:t>water to which chlorine is added</w:t>
            </w:r>
          </w:p>
        </w:tc>
        <w:tc>
          <w:tcPr>
            <w:tcW w:w="2221" w:type="dxa"/>
            <w:tcBorders>
              <w:top w:val="single" w:sz="4" w:space="0" w:color="auto"/>
              <w:left w:val="single" w:sz="4" w:space="0" w:color="auto"/>
              <w:bottom w:val="single" w:sz="4" w:space="0" w:color="auto"/>
              <w:right w:val="single" w:sz="4" w:space="0" w:color="auto"/>
            </w:tcBorders>
            <w:shd w:val="pct12" w:color="auto" w:fill="auto"/>
            <w:vAlign w:val="bottom"/>
            <w:hideMark/>
          </w:tcPr>
          <w:p w:rsidR="00CB49AA" w:rsidRPr="00335100" w:rsidRDefault="00CB49AA" w:rsidP="00CB49AA">
            <w:pPr>
              <w:pStyle w:val="DHHStablefigurenote"/>
              <w:rPr>
                <w:b/>
                <w:sz w:val="16"/>
              </w:rPr>
            </w:pPr>
            <w:r w:rsidRPr="00335100">
              <w:rPr>
                <w:b/>
                <w:sz w:val="16"/>
              </w:rPr>
              <w:t>100ppm</w:t>
            </w:r>
          </w:p>
        </w:tc>
        <w:tc>
          <w:tcPr>
            <w:tcW w:w="2221" w:type="dxa"/>
            <w:tcBorders>
              <w:top w:val="single" w:sz="4" w:space="0" w:color="auto"/>
              <w:left w:val="single" w:sz="4" w:space="0" w:color="auto"/>
              <w:bottom w:val="single" w:sz="4" w:space="0" w:color="auto"/>
              <w:right w:val="single" w:sz="4" w:space="0" w:color="auto"/>
            </w:tcBorders>
            <w:shd w:val="pct12" w:color="auto" w:fill="auto"/>
            <w:vAlign w:val="bottom"/>
            <w:hideMark/>
          </w:tcPr>
          <w:p w:rsidR="00CB49AA" w:rsidRPr="00335100" w:rsidRDefault="00CB49AA" w:rsidP="00CB49AA">
            <w:pPr>
              <w:pStyle w:val="DHHStablefigurenote"/>
              <w:rPr>
                <w:b/>
                <w:sz w:val="16"/>
              </w:rPr>
            </w:pPr>
            <w:r w:rsidRPr="00335100">
              <w:rPr>
                <w:b/>
                <w:sz w:val="16"/>
              </w:rPr>
              <w:t>200ppm</w:t>
            </w:r>
          </w:p>
        </w:tc>
        <w:tc>
          <w:tcPr>
            <w:tcW w:w="2221" w:type="dxa"/>
            <w:tcBorders>
              <w:top w:val="single" w:sz="4" w:space="0" w:color="auto"/>
              <w:left w:val="single" w:sz="4" w:space="0" w:color="auto"/>
              <w:bottom w:val="single" w:sz="4" w:space="0" w:color="auto"/>
              <w:right w:val="single" w:sz="4" w:space="0" w:color="auto"/>
            </w:tcBorders>
            <w:shd w:val="pct12" w:color="auto" w:fill="auto"/>
            <w:vAlign w:val="bottom"/>
            <w:hideMark/>
          </w:tcPr>
          <w:p w:rsidR="00CB49AA" w:rsidRPr="00335100" w:rsidRDefault="00CB49AA" w:rsidP="00CB49AA">
            <w:pPr>
              <w:pStyle w:val="DHHStablefigurenote"/>
              <w:rPr>
                <w:b/>
                <w:sz w:val="16"/>
              </w:rPr>
            </w:pPr>
            <w:r w:rsidRPr="00335100">
              <w:rPr>
                <w:b/>
                <w:sz w:val="16"/>
              </w:rPr>
              <w:t>1000ppm</w:t>
            </w:r>
          </w:p>
        </w:tc>
      </w:tr>
      <w:tr w:rsidR="006D5343" w:rsidRPr="00BC5E69" w:rsidTr="00CB49AA">
        <w:tc>
          <w:tcPr>
            <w:tcW w:w="3402" w:type="dxa"/>
            <w:tcBorders>
              <w:top w:val="single" w:sz="4" w:space="0" w:color="auto"/>
              <w:left w:val="single" w:sz="4" w:space="0" w:color="auto"/>
              <w:bottom w:val="single" w:sz="4" w:space="0" w:color="auto"/>
              <w:right w:val="single" w:sz="4" w:space="0" w:color="auto"/>
            </w:tcBorders>
            <w:vAlign w:val="center"/>
          </w:tcPr>
          <w:p w:rsidR="006D5343" w:rsidRPr="00BC5E69" w:rsidRDefault="006A11F2" w:rsidP="00CB49AA">
            <w:pPr>
              <w:pStyle w:val="DHHStablefigurenote"/>
              <w:rPr>
                <w:i w:val="0"/>
              </w:rPr>
            </w:pPr>
            <w:r w:rsidRPr="00BC5E69">
              <w:rPr>
                <w:i w:val="0"/>
              </w:rPr>
              <w:t>1 litre</w:t>
            </w:r>
          </w:p>
        </w:tc>
        <w:tc>
          <w:tcPr>
            <w:tcW w:w="2221" w:type="dxa"/>
            <w:tcBorders>
              <w:top w:val="single" w:sz="4" w:space="0" w:color="auto"/>
              <w:left w:val="single" w:sz="4" w:space="0" w:color="auto"/>
              <w:bottom w:val="single" w:sz="4" w:space="0" w:color="auto"/>
              <w:right w:val="single" w:sz="4" w:space="0" w:color="auto"/>
            </w:tcBorders>
            <w:vAlign w:val="center"/>
          </w:tcPr>
          <w:p w:rsidR="006D5343" w:rsidRPr="00BC5E69" w:rsidRDefault="00E42DEC" w:rsidP="00CB49AA">
            <w:pPr>
              <w:pStyle w:val="DHHStablefigurenote"/>
              <w:rPr>
                <w:i w:val="0"/>
              </w:rPr>
            </w:pPr>
            <w:r>
              <w:rPr>
                <w:i w:val="0"/>
              </w:rPr>
              <w:t>0.8</w:t>
            </w:r>
            <w:r w:rsidR="0091240B" w:rsidRPr="00BC5E69">
              <w:rPr>
                <w:i w:val="0"/>
              </w:rPr>
              <w:t>ml</w:t>
            </w:r>
          </w:p>
        </w:tc>
        <w:tc>
          <w:tcPr>
            <w:tcW w:w="2221" w:type="dxa"/>
            <w:tcBorders>
              <w:top w:val="single" w:sz="4" w:space="0" w:color="auto"/>
              <w:left w:val="single" w:sz="4" w:space="0" w:color="auto"/>
              <w:bottom w:val="single" w:sz="4" w:space="0" w:color="auto"/>
              <w:right w:val="single" w:sz="4" w:space="0" w:color="auto"/>
            </w:tcBorders>
            <w:vAlign w:val="center"/>
          </w:tcPr>
          <w:p w:rsidR="006D5343" w:rsidRPr="00BC5E69" w:rsidRDefault="00E42DEC" w:rsidP="00CB49AA">
            <w:pPr>
              <w:pStyle w:val="DHHStablefigurenote"/>
              <w:rPr>
                <w:i w:val="0"/>
              </w:rPr>
            </w:pPr>
            <w:r>
              <w:rPr>
                <w:i w:val="0"/>
              </w:rPr>
              <w:t>1.7</w:t>
            </w:r>
            <w:r w:rsidR="0091240B" w:rsidRPr="00BC5E69">
              <w:rPr>
                <w:i w:val="0"/>
              </w:rPr>
              <w:t>ml</w:t>
            </w:r>
          </w:p>
        </w:tc>
        <w:tc>
          <w:tcPr>
            <w:tcW w:w="2221" w:type="dxa"/>
            <w:tcBorders>
              <w:top w:val="single" w:sz="4" w:space="0" w:color="auto"/>
              <w:left w:val="single" w:sz="4" w:space="0" w:color="auto"/>
              <w:bottom w:val="single" w:sz="4" w:space="0" w:color="auto"/>
              <w:right w:val="single" w:sz="4" w:space="0" w:color="auto"/>
            </w:tcBorders>
            <w:vAlign w:val="center"/>
          </w:tcPr>
          <w:p w:rsidR="006D5343" w:rsidRPr="00BC5E69" w:rsidRDefault="0091240B" w:rsidP="00CB49AA">
            <w:pPr>
              <w:pStyle w:val="DHHStablefigurenote"/>
              <w:rPr>
                <w:i w:val="0"/>
              </w:rPr>
            </w:pPr>
            <w:r w:rsidRPr="00BC5E69">
              <w:rPr>
                <w:i w:val="0"/>
              </w:rPr>
              <w:t>8.4ml</w:t>
            </w:r>
          </w:p>
        </w:tc>
      </w:tr>
      <w:tr w:rsidR="00CB49AA" w:rsidRPr="00BC5E69" w:rsidTr="00CB49AA">
        <w:tc>
          <w:tcPr>
            <w:tcW w:w="3402" w:type="dxa"/>
            <w:tcBorders>
              <w:top w:val="single" w:sz="4" w:space="0" w:color="auto"/>
              <w:left w:val="single" w:sz="4" w:space="0" w:color="auto"/>
              <w:bottom w:val="single" w:sz="4" w:space="0" w:color="auto"/>
              <w:right w:val="single" w:sz="4" w:space="0" w:color="auto"/>
            </w:tcBorders>
            <w:vAlign w:val="center"/>
            <w:hideMark/>
          </w:tcPr>
          <w:p w:rsidR="00CB49AA" w:rsidRPr="00BC5E69" w:rsidRDefault="00CB49AA" w:rsidP="00CB49AA">
            <w:pPr>
              <w:pStyle w:val="DHHStablefigurenote"/>
              <w:rPr>
                <w:i w:val="0"/>
              </w:rPr>
            </w:pPr>
            <w:r w:rsidRPr="00BC5E69">
              <w:rPr>
                <w:i w:val="0"/>
              </w:rPr>
              <w:t>5 litres</w:t>
            </w:r>
          </w:p>
        </w:tc>
        <w:tc>
          <w:tcPr>
            <w:tcW w:w="2221" w:type="dxa"/>
            <w:tcBorders>
              <w:top w:val="single" w:sz="4" w:space="0" w:color="auto"/>
              <w:left w:val="single" w:sz="4" w:space="0" w:color="auto"/>
              <w:bottom w:val="single" w:sz="4" w:space="0" w:color="auto"/>
              <w:right w:val="single" w:sz="4" w:space="0" w:color="auto"/>
            </w:tcBorders>
            <w:vAlign w:val="center"/>
            <w:hideMark/>
          </w:tcPr>
          <w:p w:rsidR="00CB49AA" w:rsidRPr="00BC5E69" w:rsidRDefault="00CB49AA" w:rsidP="00CB49AA">
            <w:pPr>
              <w:pStyle w:val="DHHStablefigurenote"/>
              <w:rPr>
                <w:i w:val="0"/>
              </w:rPr>
            </w:pPr>
            <w:r w:rsidRPr="00BC5E69">
              <w:rPr>
                <w:i w:val="0"/>
              </w:rPr>
              <w:t>4.2ml</w:t>
            </w:r>
          </w:p>
        </w:tc>
        <w:tc>
          <w:tcPr>
            <w:tcW w:w="2221" w:type="dxa"/>
            <w:tcBorders>
              <w:top w:val="single" w:sz="4" w:space="0" w:color="auto"/>
              <w:left w:val="single" w:sz="4" w:space="0" w:color="auto"/>
              <w:bottom w:val="single" w:sz="4" w:space="0" w:color="auto"/>
              <w:right w:val="single" w:sz="4" w:space="0" w:color="auto"/>
            </w:tcBorders>
            <w:vAlign w:val="center"/>
            <w:hideMark/>
          </w:tcPr>
          <w:p w:rsidR="00CB49AA" w:rsidRPr="00BC5E69" w:rsidRDefault="00CB49AA" w:rsidP="00CB49AA">
            <w:pPr>
              <w:pStyle w:val="DHHStablefigurenote"/>
              <w:rPr>
                <w:i w:val="0"/>
              </w:rPr>
            </w:pPr>
            <w:r w:rsidRPr="00BC5E69">
              <w:rPr>
                <w:i w:val="0"/>
              </w:rPr>
              <w:t>8.4ml</w:t>
            </w:r>
          </w:p>
        </w:tc>
        <w:tc>
          <w:tcPr>
            <w:tcW w:w="2221" w:type="dxa"/>
            <w:tcBorders>
              <w:top w:val="single" w:sz="4" w:space="0" w:color="auto"/>
              <w:left w:val="single" w:sz="4" w:space="0" w:color="auto"/>
              <w:bottom w:val="single" w:sz="4" w:space="0" w:color="auto"/>
              <w:right w:val="single" w:sz="4" w:space="0" w:color="auto"/>
            </w:tcBorders>
            <w:vAlign w:val="center"/>
            <w:hideMark/>
          </w:tcPr>
          <w:p w:rsidR="00CB49AA" w:rsidRPr="00BC5E69" w:rsidRDefault="00CB49AA" w:rsidP="00CB49AA">
            <w:pPr>
              <w:pStyle w:val="DHHStablefigurenote"/>
              <w:rPr>
                <w:i w:val="0"/>
              </w:rPr>
            </w:pPr>
            <w:r w:rsidRPr="00BC5E69">
              <w:rPr>
                <w:i w:val="0"/>
              </w:rPr>
              <w:t>42ml</w:t>
            </w:r>
          </w:p>
        </w:tc>
      </w:tr>
      <w:tr w:rsidR="00CB49AA" w:rsidRPr="00BC5E69" w:rsidTr="00CB49AA">
        <w:tc>
          <w:tcPr>
            <w:tcW w:w="3402" w:type="dxa"/>
            <w:tcBorders>
              <w:top w:val="single" w:sz="4" w:space="0" w:color="auto"/>
              <w:left w:val="single" w:sz="4" w:space="0" w:color="auto"/>
              <w:bottom w:val="single" w:sz="4" w:space="0" w:color="auto"/>
              <w:right w:val="single" w:sz="4" w:space="0" w:color="auto"/>
            </w:tcBorders>
            <w:vAlign w:val="center"/>
            <w:hideMark/>
          </w:tcPr>
          <w:p w:rsidR="00CB49AA" w:rsidRPr="00BC5E69" w:rsidRDefault="00CB49AA" w:rsidP="00CB49AA">
            <w:pPr>
              <w:pStyle w:val="DHHStablefigurenote"/>
              <w:rPr>
                <w:i w:val="0"/>
              </w:rPr>
            </w:pPr>
            <w:r w:rsidRPr="00BC5E69">
              <w:rPr>
                <w:i w:val="0"/>
              </w:rPr>
              <w:t>10 litres</w:t>
            </w:r>
          </w:p>
        </w:tc>
        <w:tc>
          <w:tcPr>
            <w:tcW w:w="2221" w:type="dxa"/>
            <w:tcBorders>
              <w:top w:val="single" w:sz="4" w:space="0" w:color="auto"/>
              <w:left w:val="single" w:sz="4" w:space="0" w:color="auto"/>
              <w:bottom w:val="single" w:sz="4" w:space="0" w:color="auto"/>
              <w:right w:val="single" w:sz="4" w:space="0" w:color="auto"/>
            </w:tcBorders>
            <w:vAlign w:val="center"/>
            <w:hideMark/>
          </w:tcPr>
          <w:p w:rsidR="00CB49AA" w:rsidRPr="00BC5E69" w:rsidRDefault="00CB49AA" w:rsidP="00CB49AA">
            <w:pPr>
              <w:pStyle w:val="DHHStablefigurenote"/>
              <w:rPr>
                <w:i w:val="0"/>
              </w:rPr>
            </w:pPr>
            <w:r w:rsidRPr="00BC5E69">
              <w:rPr>
                <w:i w:val="0"/>
              </w:rPr>
              <w:t>8.4ml</w:t>
            </w:r>
          </w:p>
        </w:tc>
        <w:tc>
          <w:tcPr>
            <w:tcW w:w="2221" w:type="dxa"/>
            <w:tcBorders>
              <w:top w:val="single" w:sz="4" w:space="0" w:color="auto"/>
              <w:left w:val="single" w:sz="4" w:space="0" w:color="auto"/>
              <w:bottom w:val="single" w:sz="4" w:space="0" w:color="auto"/>
              <w:right w:val="single" w:sz="4" w:space="0" w:color="auto"/>
            </w:tcBorders>
            <w:vAlign w:val="center"/>
            <w:hideMark/>
          </w:tcPr>
          <w:p w:rsidR="00CB49AA" w:rsidRPr="00BC5E69" w:rsidRDefault="00CB49AA" w:rsidP="00CB49AA">
            <w:pPr>
              <w:pStyle w:val="DHHStablefigurenote"/>
              <w:rPr>
                <w:i w:val="0"/>
              </w:rPr>
            </w:pPr>
            <w:r w:rsidRPr="00BC5E69">
              <w:rPr>
                <w:i w:val="0"/>
              </w:rPr>
              <w:t>16.8ml</w:t>
            </w:r>
          </w:p>
        </w:tc>
        <w:tc>
          <w:tcPr>
            <w:tcW w:w="2221" w:type="dxa"/>
            <w:tcBorders>
              <w:top w:val="single" w:sz="4" w:space="0" w:color="auto"/>
              <w:left w:val="single" w:sz="4" w:space="0" w:color="auto"/>
              <w:bottom w:val="single" w:sz="4" w:space="0" w:color="auto"/>
              <w:right w:val="single" w:sz="4" w:space="0" w:color="auto"/>
            </w:tcBorders>
            <w:vAlign w:val="center"/>
            <w:hideMark/>
          </w:tcPr>
          <w:p w:rsidR="00CB49AA" w:rsidRPr="00BC5E69" w:rsidRDefault="00CB49AA" w:rsidP="00CB49AA">
            <w:pPr>
              <w:pStyle w:val="DHHStablefigurenote"/>
              <w:rPr>
                <w:i w:val="0"/>
              </w:rPr>
            </w:pPr>
            <w:r w:rsidRPr="00BC5E69">
              <w:rPr>
                <w:i w:val="0"/>
              </w:rPr>
              <w:t>84ml</w:t>
            </w:r>
          </w:p>
        </w:tc>
      </w:tr>
    </w:tbl>
    <w:p w:rsidR="00E85058" w:rsidRPr="00F943A8" w:rsidRDefault="00CB49AA" w:rsidP="00CB49AA">
      <w:pPr>
        <w:pStyle w:val="DHHSbody"/>
        <w:rPr>
          <w:i/>
          <w:sz w:val="18"/>
        </w:rPr>
      </w:pPr>
      <w:r w:rsidRPr="00F943A8">
        <w:rPr>
          <w:b/>
          <w:i/>
          <w:sz w:val="18"/>
        </w:rPr>
        <w:t xml:space="preserve">Please Note: </w:t>
      </w:r>
      <w:r w:rsidRPr="00F943A8">
        <w:rPr>
          <w:i/>
          <w:sz w:val="18"/>
        </w:rPr>
        <w:t xml:space="preserve">This table is to be used as a guide only. For questions about how to dilute specific products please refer to the relevant Material Safety Data Sheet (MSDS) for the specific product being </w:t>
      </w:r>
      <w:proofErr w:type="gramStart"/>
      <w:r w:rsidRPr="00F943A8">
        <w:rPr>
          <w:i/>
          <w:sz w:val="18"/>
        </w:rPr>
        <w:t>used, or</w:t>
      </w:r>
      <w:proofErr w:type="gramEnd"/>
      <w:r w:rsidRPr="00F943A8">
        <w:rPr>
          <w:i/>
          <w:sz w:val="18"/>
        </w:rPr>
        <w:t xml:space="preserve"> contact your supplier or manufacturer of the chemical.</w:t>
      </w:r>
      <w:r w:rsidR="00E85058" w:rsidRPr="00F943A8">
        <w:rPr>
          <w:i/>
          <w:sz w:val="18"/>
        </w:rPr>
        <w:t xml:space="preserve"> </w:t>
      </w:r>
    </w:p>
    <w:p w:rsidR="00CB49AA" w:rsidRPr="00DE0D2C" w:rsidRDefault="00CB49AA" w:rsidP="00CB49AA">
      <w:pPr>
        <w:pStyle w:val="DHHSbody"/>
        <w:rPr>
          <w:b/>
        </w:rPr>
      </w:pPr>
      <w:r w:rsidRPr="00DE0D2C">
        <w:rPr>
          <w:b/>
        </w:rPr>
        <w:t>Milton tablets are not validated for use as a surface disinfectant and are not recommended for this purpose.</w:t>
      </w:r>
      <w:r w:rsidR="00E85058" w:rsidRPr="00DE0D2C">
        <w:rPr>
          <w:b/>
        </w:rPr>
        <w:t xml:space="preserve"> Please turn over for important safety note</w:t>
      </w:r>
      <w:r w:rsidR="00187D77" w:rsidRPr="00DE0D2C">
        <w:rPr>
          <w:b/>
        </w:rPr>
        <w:t>s, and chlorine dilution formula.</w:t>
      </w:r>
    </w:p>
    <w:p w:rsidR="00DE0D2C" w:rsidRDefault="00DE0D2C" w:rsidP="00CB49AA">
      <w:pPr>
        <w:pStyle w:val="DHHSbody"/>
        <w:rPr>
          <w:b/>
          <w:sz w:val="24"/>
        </w:rPr>
        <w:sectPr w:rsidR="00DE0D2C" w:rsidSect="00F01E5F">
          <w:headerReference w:type="even" r:id="rId14"/>
          <w:headerReference w:type="default" r:id="rId15"/>
          <w:footerReference w:type="default" r:id="rId16"/>
          <w:headerReference w:type="first" r:id="rId17"/>
          <w:type w:val="continuous"/>
          <w:pgSz w:w="11906" w:h="16838" w:code="9"/>
          <w:pgMar w:top="1418" w:right="851" w:bottom="1134" w:left="851" w:header="567" w:footer="510" w:gutter="0"/>
          <w:cols w:space="340"/>
          <w:titlePg/>
          <w:docGrid w:linePitch="360"/>
        </w:sectPr>
      </w:pPr>
    </w:p>
    <w:p w:rsidR="008D311C" w:rsidRPr="008D311C" w:rsidRDefault="008D311C" w:rsidP="008D311C">
      <w:pPr>
        <w:spacing w:after="120" w:line="270" w:lineRule="atLeast"/>
        <w:rPr>
          <w:rFonts w:ascii="Arial" w:hAnsi="Arial"/>
          <w:b/>
          <w:color w:val="201547"/>
          <w:sz w:val="28"/>
          <w:szCs w:val="28"/>
        </w:rPr>
      </w:pPr>
      <w:r w:rsidRPr="008D311C">
        <w:rPr>
          <w:rFonts w:ascii="Arial" w:hAnsi="Arial"/>
          <w:b/>
          <w:color w:val="201547"/>
          <w:sz w:val="28"/>
          <w:szCs w:val="28"/>
        </w:rPr>
        <w:lastRenderedPageBreak/>
        <w:t xml:space="preserve">Chlorine dilutions calculator </w:t>
      </w:r>
    </w:p>
    <w:p w:rsidR="008D311C" w:rsidRDefault="008D311C" w:rsidP="008D311C">
      <w:pPr>
        <w:pStyle w:val="DHHSbody"/>
      </w:pPr>
      <w:r w:rsidRPr="008D311C">
        <w:t>For other concentrations of chlorine-based sanitisers not listed in the tables above, please use the following link to calculate the dilution of your disinfectant:</w:t>
      </w:r>
      <w:r w:rsidRPr="008D311C">
        <w:rPr>
          <w:sz w:val="16"/>
        </w:rPr>
        <w:t xml:space="preserve">  </w:t>
      </w:r>
      <w:hyperlink r:id="rId18" w:history="1">
        <w:r w:rsidRPr="008D311C">
          <w:rPr>
            <w:color w:val="3366FF"/>
            <w:u w:val="dotted"/>
          </w:rPr>
          <w:t>https://www2.health.vic.gov.au/public-health/infectious-diseases/infection-control-guidelines/chlorine-dilutions-calculator</w:t>
        </w:r>
      </w:hyperlink>
    </w:p>
    <w:p w:rsidR="00187D77" w:rsidRDefault="002028E7" w:rsidP="002028E7">
      <w:pPr>
        <w:pStyle w:val="Heading2"/>
      </w:pPr>
      <w:r>
        <w:t>Note:</w:t>
      </w:r>
    </w:p>
    <w:p w:rsidR="004D05E9" w:rsidRDefault="004D05E9" w:rsidP="004D05E9">
      <w:pPr>
        <w:pStyle w:val="DHHSbullet1"/>
      </w:pPr>
      <w:r>
        <w:t>Ensure that all environmental surfaces have been cleaned with hot water and detergent (so they are free of vomit, faeces or any other organic matter) before the sanitiser is applied.</w:t>
      </w:r>
    </w:p>
    <w:p w:rsidR="002028E7" w:rsidRDefault="002028E7" w:rsidP="002028E7">
      <w:pPr>
        <w:pStyle w:val="DHHSbullet1"/>
      </w:pPr>
      <w:proofErr w:type="gramStart"/>
      <w:r w:rsidRPr="00B97D88">
        <w:t>Sufficient</w:t>
      </w:r>
      <w:proofErr w:type="gramEnd"/>
      <w:r w:rsidRPr="00B97D88">
        <w:t xml:space="preserve"> time is required to kill the virus – </w:t>
      </w:r>
      <w:r w:rsidRPr="00B97D88">
        <w:rPr>
          <w:b/>
        </w:rPr>
        <w:t>at least 10 minutes contact time</w:t>
      </w:r>
      <w:r w:rsidRPr="00B97D88">
        <w:t>.</w:t>
      </w:r>
      <w:r>
        <w:t xml:space="preserve"> </w:t>
      </w:r>
    </w:p>
    <w:p w:rsidR="002028E7" w:rsidRDefault="002028E7" w:rsidP="002028E7">
      <w:pPr>
        <w:pStyle w:val="DHHSbullet1"/>
      </w:pPr>
      <w:r w:rsidRPr="00B97D88">
        <w:t xml:space="preserve">Chlorine solutions </w:t>
      </w:r>
      <w:r w:rsidRPr="00B97D88">
        <w:rPr>
          <w:b/>
        </w:rPr>
        <w:t>must be made up prior to use</w:t>
      </w:r>
      <w:r w:rsidRPr="00B97D88">
        <w:t xml:space="preserve"> as the chlorine deteriorates over time.</w:t>
      </w:r>
    </w:p>
    <w:p w:rsidR="002028E7" w:rsidRDefault="002028E7" w:rsidP="002028E7">
      <w:pPr>
        <w:pStyle w:val="DHHSbullet1"/>
      </w:pPr>
      <w:r>
        <w:t>Chlorine solutions should be used mainly on hard, non-porous surfaces.</w:t>
      </w:r>
    </w:p>
    <w:p w:rsidR="002028E7" w:rsidRDefault="002028E7" w:rsidP="002028E7">
      <w:pPr>
        <w:pStyle w:val="DHHSbullet1"/>
      </w:pPr>
      <w:r>
        <w:t xml:space="preserve">Check the </w:t>
      </w:r>
      <w:r w:rsidR="004D05E9">
        <w:t xml:space="preserve">expiration dates of your bleach </w:t>
      </w:r>
      <w:r>
        <w:t xml:space="preserve">or </w:t>
      </w:r>
      <w:r w:rsidR="004D05E9">
        <w:t xml:space="preserve">chemical </w:t>
      </w:r>
      <w:r>
        <w:t>sanitiser to ensure the active ingredients are still effective.</w:t>
      </w:r>
    </w:p>
    <w:p w:rsidR="002028E7" w:rsidRDefault="002028E7" w:rsidP="002028E7">
      <w:pPr>
        <w:pStyle w:val="DHHSbullet1"/>
      </w:pPr>
      <w:r>
        <w:t>Ensure your staff know how to correctly use your bleach solution or chemical sanitiser.</w:t>
      </w:r>
    </w:p>
    <w:p w:rsidR="00CB49AA" w:rsidRDefault="00CB49AA" w:rsidP="00187D77">
      <w:pPr>
        <w:pStyle w:val="Heading2"/>
      </w:pPr>
      <w:r>
        <w:t>Important safety notes</w:t>
      </w:r>
      <w:r w:rsidR="00DE0D2C">
        <w:t xml:space="preserve"> for use of sanitising solutions</w:t>
      </w:r>
      <w:r>
        <w:t>:</w:t>
      </w:r>
    </w:p>
    <w:p w:rsidR="00E61803" w:rsidRPr="00CB49AA" w:rsidRDefault="00E61803" w:rsidP="00E61803">
      <w:pPr>
        <w:pStyle w:val="DHHSbullet1"/>
      </w:pPr>
      <w:r w:rsidRPr="00CB49AA">
        <w:t xml:space="preserve">Use gloves and wear protective eye wear when preparing chlorine solutions. </w:t>
      </w:r>
    </w:p>
    <w:p w:rsidR="00CB49AA" w:rsidRPr="00CB49AA" w:rsidRDefault="00DE0D2C" w:rsidP="00CB49AA">
      <w:pPr>
        <w:pStyle w:val="DHHSbullet1"/>
      </w:pPr>
      <w:r>
        <w:t>When using bleach, i</w:t>
      </w:r>
      <w:r w:rsidR="00CB49AA" w:rsidRPr="00CB49AA">
        <w:t xml:space="preserve">t is safer to add chlorine to water – </w:t>
      </w:r>
      <w:r w:rsidR="00CB49AA" w:rsidRPr="00CB49AA">
        <w:rPr>
          <w:b/>
        </w:rPr>
        <w:t>do not</w:t>
      </w:r>
      <w:r w:rsidR="00CB49AA" w:rsidRPr="00CB49AA">
        <w:t xml:space="preserve"> add water to chlorine</w:t>
      </w:r>
      <w:r>
        <w:t>.</w:t>
      </w:r>
    </w:p>
    <w:p w:rsidR="00CB49AA" w:rsidRDefault="00CB49AA" w:rsidP="00CB49AA">
      <w:pPr>
        <w:pStyle w:val="DHHSbullet1"/>
      </w:pPr>
      <w:r w:rsidRPr="00CB49AA">
        <w:t>Do not heat water up to make chlorine solutions – cold water is safer.</w:t>
      </w:r>
    </w:p>
    <w:p w:rsidR="00DE0D2C" w:rsidRPr="00CB49AA" w:rsidRDefault="00DE0D2C" w:rsidP="00DE0D2C">
      <w:pPr>
        <w:pStyle w:val="DHHSbullet1"/>
      </w:pPr>
      <w:r w:rsidRPr="00CB49AA">
        <w:t>Do not mix with any other chemical.</w:t>
      </w:r>
    </w:p>
    <w:p w:rsidR="00CB49AA" w:rsidRPr="00CB49AA" w:rsidRDefault="00CB49AA" w:rsidP="00CB49AA">
      <w:pPr>
        <w:pStyle w:val="DHHSbullet1"/>
      </w:pPr>
      <w:r w:rsidRPr="00CB49AA">
        <w:t xml:space="preserve">Mix in a </w:t>
      </w:r>
      <w:proofErr w:type="gramStart"/>
      <w:r w:rsidRPr="00CB49AA">
        <w:t>well ventilated</w:t>
      </w:r>
      <w:proofErr w:type="gramEnd"/>
      <w:r w:rsidRPr="00CB49AA">
        <w:t xml:space="preserve"> room</w:t>
      </w:r>
    </w:p>
    <w:p w:rsidR="00CB49AA" w:rsidRDefault="00CB49AA" w:rsidP="00CB49AA">
      <w:pPr>
        <w:pStyle w:val="DHHSbullet1"/>
      </w:pPr>
      <w:r w:rsidRPr="00CB49AA">
        <w:t xml:space="preserve">Follow safety, storage and handling instructions on all bleach and </w:t>
      </w:r>
      <w:r w:rsidR="00E61803" w:rsidRPr="00CB49AA">
        <w:t>c</w:t>
      </w:r>
      <w:r w:rsidR="00E61803">
        <w:t>hemical</w:t>
      </w:r>
      <w:r w:rsidR="00E61803" w:rsidRPr="00CB49AA">
        <w:t xml:space="preserve"> </w:t>
      </w:r>
      <w:r w:rsidRPr="00CB49AA">
        <w:t xml:space="preserve">containers. </w:t>
      </w:r>
    </w:p>
    <w:p w:rsidR="008E3292" w:rsidRPr="00CB49AA" w:rsidRDefault="008E3292" w:rsidP="008E3292">
      <w:pPr>
        <w:pStyle w:val="DHHSbullet1"/>
      </w:pPr>
      <w:r w:rsidRPr="00CB49AA">
        <w:t>Use chlorine carefully as it is corrosive to metals, damages fabrics/textiles and may irritate the skin, nose and lungs.</w:t>
      </w:r>
    </w:p>
    <w:p w:rsidR="00DE0D2C" w:rsidRDefault="00DE0D2C" w:rsidP="00DE0D2C">
      <w:pPr>
        <w:pStyle w:val="DHHSbullet1"/>
      </w:pPr>
      <w:r>
        <w:t xml:space="preserve">Ensure that all chemicals are labelled and stored separately </w:t>
      </w:r>
      <w:proofErr w:type="gramStart"/>
      <w:r>
        <w:t>so as to</w:t>
      </w:r>
      <w:proofErr w:type="gramEnd"/>
      <w:r>
        <w:t xml:space="preserve"> prevent the likelihood of food being contaminated.</w:t>
      </w:r>
    </w:p>
    <w:p w:rsidR="00CB49AA" w:rsidRDefault="00DE0D2C" w:rsidP="00CB49AA">
      <w:pPr>
        <w:pStyle w:val="DHHSbullet1"/>
      </w:pPr>
      <w:r w:rsidRPr="00DE0D2C">
        <w:rPr>
          <w:u w:val="single"/>
        </w:rPr>
        <w:t>Bleach solutions should NEVER be applied using a spray bottle.</w:t>
      </w:r>
      <w:r>
        <w:t xml:space="preserve"> This is an Occupational Health and Safety Hazard.</w:t>
      </w:r>
      <w:bookmarkStart w:id="3" w:name="_GoBack"/>
      <w:bookmarkEnd w:id="3"/>
    </w:p>
    <w:sectPr w:rsidR="00CB49AA" w:rsidSect="00DE0D2C">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222" w:rsidRDefault="00EE2222">
      <w:r>
        <w:separator/>
      </w:r>
    </w:p>
  </w:endnote>
  <w:endnote w:type="continuationSeparator" w:id="0">
    <w:p w:rsidR="00EE2222" w:rsidRDefault="00EE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91240B"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0106773"/>
      <w:docPartObj>
        <w:docPartGallery w:val="Page Numbers (Bottom of Page)"/>
        <w:docPartUnique/>
      </w:docPartObj>
    </w:sdtPr>
    <w:sdtEndPr>
      <w:rPr>
        <w:noProof/>
      </w:rPr>
    </w:sdtEndPr>
    <w:sdtContent>
      <w:p w:rsidR="00743FDB" w:rsidRDefault="00743FDB">
        <w:pPr>
          <w:pStyle w:val="Footer"/>
          <w:jc w:val="right"/>
        </w:pPr>
        <w:r>
          <w:fldChar w:fldCharType="begin"/>
        </w:r>
        <w:r>
          <w:instrText xml:space="preserve"> PAGE   \* MERGEFORMAT </w:instrText>
        </w:r>
        <w:r>
          <w:fldChar w:fldCharType="separate"/>
        </w:r>
        <w:r w:rsidR="00E42DEC">
          <w:rPr>
            <w:noProof/>
          </w:rPr>
          <w:t>2</w:t>
        </w:r>
        <w:r>
          <w:rPr>
            <w:noProof/>
          </w:rPr>
          <w:fldChar w:fldCharType="end"/>
        </w:r>
      </w:p>
    </w:sdtContent>
  </w:sdt>
  <w:p w:rsidR="00BC5E69" w:rsidRDefault="00743FDB">
    <w:pPr>
      <w:pStyle w:val="Footer"/>
    </w:pPr>
    <w:r>
      <w:t>Appendix 1: Guidance for the dilution of chlorine-based solutions required for disinfection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9D70A4" w:rsidP="0051568D">
    <w:pPr>
      <w:pStyle w:val="DHHSfooter"/>
    </w:pP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sidR="00DE0D2C">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222" w:rsidRDefault="00EE2222" w:rsidP="002862F1">
      <w:pPr>
        <w:spacing w:before="120"/>
      </w:pPr>
      <w:r>
        <w:separator/>
      </w:r>
    </w:p>
  </w:footnote>
  <w:footnote w:type="continuationSeparator" w:id="0">
    <w:p w:rsidR="00EE2222" w:rsidRDefault="00EE2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69" w:rsidRDefault="00BC5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69" w:rsidRDefault="00BC5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69" w:rsidRDefault="00BC5E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69" w:rsidRDefault="00BC5E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69" w:rsidRDefault="00BC5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96B43D9"/>
    <w:multiLevelType w:val="hybridMultilevel"/>
    <w:tmpl w:val="86CE0F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D88"/>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23FD"/>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55C99"/>
    <w:rsid w:val="00161939"/>
    <w:rsid w:val="00161AA0"/>
    <w:rsid w:val="00162093"/>
    <w:rsid w:val="001771DD"/>
    <w:rsid w:val="00177995"/>
    <w:rsid w:val="00177A8C"/>
    <w:rsid w:val="00186B33"/>
    <w:rsid w:val="00187D77"/>
    <w:rsid w:val="00192F9D"/>
    <w:rsid w:val="00196EB8"/>
    <w:rsid w:val="001979FF"/>
    <w:rsid w:val="00197B17"/>
    <w:rsid w:val="001A3ACE"/>
    <w:rsid w:val="001B4E29"/>
    <w:rsid w:val="001C277E"/>
    <w:rsid w:val="001C2A72"/>
    <w:rsid w:val="001D0B75"/>
    <w:rsid w:val="001D3C09"/>
    <w:rsid w:val="001D44E8"/>
    <w:rsid w:val="001D60EC"/>
    <w:rsid w:val="001E44DF"/>
    <w:rsid w:val="001E68A5"/>
    <w:rsid w:val="001E6BB0"/>
    <w:rsid w:val="001F3826"/>
    <w:rsid w:val="001F6E46"/>
    <w:rsid w:val="001F7C91"/>
    <w:rsid w:val="002028E7"/>
    <w:rsid w:val="00206463"/>
    <w:rsid w:val="00206F2F"/>
    <w:rsid w:val="0021053D"/>
    <w:rsid w:val="00210A92"/>
    <w:rsid w:val="00216C03"/>
    <w:rsid w:val="00220C04"/>
    <w:rsid w:val="0022278D"/>
    <w:rsid w:val="0022315E"/>
    <w:rsid w:val="0022701F"/>
    <w:rsid w:val="002333F5"/>
    <w:rsid w:val="00233724"/>
    <w:rsid w:val="002432E1"/>
    <w:rsid w:val="00246207"/>
    <w:rsid w:val="00246C5E"/>
    <w:rsid w:val="00251343"/>
    <w:rsid w:val="00254184"/>
    <w:rsid w:val="00254F58"/>
    <w:rsid w:val="002620BC"/>
    <w:rsid w:val="00262802"/>
    <w:rsid w:val="00263A90"/>
    <w:rsid w:val="0026408B"/>
    <w:rsid w:val="00267C3E"/>
    <w:rsid w:val="002709BB"/>
    <w:rsid w:val="002763B3"/>
    <w:rsid w:val="002802E3"/>
    <w:rsid w:val="0028213D"/>
    <w:rsid w:val="002862F1"/>
    <w:rsid w:val="00291373"/>
    <w:rsid w:val="0029597D"/>
    <w:rsid w:val="00296027"/>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0867"/>
    <w:rsid w:val="00314054"/>
    <w:rsid w:val="00316F27"/>
    <w:rsid w:val="00327870"/>
    <w:rsid w:val="0033259D"/>
    <w:rsid w:val="00335100"/>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3763D"/>
    <w:rsid w:val="004409B1"/>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05E9"/>
    <w:rsid w:val="004D1B22"/>
    <w:rsid w:val="004D36F2"/>
    <w:rsid w:val="004E138F"/>
    <w:rsid w:val="004E4649"/>
    <w:rsid w:val="004E5C2B"/>
    <w:rsid w:val="004F00DD"/>
    <w:rsid w:val="004F2133"/>
    <w:rsid w:val="004F2C2B"/>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46B41"/>
    <w:rsid w:val="0065092E"/>
    <w:rsid w:val="006557A7"/>
    <w:rsid w:val="00656290"/>
    <w:rsid w:val="006621D7"/>
    <w:rsid w:val="0066302A"/>
    <w:rsid w:val="00670597"/>
    <w:rsid w:val="006706D0"/>
    <w:rsid w:val="00677574"/>
    <w:rsid w:val="0068454C"/>
    <w:rsid w:val="00691B62"/>
    <w:rsid w:val="00693D14"/>
    <w:rsid w:val="006957A5"/>
    <w:rsid w:val="006A11F2"/>
    <w:rsid w:val="006A18C2"/>
    <w:rsid w:val="006B077C"/>
    <w:rsid w:val="006B6803"/>
    <w:rsid w:val="006D2A3F"/>
    <w:rsid w:val="006D2FBC"/>
    <w:rsid w:val="006D5343"/>
    <w:rsid w:val="006E138B"/>
    <w:rsid w:val="006F1FDC"/>
    <w:rsid w:val="007013EF"/>
    <w:rsid w:val="007173CA"/>
    <w:rsid w:val="007216AA"/>
    <w:rsid w:val="00721AB5"/>
    <w:rsid w:val="00721DEF"/>
    <w:rsid w:val="00724A43"/>
    <w:rsid w:val="007346E4"/>
    <w:rsid w:val="00740F22"/>
    <w:rsid w:val="00741F1A"/>
    <w:rsid w:val="00743FDB"/>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311C"/>
    <w:rsid w:val="008D4236"/>
    <w:rsid w:val="008D462F"/>
    <w:rsid w:val="008D6DCF"/>
    <w:rsid w:val="008E3292"/>
    <w:rsid w:val="008E4376"/>
    <w:rsid w:val="008E7A0A"/>
    <w:rsid w:val="008F7F6E"/>
    <w:rsid w:val="00900719"/>
    <w:rsid w:val="009017AC"/>
    <w:rsid w:val="00904A1C"/>
    <w:rsid w:val="00905030"/>
    <w:rsid w:val="00906490"/>
    <w:rsid w:val="009111B2"/>
    <w:rsid w:val="0091240B"/>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97D88"/>
    <w:rsid w:val="00BA3F8D"/>
    <w:rsid w:val="00BB7A10"/>
    <w:rsid w:val="00BC5E69"/>
    <w:rsid w:val="00BC7468"/>
    <w:rsid w:val="00BC7D4F"/>
    <w:rsid w:val="00BC7ED7"/>
    <w:rsid w:val="00BD2850"/>
    <w:rsid w:val="00BE28D2"/>
    <w:rsid w:val="00BE4A64"/>
    <w:rsid w:val="00BF7F58"/>
    <w:rsid w:val="00C01381"/>
    <w:rsid w:val="00C014F7"/>
    <w:rsid w:val="00C079B8"/>
    <w:rsid w:val="00C123EA"/>
    <w:rsid w:val="00C12A49"/>
    <w:rsid w:val="00C133EE"/>
    <w:rsid w:val="00C24CCA"/>
    <w:rsid w:val="00C27DE9"/>
    <w:rsid w:val="00C33388"/>
    <w:rsid w:val="00C35484"/>
    <w:rsid w:val="00C4173A"/>
    <w:rsid w:val="00C4575A"/>
    <w:rsid w:val="00C602FF"/>
    <w:rsid w:val="00C60DBD"/>
    <w:rsid w:val="00C61174"/>
    <w:rsid w:val="00C6148F"/>
    <w:rsid w:val="00C62F7A"/>
    <w:rsid w:val="00C63B9C"/>
    <w:rsid w:val="00C6682F"/>
    <w:rsid w:val="00C7275E"/>
    <w:rsid w:val="00C74C5D"/>
    <w:rsid w:val="00C863C4"/>
    <w:rsid w:val="00C93C3E"/>
    <w:rsid w:val="00CA12E3"/>
    <w:rsid w:val="00CA6611"/>
    <w:rsid w:val="00CA6AE6"/>
    <w:rsid w:val="00CA782F"/>
    <w:rsid w:val="00CB49AA"/>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664DB"/>
    <w:rsid w:val="00D714CC"/>
    <w:rsid w:val="00D751E7"/>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0D2C"/>
    <w:rsid w:val="00DE3250"/>
    <w:rsid w:val="00DE6028"/>
    <w:rsid w:val="00DE78A3"/>
    <w:rsid w:val="00DF1A71"/>
    <w:rsid w:val="00DF68C7"/>
    <w:rsid w:val="00DF731A"/>
    <w:rsid w:val="00E170DC"/>
    <w:rsid w:val="00E26818"/>
    <w:rsid w:val="00E27FFC"/>
    <w:rsid w:val="00E30B15"/>
    <w:rsid w:val="00E40181"/>
    <w:rsid w:val="00E42DEC"/>
    <w:rsid w:val="00E56A01"/>
    <w:rsid w:val="00E61803"/>
    <w:rsid w:val="00E629A1"/>
    <w:rsid w:val="00E71591"/>
    <w:rsid w:val="00E82C55"/>
    <w:rsid w:val="00E85058"/>
    <w:rsid w:val="00E92AC3"/>
    <w:rsid w:val="00EB00E0"/>
    <w:rsid w:val="00EC059F"/>
    <w:rsid w:val="00EC1F24"/>
    <w:rsid w:val="00EC22F6"/>
    <w:rsid w:val="00ED5B9B"/>
    <w:rsid w:val="00ED6BAD"/>
    <w:rsid w:val="00ED7447"/>
    <w:rsid w:val="00EE1488"/>
    <w:rsid w:val="00EE2222"/>
    <w:rsid w:val="00EE4D5D"/>
    <w:rsid w:val="00EE5131"/>
    <w:rsid w:val="00EF05F0"/>
    <w:rsid w:val="00EF109B"/>
    <w:rsid w:val="00EF36AF"/>
    <w:rsid w:val="00EF5117"/>
    <w:rsid w:val="00F00E53"/>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943A8"/>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417A55"/>
  <w15:docId w15:val="{F8369E17-A857-41D4-BF51-C741611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B49AA"/>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CB49AA"/>
    <w:rPr>
      <w:rFonts w:ascii="Tahoma" w:hAnsi="Tahoma" w:cs="Tahoma"/>
      <w:sz w:val="16"/>
      <w:szCs w:val="16"/>
    </w:rPr>
  </w:style>
  <w:style w:type="character" w:customStyle="1" w:styleId="BalloonTextChar">
    <w:name w:val="Balloon Text Char"/>
    <w:basedOn w:val="DefaultParagraphFont"/>
    <w:link w:val="BalloonText"/>
    <w:uiPriority w:val="99"/>
    <w:semiHidden/>
    <w:rsid w:val="00CB49AA"/>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FooterChar">
    <w:name w:val="Footer Char"/>
    <w:basedOn w:val="DefaultParagraphFont"/>
    <w:link w:val="Footer"/>
    <w:uiPriority w:val="99"/>
    <w:rsid w:val="00743FDB"/>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2.health.vic.gov.au/public-health/infectious-diseases/infection-control-guidelines/chlorine-dilutions-calculat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153F9-7E5B-4912-A128-41D79433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Template>
  <TotalTime>27</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4156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Sturge</dc:creator>
  <cp:lastModifiedBy>Spiro Iliopoulos (DHHS)</cp:lastModifiedBy>
  <cp:revision>7</cp:revision>
  <cp:lastPrinted>2018-11-12T03:00:00Z</cp:lastPrinted>
  <dcterms:created xsi:type="dcterms:W3CDTF">2018-11-23T01:05:00Z</dcterms:created>
  <dcterms:modified xsi:type="dcterms:W3CDTF">2019-03-28T22:58:00Z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