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846D3F" w:rsidP="00AD784C">
      <w:pPr>
        <w:pStyle w:val="Spacerparatopoffirstpage"/>
      </w:pPr>
      <w:bookmarkStart w:id="0" w:name="_GoBack"/>
      <w:bookmarkEnd w:id="0"/>
      <w:permStart w:id="225524159" w:edGrp="everyone"/>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251075"/>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251075"/>
                    </a:xfrm>
                    <a:prstGeom prst="rect">
                      <a:avLst/>
                    </a:prstGeom>
                    <a:noFill/>
                    <a:ln>
                      <a:noFill/>
                    </a:ln>
                  </pic:spPr>
                </pic:pic>
              </a:graphicData>
            </a:graphic>
            <wp14:sizeRelH relativeFrom="page">
              <wp14:pctWidth>0</wp14:pctWidth>
            </wp14:sizeRelH>
            <wp14:sizeRelV relativeFrom="page">
              <wp14:pctHeight>0</wp14:pctHeight>
            </wp14:sizeRelV>
          </wp:anchor>
        </w:drawing>
      </w:r>
      <w:permEnd w:id="225524159"/>
    </w:p>
    <w:p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7712"/>
      </w:tblGrid>
      <w:tr w:rsidR="00AD784C" w:rsidTr="00A971A0">
        <w:trPr>
          <w:trHeight w:val="451"/>
        </w:trPr>
        <w:tc>
          <w:tcPr>
            <w:tcW w:w="7712" w:type="dxa"/>
            <w:shd w:val="clear" w:color="auto" w:fill="auto"/>
            <w:vAlign w:val="bottom"/>
          </w:tcPr>
          <w:p w:rsidR="00AD784C" w:rsidRPr="00161AA0" w:rsidRDefault="00102992" w:rsidP="00A91406">
            <w:pPr>
              <w:pStyle w:val="DHHSmainheading"/>
            </w:pPr>
            <w:r w:rsidRPr="00102992">
              <w:rPr>
                <w:sz w:val="40"/>
              </w:rPr>
              <w:t>Appendix 6A: Environmental cleaning and control measures –</w:t>
            </w:r>
            <w:r w:rsidR="001F0162">
              <w:rPr>
                <w:sz w:val="40"/>
              </w:rPr>
              <w:t xml:space="preserve"> Instructions</w:t>
            </w:r>
            <w:r w:rsidRPr="00102992">
              <w:rPr>
                <w:sz w:val="40"/>
              </w:rPr>
              <w:t xml:space="preserve"> </w:t>
            </w:r>
            <w:proofErr w:type="gramStart"/>
            <w:r w:rsidR="001F0162">
              <w:rPr>
                <w:sz w:val="40"/>
              </w:rPr>
              <w:t>For</w:t>
            </w:r>
            <w:proofErr w:type="gramEnd"/>
            <w:r w:rsidR="001F0162">
              <w:rPr>
                <w:sz w:val="40"/>
              </w:rPr>
              <w:t xml:space="preserve"> Food Premises Proprietors</w:t>
            </w:r>
          </w:p>
        </w:tc>
      </w:tr>
      <w:tr w:rsidR="00AD784C" w:rsidTr="00A971A0">
        <w:trPr>
          <w:trHeight w:hRule="exact" w:val="897"/>
        </w:trPr>
        <w:tc>
          <w:tcPr>
            <w:tcW w:w="7712" w:type="dxa"/>
            <w:shd w:val="clear" w:color="auto" w:fill="auto"/>
            <w:tcMar>
              <w:top w:w="170" w:type="dxa"/>
              <w:bottom w:w="510" w:type="dxa"/>
            </w:tcMar>
          </w:tcPr>
          <w:p w:rsidR="00357B4E" w:rsidRPr="00AD784C" w:rsidRDefault="00102992" w:rsidP="00357B4E">
            <w:pPr>
              <w:pStyle w:val="DHHSmainsubheading"/>
              <w:rPr>
                <w:szCs w:val="28"/>
              </w:rPr>
            </w:pPr>
            <w:r>
              <w:rPr>
                <w:szCs w:val="28"/>
              </w:rPr>
              <w:t>Guidelines for the investigation of gastroenteritis for Environmental Health Officers</w:t>
            </w:r>
          </w:p>
        </w:tc>
      </w:tr>
    </w:tbl>
    <w:p w:rsidR="007173CA" w:rsidRDefault="007173CA" w:rsidP="007173CA">
      <w:pPr>
        <w:pStyle w:val="DHHSbody"/>
        <w:sectPr w:rsidR="007173CA"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bookmarkStart w:id="1" w:name="_Toc440566508"/>
    </w:p>
    <w:bookmarkEnd w:id="1"/>
    <w:p w:rsidR="00893AF6" w:rsidRPr="00913037" w:rsidRDefault="00102992" w:rsidP="001F0162">
      <w:pPr>
        <w:pStyle w:val="Heading4"/>
      </w:pPr>
      <w:r w:rsidRPr="00913037">
        <w:t xml:space="preserve">NOTE: </w:t>
      </w:r>
      <w:r w:rsidR="00E53C1B" w:rsidRPr="00913037">
        <w:t>A</w:t>
      </w:r>
      <w:r w:rsidRPr="00913037">
        <w:t xml:space="preserve"> copy of Appendix 1</w:t>
      </w:r>
      <w:r w:rsidR="008231DB">
        <w:t>A</w:t>
      </w:r>
      <w:r w:rsidRPr="00913037">
        <w:t xml:space="preserve"> – Guidance for the dilution of chlorine-based solutions required for disinfection, </w:t>
      </w:r>
      <w:r w:rsidR="00E53C1B" w:rsidRPr="00913037">
        <w:t xml:space="preserve">should be provided </w:t>
      </w:r>
      <w:r w:rsidRPr="00913037">
        <w:t>with this document.</w:t>
      </w:r>
      <w:r w:rsidR="00E53C1B" w:rsidRPr="00913037">
        <w:t xml:space="preserve"> Please use </w:t>
      </w:r>
      <w:r w:rsidR="008231DB">
        <w:t>this</w:t>
      </w:r>
      <w:r w:rsidR="00E53C1B" w:rsidRPr="00913037">
        <w:t xml:space="preserve"> to assist you with dilutions.</w:t>
      </w:r>
    </w:p>
    <w:p w:rsidR="00102992" w:rsidRPr="00102992" w:rsidRDefault="00102992" w:rsidP="00102992">
      <w:pPr>
        <w:pStyle w:val="DHHSbody"/>
      </w:pPr>
      <w:r w:rsidRPr="00102992">
        <w:rPr>
          <w:lang w:val="en-US"/>
        </w:rPr>
        <w:t xml:space="preserve">The following is a guide to the steps that need to be followed to ensure that the </w:t>
      </w:r>
      <w:r w:rsidR="00E53C1B">
        <w:rPr>
          <w:lang w:val="en-US"/>
        </w:rPr>
        <w:t xml:space="preserve">cleaning and </w:t>
      </w:r>
      <w:r w:rsidRPr="00102992">
        <w:rPr>
          <w:lang w:val="en-US"/>
        </w:rPr>
        <w:t xml:space="preserve">control measures implemented during an </w:t>
      </w:r>
      <w:r w:rsidR="00EC6231">
        <w:rPr>
          <w:lang w:val="en-US"/>
        </w:rPr>
        <w:t>investigation</w:t>
      </w:r>
      <w:r w:rsidRPr="00102992">
        <w:rPr>
          <w:lang w:val="en-US"/>
        </w:rPr>
        <w:t xml:space="preserve"> are effective. Your council Environmental Health Officer (EHO) will be supervising the following to ensure it is completed in accordance with the guidelines.</w:t>
      </w:r>
    </w:p>
    <w:p w:rsidR="00102992" w:rsidRDefault="00FA0D7C" w:rsidP="00043FB1">
      <w:pPr>
        <w:pStyle w:val="Heading2"/>
      </w:pPr>
      <w:r>
        <w:t xml:space="preserve">1. </w:t>
      </w:r>
      <w:r w:rsidR="00102992">
        <w:t>Environmental cleaning and sanitising</w:t>
      </w:r>
    </w:p>
    <w:p w:rsidR="00826D4F" w:rsidRDefault="00867700" w:rsidP="00102992">
      <w:pPr>
        <w:pStyle w:val="DHHSbody"/>
      </w:pPr>
      <w:r>
        <w:t>Cleaning and sanitising should be done as</w:t>
      </w:r>
      <w:r w:rsidR="00826D4F">
        <w:t xml:space="preserve"> separate </w:t>
      </w:r>
      <w:r>
        <w:t>processes</w:t>
      </w:r>
      <w:r w:rsidR="00826D4F">
        <w:t>. A surface needs to be thoroughly cleaned (with detergent) before it is sanitised, as sanitisers generally do not work well in the presence of food residues</w:t>
      </w:r>
      <w:r w:rsidR="00A56BF2">
        <w:t>.</w:t>
      </w:r>
    </w:p>
    <w:p w:rsidR="00102992" w:rsidRDefault="00102992" w:rsidP="00102992">
      <w:pPr>
        <w:pStyle w:val="DHHSbody"/>
      </w:pPr>
      <w:r>
        <w:t xml:space="preserve">The cleaning of surfaces </w:t>
      </w:r>
      <w:r w:rsidR="007446F9">
        <w:t xml:space="preserve">(in food handling areas and food contact surfaces) </w:t>
      </w:r>
      <w:r>
        <w:t>should be undertaken as follows:</w:t>
      </w:r>
    </w:p>
    <w:p w:rsidR="00102992" w:rsidRDefault="00163FD9" w:rsidP="00102992">
      <w:pPr>
        <w:pStyle w:val="DHHSbullet1"/>
      </w:pPr>
      <w:r>
        <w:t xml:space="preserve">Wash: </w:t>
      </w:r>
      <w:r w:rsidR="00102992">
        <w:t xml:space="preserve">use hot water and detergent to </w:t>
      </w:r>
      <w:r w:rsidR="00A56BF2">
        <w:t>removal grease and food residue</w:t>
      </w:r>
      <w:r w:rsidR="00102992">
        <w:t>;</w:t>
      </w:r>
    </w:p>
    <w:p w:rsidR="00A56BF2" w:rsidRDefault="00A56BF2" w:rsidP="00102992">
      <w:pPr>
        <w:pStyle w:val="DHHSbullet1"/>
      </w:pPr>
      <w:r>
        <w:t>Rinse</w:t>
      </w:r>
      <w:r w:rsidR="00E86E26">
        <w:t>: rinse</w:t>
      </w:r>
      <w:r>
        <w:t xml:space="preserve"> off detergent and any loosened residue;</w:t>
      </w:r>
    </w:p>
    <w:p w:rsidR="00E86E26" w:rsidRDefault="00E86E26" w:rsidP="00102992">
      <w:pPr>
        <w:pStyle w:val="DHHSbullet1"/>
      </w:pPr>
      <w:r>
        <w:t>Sanitise: follow the instructions for sanitising (using chemicals, hot water or dishwasher) in the table below;</w:t>
      </w:r>
    </w:p>
    <w:p w:rsidR="00867700" w:rsidRDefault="00867700" w:rsidP="00102992">
      <w:pPr>
        <w:pStyle w:val="DHHSbullet1"/>
      </w:pPr>
      <w:r>
        <w:t>Rinse: wash of the sanitiser, if using bleach or a chemical sanitiser (refer to manufacturer’s instructions;</w:t>
      </w:r>
    </w:p>
    <w:p w:rsidR="00163FD9" w:rsidRDefault="00EF736E" w:rsidP="00163FD9">
      <w:pPr>
        <w:pStyle w:val="DHHSbullet1"/>
      </w:pPr>
      <w:r>
        <w:t>Dry: allow to air</w:t>
      </w:r>
      <w:r w:rsidR="00163FD9">
        <w:t xml:space="preserve"> dry or use single use towels.</w:t>
      </w:r>
      <w:r w:rsidR="00163FD9" w:rsidRPr="003F6DBA">
        <w:t xml:space="preserve"> </w:t>
      </w:r>
    </w:p>
    <w:p w:rsidR="00A62D44" w:rsidRPr="00B57329" w:rsidRDefault="00F348BE" w:rsidP="00EC6231">
      <w:pPr>
        <w:pStyle w:val="Heading3"/>
        <w:spacing w:before="120"/>
      </w:pPr>
      <w:r>
        <w:t>Kitchen and food handling areas (including all serving areas and bars):</w:t>
      </w:r>
    </w:p>
    <w:p w:rsidR="00A62D44" w:rsidRPr="00F348BE" w:rsidRDefault="00F348BE" w:rsidP="002C1C05">
      <w:pPr>
        <w:pStyle w:val="DHHSbullet1"/>
        <w:spacing w:before="240" w:after="120"/>
        <w:rPr>
          <w:b/>
          <w:lang w:val="fr-FR"/>
        </w:rPr>
      </w:pPr>
      <w:r>
        <w:rPr>
          <w:b/>
        </w:rPr>
        <w:t xml:space="preserve">All kitchen and food handling areas </w:t>
      </w:r>
      <w:r>
        <w:t xml:space="preserve">need to be sanitised with a solution of 1000 parts per million (ppm) of available chlorine </w:t>
      </w:r>
      <w:r w:rsidR="002866E5">
        <w:t xml:space="preserve">with a contact time of 10 minutes </w:t>
      </w:r>
      <w:r>
        <w:t>(see chlorine dilutions in appendix 1). This clean-up needs to include all work surfaces, benches, shelving, doors, sinks, floors etc., or any other areas that are possibly contaminated.</w:t>
      </w:r>
    </w:p>
    <w:p w:rsidR="00F348BE" w:rsidRDefault="00F348BE" w:rsidP="002C1C05">
      <w:pPr>
        <w:pStyle w:val="DHHSbullet1"/>
        <w:spacing w:after="120"/>
        <w:rPr>
          <w:lang w:val="fr-FR"/>
        </w:rPr>
      </w:pPr>
      <w:r>
        <w:rPr>
          <w:b/>
          <w:lang w:val="fr-FR"/>
        </w:rPr>
        <w:t xml:space="preserve">All kitchen food contact surfaces </w:t>
      </w:r>
      <w:r>
        <w:rPr>
          <w:lang w:val="fr-FR"/>
        </w:rPr>
        <w:t xml:space="preserve">(such as utensils, equipment, crockery and cutlery) are to be sanitised in one of the following </w:t>
      </w:r>
      <w:proofErr w:type="gramStart"/>
      <w:r>
        <w:rPr>
          <w:lang w:val="fr-FR"/>
        </w:rPr>
        <w:t>ways:</w:t>
      </w:r>
      <w:proofErr w:type="gramEnd"/>
    </w:p>
    <w:tbl>
      <w:tblPr>
        <w:tblStyle w:val="TableGrid"/>
        <w:tblW w:w="0" w:type="auto"/>
        <w:tblInd w:w="250" w:type="dxa"/>
        <w:tblLook w:val="04A0" w:firstRow="1" w:lastRow="0" w:firstColumn="1" w:lastColumn="0" w:noHBand="0" w:noVBand="1"/>
      </w:tblPr>
      <w:tblGrid>
        <w:gridCol w:w="3260"/>
        <w:gridCol w:w="6663"/>
      </w:tblGrid>
      <w:tr w:rsidR="00826D4F" w:rsidTr="00523330">
        <w:tc>
          <w:tcPr>
            <w:tcW w:w="3260" w:type="dxa"/>
          </w:tcPr>
          <w:p w:rsidR="00826D4F" w:rsidRDefault="00826D4F" w:rsidP="00826D4F">
            <w:pPr>
              <w:pStyle w:val="DHHStablecolhead"/>
              <w:rPr>
                <w:lang w:val="fr-FR"/>
              </w:rPr>
            </w:pPr>
            <w:r>
              <w:rPr>
                <w:lang w:val="fr-FR"/>
              </w:rPr>
              <w:t>Sanitising method</w:t>
            </w:r>
          </w:p>
        </w:tc>
        <w:tc>
          <w:tcPr>
            <w:tcW w:w="6663" w:type="dxa"/>
          </w:tcPr>
          <w:p w:rsidR="00826D4F" w:rsidRDefault="00826D4F" w:rsidP="00826D4F">
            <w:pPr>
              <w:pStyle w:val="DHHStablecolhead"/>
              <w:rPr>
                <w:lang w:val="fr-FR"/>
              </w:rPr>
            </w:pPr>
            <w:r>
              <w:rPr>
                <w:lang w:val="fr-FR"/>
              </w:rPr>
              <w:t>Procedure to be followed</w:t>
            </w:r>
          </w:p>
        </w:tc>
      </w:tr>
    </w:tbl>
    <w:p w:rsidR="00EC6231" w:rsidRDefault="00EC6231" w:rsidP="00551A38">
      <w:pPr>
        <w:pStyle w:val="DHHStabletext"/>
        <w:rPr>
          <w:lang w:val="fr-FR"/>
        </w:rPr>
        <w:sectPr w:rsidR="00EC6231" w:rsidSect="00F01E5F">
          <w:type w:val="continuous"/>
          <w:pgSz w:w="11906" w:h="16838" w:code="9"/>
          <w:pgMar w:top="1418" w:right="851" w:bottom="1134" w:left="851" w:header="567" w:footer="510" w:gutter="0"/>
          <w:cols w:space="340"/>
          <w:titlePg/>
          <w:docGrid w:linePitch="360"/>
        </w:sectPr>
      </w:pPr>
    </w:p>
    <w:tbl>
      <w:tblPr>
        <w:tblStyle w:val="TableGrid"/>
        <w:tblW w:w="0" w:type="auto"/>
        <w:tblInd w:w="250" w:type="dxa"/>
        <w:tblLook w:val="04A0" w:firstRow="1" w:lastRow="0" w:firstColumn="1" w:lastColumn="0" w:noHBand="0" w:noVBand="1"/>
      </w:tblPr>
      <w:tblGrid>
        <w:gridCol w:w="3260"/>
        <w:gridCol w:w="6663"/>
      </w:tblGrid>
      <w:tr w:rsidR="00551A38" w:rsidTr="00523330">
        <w:tc>
          <w:tcPr>
            <w:tcW w:w="3260" w:type="dxa"/>
          </w:tcPr>
          <w:p w:rsidR="00551A38" w:rsidRDefault="00E86E26" w:rsidP="00551A38">
            <w:pPr>
              <w:pStyle w:val="DHHStabletext"/>
              <w:rPr>
                <w:lang w:val="fr-FR"/>
              </w:rPr>
            </w:pPr>
            <w:r>
              <w:rPr>
                <w:lang w:val="fr-FR"/>
              </w:rPr>
              <w:t>Soak</w:t>
            </w:r>
            <w:r w:rsidR="00551A38">
              <w:rPr>
                <w:lang w:val="fr-FR"/>
              </w:rPr>
              <w:t xml:space="preserve"> items in hot water</w:t>
            </w:r>
          </w:p>
        </w:tc>
        <w:tc>
          <w:tcPr>
            <w:tcW w:w="6663" w:type="dxa"/>
          </w:tcPr>
          <w:p w:rsidR="005558B4" w:rsidRDefault="00452CEA" w:rsidP="00551A38">
            <w:pPr>
              <w:pStyle w:val="DHHStabletext"/>
              <w:rPr>
                <w:lang w:val="fr-FR"/>
              </w:rPr>
            </w:pPr>
            <w:r>
              <w:rPr>
                <w:lang w:val="fr-FR"/>
              </w:rPr>
              <w:t>At a</w:t>
            </w:r>
            <w:r w:rsidR="00551A38">
              <w:rPr>
                <w:lang w:val="fr-FR"/>
              </w:rPr>
              <w:t xml:space="preserve"> minimum of 77</w:t>
            </w:r>
            <w:r w:rsidR="00551A38">
              <w:rPr>
                <w:lang w:val="fr-FR"/>
              </w:rPr>
              <w:sym w:font="Symbol" w:char="F0B0"/>
            </w:r>
            <w:r w:rsidR="00551A38">
              <w:rPr>
                <w:lang w:val="fr-FR"/>
              </w:rPr>
              <w:t>C for at least 30 seconds</w:t>
            </w:r>
            <w:bookmarkStart w:id="2" w:name="_Ref529780240"/>
            <w:r w:rsidR="005558B4">
              <w:rPr>
                <w:rStyle w:val="EndnoteReference"/>
                <w:lang w:val="fr-FR"/>
              </w:rPr>
              <w:endnoteReference w:id="1"/>
            </w:r>
            <w:bookmarkEnd w:id="2"/>
          </w:p>
        </w:tc>
      </w:tr>
      <w:tr w:rsidR="00551A38" w:rsidTr="00523330">
        <w:tc>
          <w:tcPr>
            <w:tcW w:w="3260" w:type="dxa"/>
          </w:tcPr>
          <w:p w:rsidR="00551A38" w:rsidRDefault="00551A38" w:rsidP="00551A38">
            <w:pPr>
              <w:pStyle w:val="DHHStabletext"/>
              <w:rPr>
                <w:lang w:val="fr-FR"/>
              </w:rPr>
            </w:pPr>
            <w:r>
              <w:rPr>
                <w:lang w:val="fr-FR"/>
              </w:rPr>
              <w:t>Commercial dishwasher</w:t>
            </w:r>
          </w:p>
        </w:tc>
        <w:tc>
          <w:tcPr>
            <w:tcW w:w="6663" w:type="dxa"/>
          </w:tcPr>
          <w:p w:rsidR="00551A38" w:rsidRDefault="00452CEA" w:rsidP="00A45EEE">
            <w:pPr>
              <w:pStyle w:val="DHHStabletext"/>
              <w:rPr>
                <w:lang w:val="fr-FR"/>
              </w:rPr>
            </w:pPr>
            <w:r>
              <w:rPr>
                <w:lang w:val="fr-FR"/>
              </w:rPr>
              <w:t>Water temperature in r</w:t>
            </w:r>
            <w:r w:rsidR="00551A38">
              <w:rPr>
                <w:lang w:val="fr-FR"/>
              </w:rPr>
              <w:t xml:space="preserve">inse cycle needs to </w:t>
            </w:r>
            <w:proofErr w:type="spellStart"/>
            <w:r w:rsidR="00551A38">
              <w:rPr>
                <w:lang w:val="fr-FR"/>
              </w:rPr>
              <w:t>be</w:t>
            </w:r>
            <w:proofErr w:type="spellEnd"/>
            <w:r w:rsidR="00551A38">
              <w:rPr>
                <w:lang w:val="fr-FR"/>
              </w:rPr>
              <w:t xml:space="preserve"> </w:t>
            </w:r>
            <w:proofErr w:type="spellStart"/>
            <w:r w:rsidR="00551A38">
              <w:rPr>
                <w:lang w:val="fr-FR"/>
              </w:rPr>
              <w:t>greater</w:t>
            </w:r>
            <w:proofErr w:type="spellEnd"/>
            <w:r w:rsidR="00551A38">
              <w:rPr>
                <w:lang w:val="fr-FR"/>
              </w:rPr>
              <w:t xml:space="preserve"> </w:t>
            </w:r>
            <w:proofErr w:type="spellStart"/>
            <w:r w:rsidR="00551A38">
              <w:rPr>
                <w:lang w:val="fr-FR"/>
              </w:rPr>
              <w:t>than</w:t>
            </w:r>
            <w:proofErr w:type="spellEnd"/>
            <w:r w:rsidR="00551A38">
              <w:rPr>
                <w:lang w:val="fr-FR"/>
              </w:rPr>
              <w:t xml:space="preserve"> 80</w:t>
            </w:r>
            <w:r w:rsidR="00551A38">
              <w:rPr>
                <w:lang w:val="fr-FR"/>
              </w:rPr>
              <w:sym w:font="Symbol" w:char="F0B0"/>
            </w:r>
            <w:r w:rsidR="00551A38">
              <w:rPr>
                <w:lang w:val="fr-FR"/>
              </w:rPr>
              <w:t>C</w:t>
            </w:r>
            <w:r w:rsidR="00A45EEE">
              <w:rPr>
                <w:lang w:val="fr-FR"/>
              </w:rPr>
              <w:fldChar w:fldCharType="begin"/>
            </w:r>
            <w:r w:rsidR="00A45EEE">
              <w:rPr>
                <w:lang w:val="fr-FR"/>
              </w:rPr>
              <w:instrText xml:space="preserve"> NOTEREF _Ref529780240 \f \h </w:instrText>
            </w:r>
            <w:r w:rsidR="00A45EEE">
              <w:rPr>
                <w:lang w:val="fr-FR"/>
              </w:rPr>
            </w:r>
            <w:r w:rsidR="00A45EEE">
              <w:rPr>
                <w:lang w:val="fr-FR"/>
              </w:rPr>
              <w:fldChar w:fldCharType="separate"/>
            </w:r>
            <w:r w:rsidR="009F6F8B" w:rsidRPr="009F6F8B">
              <w:rPr>
                <w:rStyle w:val="FootnoteReference"/>
              </w:rPr>
              <w:t>1</w:t>
            </w:r>
            <w:r w:rsidR="00A45EEE">
              <w:rPr>
                <w:lang w:val="fr-FR"/>
              </w:rPr>
              <w:fldChar w:fldCharType="end"/>
            </w:r>
          </w:p>
        </w:tc>
      </w:tr>
      <w:tr w:rsidR="00551A38" w:rsidTr="00523330">
        <w:tc>
          <w:tcPr>
            <w:tcW w:w="3260" w:type="dxa"/>
          </w:tcPr>
          <w:p w:rsidR="00551A38" w:rsidRDefault="00551A38" w:rsidP="00551A38">
            <w:pPr>
              <w:pStyle w:val="DHHStabletext"/>
              <w:rPr>
                <w:lang w:val="fr-FR"/>
              </w:rPr>
            </w:pPr>
            <w:r>
              <w:rPr>
                <w:lang w:val="fr-FR"/>
              </w:rPr>
              <w:t>Domestic dishwasher</w:t>
            </w:r>
          </w:p>
        </w:tc>
        <w:tc>
          <w:tcPr>
            <w:tcW w:w="6663" w:type="dxa"/>
          </w:tcPr>
          <w:p w:rsidR="00551A38" w:rsidRDefault="00551A38" w:rsidP="00551A38">
            <w:pPr>
              <w:pStyle w:val="DHHStabletext"/>
              <w:rPr>
                <w:lang w:val="fr-FR"/>
              </w:rPr>
            </w:pPr>
            <w:r>
              <w:rPr>
                <w:lang w:val="fr-FR"/>
              </w:rPr>
              <w:t xml:space="preserve">Use hottest and longest cycle (e.g. </w:t>
            </w:r>
            <w:proofErr w:type="spellStart"/>
            <w:r>
              <w:rPr>
                <w:lang w:val="fr-FR"/>
              </w:rPr>
              <w:t>heavy</w:t>
            </w:r>
            <w:proofErr w:type="spellEnd"/>
            <w:r>
              <w:rPr>
                <w:lang w:val="fr-FR"/>
              </w:rPr>
              <w:t xml:space="preserve"> </w:t>
            </w:r>
            <w:proofErr w:type="spellStart"/>
            <w:r>
              <w:rPr>
                <w:lang w:val="fr-FR"/>
              </w:rPr>
              <w:t>duty</w:t>
            </w:r>
            <w:proofErr w:type="spellEnd"/>
            <w:r>
              <w:rPr>
                <w:lang w:val="fr-FR"/>
              </w:rPr>
              <w:t xml:space="preserve"> cycle</w:t>
            </w:r>
            <w:r w:rsidR="00452CEA">
              <w:rPr>
                <w:lang w:val="fr-FR"/>
              </w:rPr>
              <w:t>, 55</w:t>
            </w:r>
            <w:r w:rsidR="00452CEA">
              <w:rPr>
                <w:lang w:val="fr-FR"/>
              </w:rPr>
              <w:sym w:font="Symbol" w:char="F0B0"/>
            </w:r>
            <w:r w:rsidR="00452CEA">
              <w:rPr>
                <w:lang w:val="fr-FR"/>
              </w:rPr>
              <w:t xml:space="preserve">C or </w:t>
            </w:r>
            <w:proofErr w:type="spellStart"/>
            <w:r w:rsidR="00452CEA">
              <w:rPr>
                <w:lang w:val="fr-FR"/>
              </w:rPr>
              <w:t>above</w:t>
            </w:r>
            <w:proofErr w:type="spellEnd"/>
            <w:r>
              <w:rPr>
                <w:lang w:val="fr-FR"/>
              </w:rPr>
              <w:t>)</w:t>
            </w:r>
            <w:r w:rsidR="00A45EEE">
              <w:rPr>
                <w:lang w:val="fr-FR"/>
              </w:rPr>
              <w:fldChar w:fldCharType="begin"/>
            </w:r>
            <w:r w:rsidR="00A45EEE">
              <w:rPr>
                <w:lang w:val="fr-FR"/>
              </w:rPr>
              <w:instrText xml:space="preserve"> NOTEREF _Ref529780240 \f \h </w:instrText>
            </w:r>
            <w:r w:rsidR="007A3FBD">
              <w:rPr>
                <w:lang w:val="fr-FR"/>
              </w:rPr>
              <w:instrText xml:space="preserve"> \* MERGEFORMAT </w:instrText>
            </w:r>
            <w:r w:rsidR="00A45EEE">
              <w:rPr>
                <w:lang w:val="fr-FR"/>
              </w:rPr>
            </w:r>
            <w:r w:rsidR="00A45EEE">
              <w:rPr>
                <w:lang w:val="fr-FR"/>
              </w:rPr>
              <w:fldChar w:fldCharType="separate"/>
            </w:r>
            <w:r w:rsidR="009F6F8B" w:rsidRPr="009F6F8B">
              <w:rPr>
                <w:rStyle w:val="FootnoteReference"/>
              </w:rPr>
              <w:t>1</w:t>
            </w:r>
            <w:r w:rsidR="00A45EEE">
              <w:rPr>
                <w:lang w:val="fr-FR"/>
              </w:rPr>
              <w:fldChar w:fldCharType="end"/>
            </w:r>
          </w:p>
        </w:tc>
      </w:tr>
      <w:tr w:rsidR="00452CEA" w:rsidTr="00523330">
        <w:tc>
          <w:tcPr>
            <w:tcW w:w="3260" w:type="dxa"/>
          </w:tcPr>
          <w:p w:rsidR="00452CEA" w:rsidRDefault="007A3FBD" w:rsidP="00551A38">
            <w:pPr>
              <w:pStyle w:val="DHHStabletext"/>
              <w:rPr>
                <w:lang w:val="fr-FR"/>
              </w:rPr>
            </w:pPr>
            <w:r>
              <w:rPr>
                <w:lang w:val="fr-FR"/>
              </w:rPr>
              <w:t>Sanitising</w:t>
            </w:r>
            <w:r w:rsidR="00452CEA">
              <w:rPr>
                <w:lang w:val="fr-FR"/>
              </w:rPr>
              <w:t xml:space="preserve"> by hand using a chemical sanitiser</w:t>
            </w:r>
          </w:p>
        </w:tc>
        <w:tc>
          <w:tcPr>
            <w:tcW w:w="6663" w:type="dxa"/>
          </w:tcPr>
          <w:p w:rsidR="00452CEA" w:rsidRDefault="00E86E26" w:rsidP="005558B4">
            <w:pPr>
              <w:pStyle w:val="DHHStabletext"/>
              <w:rPr>
                <w:lang w:val="fr-FR"/>
              </w:rPr>
            </w:pPr>
            <w:r>
              <w:rPr>
                <w:lang w:val="fr-FR"/>
              </w:rPr>
              <w:t>Soak</w:t>
            </w:r>
            <w:r w:rsidR="00452CEA">
              <w:rPr>
                <w:lang w:val="fr-FR"/>
              </w:rPr>
              <w:t xml:space="preserve"> items in 100</w:t>
            </w:r>
            <w:r w:rsidR="002B2107">
              <w:rPr>
                <w:lang w:val="fr-FR"/>
              </w:rPr>
              <w:t xml:space="preserve"> </w:t>
            </w:r>
            <w:r w:rsidR="00452CEA">
              <w:rPr>
                <w:lang w:val="fr-FR"/>
              </w:rPr>
              <w:t xml:space="preserve">ppm of available chlorine for at least </w:t>
            </w:r>
            <w:r w:rsidR="005558B4">
              <w:rPr>
                <w:lang w:val="fr-FR"/>
              </w:rPr>
              <w:t>3</w:t>
            </w:r>
            <w:r w:rsidR="00B35FD3">
              <w:rPr>
                <w:lang w:val="fr-FR"/>
              </w:rPr>
              <w:t xml:space="preserve"> minutes</w:t>
            </w:r>
            <w:r w:rsidR="00452CEA">
              <w:rPr>
                <w:lang w:val="fr-FR"/>
              </w:rPr>
              <w:t xml:space="preserve"> at a minimum water temperature of </w:t>
            </w:r>
            <w:r w:rsidR="005558B4">
              <w:rPr>
                <w:lang w:val="fr-FR"/>
              </w:rPr>
              <w:t>50</w:t>
            </w:r>
            <w:r w:rsidR="00452CEA">
              <w:rPr>
                <w:lang w:val="fr-FR"/>
              </w:rPr>
              <w:sym w:font="Symbol" w:char="F0B0"/>
            </w:r>
            <w:r w:rsidR="00452CEA">
              <w:rPr>
                <w:lang w:val="fr-FR"/>
              </w:rPr>
              <w:t>C</w:t>
            </w:r>
          </w:p>
        </w:tc>
      </w:tr>
      <w:tr w:rsidR="00452CEA" w:rsidTr="005558B4">
        <w:tc>
          <w:tcPr>
            <w:tcW w:w="3260" w:type="dxa"/>
            <w:tcBorders>
              <w:bottom w:val="single" w:sz="4" w:space="0" w:color="auto"/>
            </w:tcBorders>
          </w:tcPr>
          <w:p w:rsidR="00452CEA" w:rsidRDefault="00452CEA" w:rsidP="00E86E26">
            <w:pPr>
              <w:pStyle w:val="DHHStabletext"/>
              <w:rPr>
                <w:lang w:val="fr-FR"/>
              </w:rPr>
            </w:pPr>
            <w:r>
              <w:rPr>
                <w:lang w:val="fr-FR"/>
              </w:rPr>
              <w:t xml:space="preserve">Equipment that cannot be completely </w:t>
            </w:r>
            <w:r w:rsidR="00E86E26">
              <w:rPr>
                <w:lang w:val="fr-FR"/>
              </w:rPr>
              <w:t>soaked</w:t>
            </w:r>
            <w:r>
              <w:rPr>
                <w:lang w:val="fr-FR"/>
              </w:rPr>
              <w:t xml:space="preserve"> in water</w:t>
            </w:r>
          </w:p>
        </w:tc>
        <w:tc>
          <w:tcPr>
            <w:tcW w:w="6663" w:type="dxa"/>
            <w:tcBorders>
              <w:bottom w:val="single" w:sz="4" w:space="0" w:color="auto"/>
            </w:tcBorders>
          </w:tcPr>
          <w:p w:rsidR="00452CEA" w:rsidRDefault="002B2107" w:rsidP="00551A38">
            <w:pPr>
              <w:pStyle w:val="DHHStabletext"/>
              <w:rPr>
                <w:lang w:val="fr-FR"/>
              </w:rPr>
            </w:pPr>
            <w:r>
              <w:rPr>
                <w:lang w:val="fr-FR"/>
              </w:rPr>
              <w:t>200 ppm of available chlorine should be used on all surfaces for 10 minutes</w:t>
            </w:r>
          </w:p>
        </w:tc>
      </w:tr>
      <w:tr w:rsidR="005558B4" w:rsidRPr="00EC6231" w:rsidTr="005558B4">
        <w:tc>
          <w:tcPr>
            <w:tcW w:w="9923" w:type="dxa"/>
            <w:gridSpan w:val="2"/>
            <w:tcBorders>
              <w:left w:val="nil"/>
              <w:bottom w:val="nil"/>
              <w:right w:val="nil"/>
            </w:tcBorders>
          </w:tcPr>
          <w:p w:rsidR="005558B4" w:rsidRPr="00EC6231" w:rsidRDefault="005558B4" w:rsidP="00043FB1">
            <w:pPr>
              <w:pStyle w:val="DHHStabletext"/>
              <w:rPr>
                <w:b/>
                <w:i/>
                <w:lang w:val="fr-FR"/>
              </w:rPr>
            </w:pPr>
            <w:r w:rsidRPr="00EC6231">
              <w:rPr>
                <w:b/>
                <w:i/>
                <w:lang w:val="fr-FR"/>
              </w:rPr>
              <w:t xml:space="preserve">It is important that all food processing equipment (blenders, mixers, </w:t>
            </w:r>
            <w:r w:rsidR="00135A24" w:rsidRPr="00EC6231">
              <w:rPr>
                <w:b/>
                <w:i/>
                <w:lang w:val="fr-FR"/>
              </w:rPr>
              <w:t>stab mixers, etc.) be dismantled enough</w:t>
            </w:r>
            <w:r w:rsidRPr="00EC6231">
              <w:rPr>
                <w:b/>
                <w:i/>
                <w:lang w:val="fr-FR"/>
              </w:rPr>
              <w:t xml:space="preserve"> to be thoroughly cleaned and sanitised.</w:t>
            </w:r>
            <w:r w:rsidR="00135A24" w:rsidRPr="00EC6231">
              <w:rPr>
                <w:b/>
                <w:i/>
                <w:lang w:val="fr-FR"/>
              </w:rPr>
              <w:t xml:space="preserve"> Equipment parts may need to be </w:t>
            </w:r>
            <w:r w:rsidR="00043FB1" w:rsidRPr="00EC6231">
              <w:rPr>
                <w:b/>
                <w:i/>
                <w:lang w:val="fr-FR"/>
              </w:rPr>
              <w:t xml:space="preserve">washed and </w:t>
            </w:r>
            <w:r w:rsidR="00135A24" w:rsidRPr="00EC6231">
              <w:rPr>
                <w:b/>
                <w:i/>
                <w:lang w:val="fr-FR"/>
              </w:rPr>
              <w:t>scrubbed clean before a sanitiser can be applied or</w:t>
            </w:r>
            <w:r w:rsidR="00043FB1" w:rsidRPr="00EC6231">
              <w:rPr>
                <w:b/>
                <w:i/>
                <w:lang w:val="fr-FR"/>
              </w:rPr>
              <w:t xml:space="preserve"> before </w:t>
            </w:r>
            <w:r w:rsidR="00135A24" w:rsidRPr="00EC6231">
              <w:rPr>
                <w:b/>
                <w:i/>
                <w:lang w:val="fr-FR"/>
              </w:rPr>
              <w:t xml:space="preserve">the parts are </w:t>
            </w:r>
            <w:r w:rsidR="00043FB1" w:rsidRPr="00EC6231">
              <w:rPr>
                <w:b/>
                <w:i/>
                <w:lang w:val="fr-FR"/>
              </w:rPr>
              <w:t xml:space="preserve">placed </w:t>
            </w:r>
            <w:r w:rsidR="00135A24" w:rsidRPr="00EC6231">
              <w:rPr>
                <w:b/>
                <w:i/>
                <w:lang w:val="fr-FR"/>
              </w:rPr>
              <w:t>in</w:t>
            </w:r>
            <w:r w:rsidR="00043FB1" w:rsidRPr="00EC6231">
              <w:rPr>
                <w:b/>
                <w:i/>
                <w:lang w:val="fr-FR"/>
              </w:rPr>
              <w:t>to</w:t>
            </w:r>
            <w:r w:rsidR="00135A24" w:rsidRPr="00EC6231">
              <w:rPr>
                <w:b/>
                <w:i/>
                <w:lang w:val="fr-FR"/>
              </w:rPr>
              <w:t xml:space="preserve"> a dishwasher.</w:t>
            </w:r>
          </w:p>
        </w:tc>
      </w:tr>
    </w:tbl>
    <w:p w:rsidR="00031513" w:rsidRDefault="00895345" w:rsidP="00895345">
      <w:pPr>
        <w:pStyle w:val="Heading3"/>
        <w:rPr>
          <w:lang w:val="fr-FR"/>
        </w:rPr>
      </w:pPr>
      <w:r>
        <w:rPr>
          <w:lang w:val="fr-FR"/>
        </w:rPr>
        <w:lastRenderedPageBreak/>
        <w:t>Other areas</w:t>
      </w:r>
    </w:p>
    <w:p w:rsidR="00031513" w:rsidRDefault="0044341D" w:rsidP="00031513">
      <w:pPr>
        <w:pStyle w:val="DHHSbody"/>
        <w:rPr>
          <w:b/>
          <w:lang w:val="fr-FR"/>
        </w:rPr>
      </w:pPr>
      <w:r w:rsidRPr="0044341D">
        <w:rPr>
          <w:lang w:val="fr-FR"/>
        </w:rPr>
        <w:t xml:space="preserve">All toilets and bathrooms areas, </w:t>
      </w:r>
      <w:r w:rsidR="00895345">
        <w:rPr>
          <w:lang w:val="fr-FR"/>
        </w:rPr>
        <w:t>(</w:t>
      </w:r>
      <w:r w:rsidRPr="0044341D">
        <w:rPr>
          <w:lang w:val="fr-FR"/>
        </w:rPr>
        <w:t>including toilet bowls, hand wash basins, tap handles, doors, door handles, toilet flush buttons/handles, floors</w:t>
      </w:r>
      <w:r w:rsidR="00895345">
        <w:rPr>
          <w:lang w:val="fr-FR"/>
        </w:rPr>
        <w:t>), all communal</w:t>
      </w:r>
      <w:r w:rsidRPr="0044341D">
        <w:rPr>
          <w:lang w:val="fr-FR"/>
        </w:rPr>
        <w:t xml:space="preserve"> areas</w:t>
      </w:r>
      <w:r w:rsidR="00895345">
        <w:rPr>
          <w:lang w:val="fr-FR"/>
        </w:rPr>
        <w:t xml:space="preserve"> (staff rooms, dining rooms, etc.) and frequently touched surfaces</w:t>
      </w:r>
      <w:r w:rsidRPr="0044341D">
        <w:rPr>
          <w:lang w:val="fr-FR"/>
        </w:rPr>
        <w:t xml:space="preserve"> that may have been contaminated</w:t>
      </w:r>
      <w:r w:rsidR="00895345">
        <w:rPr>
          <w:lang w:val="fr-FR"/>
        </w:rPr>
        <w:t>,</w:t>
      </w:r>
      <w:r w:rsidRPr="0044341D">
        <w:rPr>
          <w:lang w:val="fr-FR"/>
        </w:rPr>
        <w:t xml:space="preserve"> should be </w:t>
      </w:r>
      <w:r w:rsidRPr="0044341D">
        <w:rPr>
          <w:b/>
          <w:lang w:val="fr-FR"/>
        </w:rPr>
        <w:t>cleaned and sanitised with a solution of 1000ppm of available chlorine.</w:t>
      </w:r>
    </w:p>
    <w:p w:rsidR="002C1C05" w:rsidRDefault="0044341D" w:rsidP="00043FB1">
      <w:pPr>
        <w:pStyle w:val="Heading3"/>
        <w:rPr>
          <w:lang w:val="fr-FR"/>
        </w:rPr>
      </w:pPr>
      <w:r>
        <w:rPr>
          <w:lang w:val="fr-FR"/>
        </w:rPr>
        <w:t>Cleaning vomit or faeces</w:t>
      </w:r>
    </w:p>
    <w:p w:rsidR="0044341D" w:rsidRDefault="0044341D" w:rsidP="0044341D">
      <w:pPr>
        <w:pStyle w:val="DHHSbody"/>
        <w:rPr>
          <w:b/>
          <w:lang w:val="fr-FR"/>
        </w:rPr>
      </w:pPr>
      <w:r w:rsidRPr="0044341D">
        <w:rPr>
          <w:lang w:val="fr-FR"/>
        </w:rPr>
        <w:t xml:space="preserve">If a faecal accident or vomiting has occurred all surrounding surfaces need to be cleaned and </w:t>
      </w:r>
      <w:r w:rsidR="00913037">
        <w:rPr>
          <w:lang w:val="fr-FR"/>
        </w:rPr>
        <w:t>sanitised</w:t>
      </w:r>
      <w:r w:rsidRPr="0044341D">
        <w:rPr>
          <w:lang w:val="fr-FR"/>
        </w:rPr>
        <w:t xml:space="preserve"> with 1000ppm of available chlorine. </w:t>
      </w:r>
      <w:r w:rsidRPr="0044341D">
        <w:rPr>
          <w:b/>
          <w:lang w:val="fr-FR"/>
        </w:rPr>
        <w:t>Vomit</w:t>
      </w:r>
      <w:r w:rsidRPr="0044341D">
        <w:rPr>
          <w:lang w:val="fr-FR"/>
        </w:rPr>
        <w:t xml:space="preserve"> can produce aerosols, (a fine mist of virus particles) suspended in the air and fall onto food or surfaces. If a person vomits in a public area, all people should be removed from the vicinity and the area cleaned immediately. Persons cleaning vomit or faeces should wear gloves, apron and a mask. Paper towels should be used to soak up excess vomit</w:t>
      </w:r>
      <w:r w:rsidR="00EF736E">
        <w:rPr>
          <w:lang w:val="fr-FR"/>
        </w:rPr>
        <w:t xml:space="preserve"> </w:t>
      </w:r>
      <w:r w:rsidRPr="0044341D">
        <w:rPr>
          <w:lang w:val="fr-FR"/>
        </w:rPr>
        <w:t xml:space="preserve">and disposed of into a </w:t>
      </w:r>
      <w:r w:rsidR="00E53C1B">
        <w:rPr>
          <w:lang w:val="fr-FR"/>
        </w:rPr>
        <w:t>sealed</w:t>
      </w:r>
      <w:r w:rsidRPr="0044341D">
        <w:rPr>
          <w:lang w:val="fr-FR"/>
        </w:rPr>
        <w:t xml:space="preserve"> waste bag. The area can then be cleaned and </w:t>
      </w:r>
      <w:r w:rsidR="00913037">
        <w:rPr>
          <w:lang w:val="fr-FR"/>
        </w:rPr>
        <w:t>sanitised</w:t>
      </w:r>
      <w:r w:rsidRPr="0044341D">
        <w:rPr>
          <w:lang w:val="fr-FR"/>
        </w:rPr>
        <w:t xml:space="preserve">. </w:t>
      </w:r>
      <w:r w:rsidRPr="0044341D">
        <w:rPr>
          <w:b/>
          <w:lang w:val="fr-FR"/>
        </w:rPr>
        <w:t>Any uncovered food in the immediate area must be discarded.</w:t>
      </w:r>
    </w:p>
    <w:p w:rsidR="007A3FBD" w:rsidRDefault="007A3FBD" w:rsidP="00895345">
      <w:pPr>
        <w:pStyle w:val="Heading4"/>
        <w:rPr>
          <w:lang w:val="fr-FR"/>
        </w:rPr>
      </w:pPr>
      <w:r>
        <w:rPr>
          <w:lang w:val="fr-FR"/>
        </w:rPr>
        <w:t>Carpets</w:t>
      </w:r>
    </w:p>
    <w:p w:rsidR="007A3FBD" w:rsidRPr="0044341D" w:rsidRDefault="007A3FBD" w:rsidP="007A3FBD">
      <w:pPr>
        <w:pStyle w:val="DHHSbody"/>
        <w:rPr>
          <w:lang w:val="fr-FR"/>
        </w:rPr>
      </w:pPr>
      <w:r w:rsidRPr="0044341D">
        <w:rPr>
          <w:lang w:val="fr-FR"/>
        </w:rPr>
        <w:t xml:space="preserve">All </w:t>
      </w:r>
      <w:r w:rsidRPr="0044341D">
        <w:rPr>
          <w:b/>
          <w:lang w:val="fr-FR"/>
        </w:rPr>
        <w:t>carpets</w:t>
      </w:r>
      <w:r w:rsidRPr="0044341D">
        <w:rPr>
          <w:lang w:val="fr-FR"/>
        </w:rPr>
        <w:t xml:space="preserve"> contaminated by vomit and/or faeces are be cleaned with detergent and hot water and then </w:t>
      </w:r>
      <w:r w:rsidRPr="0044341D">
        <w:rPr>
          <w:b/>
          <w:lang w:val="fr-FR"/>
        </w:rPr>
        <w:t>steam cleaned</w:t>
      </w:r>
      <w:r w:rsidRPr="0044341D">
        <w:rPr>
          <w:lang w:val="fr-FR"/>
        </w:rPr>
        <w:t>, as high temperature and moisture are required to kill viruses. All surface soiling must be thoroughly cleaned first.  True steam cleaners release steam under pressure, which ensures th</w:t>
      </w:r>
      <w:r w:rsidR="00E53C1B">
        <w:rPr>
          <w:lang w:val="fr-FR"/>
        </w:rPr>
        <w:t>at the temperature is above 100</w:t>
      </w:r>
      <w:r w:rsidR="00E53C1B">
        <w:rPr>
          <w:lang w:val="fr-FR"/>
        </w:rPr>
        <w:sym w:font="Symbol" w:char="F0B0"/>
      </w:r>
      <w:r w:rsidRPr="0044341D">
        <w:rPr>
          <w:lang w:val="fr-FR"/>
        </w:rPr>
        <w:t>C and the carpet dries quickly.</w:t>
      </w:r>
    </w:p>
    <w:p w:rsidR="0044341D" w:rsidRDefault="0044341D" w:rsidP="00043FB1">
      <w:pPr>
        <w:pStyle w:val="Heading3"/>
        <w:rPr>
          <w:lang w:val="fr-FR"/>
        </w:rPr>
      </w:pPr>
      <w:r>
        <w:rPr>
          <w:lang w:val="fr-FR"/>
        </w:rPr>
        <w:t>Cleaning equipment</w:t>
      </w:r>
    </w:p>
    <w:p w:rsidR="0044341D" w:rsidRDefault="0044341D" w:rsidP="0044341D">
      <w:pPr>
        <w:pStyle w:val="DHHSbody"/>
        <w:rPr>
          <w:lang w:val="fr-FR"/>
        </w:rPr>
      </w:pPr>
      <w:r>
        <w:rPr>
          <w:lang w:val="fr-FR"/>
        </w:rPr>
        <w:t>Ensure, where possible, that cleaning equipment such as cloths, mops and brushes are disposable and discarded immediately after use. If this cannot be done, cleaning equipment will need to be disinfected with 1000ppm of available chlorine.</w:t>
      </w:r>
    </w:p>
    <w:p w:rsidR="008B4736" w:rsidRPr="008B4736" w:rsidRDefault="00FA0D7C" w:rsidP="00043FB1">
      <w:pPr>
        <w:pStyle w:val="Heading2"/>
        <w:rPr>
          <w:lang w:val="fr-FR"/>
        </w:rPr>
      </w:pPr>
      <w:r>
        <w:rPr>
          <w:lang w:val="fr-FR"/>
        </w:rPr>
        <w:t xml:space="preserve">2. </w:t>
      </w:r>
      <w:r w:rsidR="008B4736">
        <w:rPr>
          <w:lang w:val="fr-FR"/>
        </w:rPr>
        <w:t>Food safety</w:t>
      </w:r>
    </w:p>
    <w:p w:rsidR="00523330" w:rsidRDefault="00523330" w:rsidP="00913037">
      <w:pPr>
        <w:pStyle w:val="DHHSbody"/>
        <w:spacing w:before="120" w:after="0"/>
        <w:rPr>
          <w:lang w:val="fr-FR"/>
        </w:rPr>
      </w:pPr>
      <w:r>
        <w:rPr>
          <w:b/>
          <w:lang w:val="fr-FR"/>
        </w:rPr>
        <w:t xml:space="preserve">No food should be prepared or served </w:t>
      </w:r>
      <w:r>
        <w:rPr>
          <w:lang w:val="fr-FR"/>
        </w:rPr>
        <w:t>from the kitchen until an EHO supervised clean-up has been conducted.</w:t>
      </w:r>
    </w:p>
    <w:p w:rsidR="0044341D" w:rsidRPr="0044341D" w:rsidRDefault="0044341D" w:rsidP="00913037">
      <w:pPr>
        <w:pStyle w:val="DHHSbody"/>
        <w:spacing w:after="0"/>
        <w:rPr>
          <w:lang w:val="fr-FR"/>
        </w:rPr>
      </w:pPr>
      <w:r w:rsidRPr="0044341D">
        <w:rPr>
          <w:lang w:val="fr-FR"/>
        </w:rPr>
        <w:t xml:space="preserve">Ensure that any suspect food or drink is not served but do not discard it. Ensure that it is kept in a suitable place (e.g. storeroom/fridge) and labelled with </w:t>
      </w:r>
      <w:r>
        <w:rPr>
          <w:b/>
          <w:lang w:val="fr-FR"/>
        </w:rPr>
        <w:t>“do not use”</w:t>
      </w:r>
      <w:r>
        <w:rPr>
          <w:lang w:val="fr-FR"/>
        </w:rPr>
        <w:t xml:space="preserve">, </w:t>
      </w:r>
      <w:r w:rsidRPr="0044341D">
        <w:rPr>
          <w:lang w:val="fr-FR"/>
        </w:rPr>
        <w:t>so it cannot be served by mistake, until it has been collected for sampling by the council EHO.</w:t>
      </w:r>
    </w:p>
    <w:p w:rsidR="008D0EE0" w:rsidRDefault="00FA0D7C" w:rsidP="00895345">
      <w:pPr>
        <w:pStyle w:val="Heading3"/>
        <w:rPr>
          <w:lang w:val="fr-FR"/>
        </w:rPr>
      </w:pPr>
      <w:r>
        <w:rPr>
          <w:lang w:val="fr-FR"/>
        </w:rPr>
        <w:t>Food handling s</w:t>
      </w:r>
      <w:r w:rsidR="008D0EE0">
        <w:rPr>
          <w:lang w:val="fr-FR"/>
        </w:rPr>
        <w:t>taff</w:t>
      </w:r>
    </w:p>
    <w:p w:rsidR="008D0EE0" w:rsidRDefault="008D0EE0" w:rsidP="008D0EE0">
      <w:pPr>
        <w:pStyle w:val="DHHSbody"/>
        <w:rPr>
          <w:lang w:val="fr-FR"/>
        </w:rPr>
      </w:pPr>
      <w:r w:rsidRPr="008D0EE0">
        <w:rPr>
          <w:lang w:val="fr-FR"/>
        </w:rPr>
        <w:t>If any food handling staff have been ill with gastrointestinal symptoms (this includes all kitchen staff, waiting staff, serving/bar staff, etc) and ensure that they are sent home and do not return to work (or go to work in another food premises) until 48 hours after their symptoms have stopped</w:t>
      </w:r>
      <w:r>
        <w:rPr>
          <w:lang w:val="fr-FR"/>
        </w:rPr>
        <w:t>.</w:t>
      </w:r>
    </w:p>
    <w:p w:rsidR="00FA0D7C" w:rsidRDefault="00FA0D7C" w:rsidP="00043FB1">
      <w:pPr>
        <w:pStyle w:val="Heading2"/>
        <w:rPr>
          <w:lang w:val="fr-FR"/>
        </w:rPr>
      </w:pPr>
      <w:r>
        <w:rPr>
          <w:lang w:val="fr-FR"/>
        </w:rPr>
        <w:t>3. Closure of premises</w:t>
      </w:r>
    </w:p>
    <w:p w:rsidR="00FA0D7C" w:rsidRDefault="00FA0D7C" w:rsidP="00FA0D7C">
      <w:pPr>
        <w:pStyle w:val="DHHSbody"/>
        <w:rPr>
          <w:lang w:val="fr-FR"/>
        </w:rPr>
      </w:pPr>
      <w:r w:rsidRPr="008D0EE0">
        <w:rPr>
          <w:lang w:val="fr-FR"/>
        </w:rPr>
        <w:t>It is very difficult to clean and sanitise all areas in a premises if the premises is still open for business and preparing food.</w:t>
      </w:r>
      <w:r w:rsidR="00523330" w:rsidRPr="00523330">
        <w:rPr>
          <w:lang w:val="fr-FR"/>
        </w:rPr>
        <w:t xml:space="preserve"> </w:t>
      </w:r>
      <w:r w:rsidR="00523330">
        <w:rPr>
          <w:lang w:val="fr-FR"/>
        </w:rPr>
        <w:t>Proprietors will need to consider</w:t>
      </w:r>
      <w:r w:rsidR="00523330">
        <w:rPr>
          <w:b/>
          <w:lang w:val="fr-FR"/>
        </w:rPr>
        <w:t xml:space="preserve"> closing </w:t>
      </w:r>
      <w:r w:rsidR="00523330" w:rsidRPr="008D0EE0">
        <w:rPr>
          <w:b/>
          <w:lang w:val="fr-FR"/>
        </w:rPr>
        <w:t>the premises</w:t>
      </w:r>
      <w:r w:rsidR="00523330" w:rsidRPr="008D0EE0">
        <w:rPr>
          <w:lang w:val="fr-FR"/>
        </w:rPr>
        <w:t xml:space="preserve"> until an effective clean-up has been completed in accordance with these guidelines.</w:t>
      </w:r>
    </w:p>
    <w:p w:rsidR="008D0EE0" w:rsidRDefault="00FA0D7C" w:rsidP="00043FB1">
      <w:pPr>
        <w:pStyle w:val="Heading2"/>
        <w:rPr>
          <w:lang w:val="fr-FR"/>
        </w:rPr>
      </w:pPr>
      <w:r>
        <w:rPr>
          <w:lang w:val="fr-FR"/>
        </w:rPr>
        <w:t xml:space="preserve">4. </w:t>
      </w:r>
      <w:r w:rsidR="008D0EE0">
        <w:rPr>
          <w:lang w:val="fr-FR"/>
        </w:rPr>
        <w:t>Declaring an outbreak investigation over</w:t>
      </w:r>
    </w:p>
    <w:p w:rsidR="008D0EE0" w:rsidRDefault="008D0EE0" w:rsidP="008D0EE0">
      <w:pPr>
        <w:pStyle w:val="DHHSbody"/>
        <w:rPr>
          <w:lang w:val="fr-FR"/>
        </w:rPr>
      </w:pPr>
      <w:r w:rsidRPr="008D0EE0">
        <w:rPr>
          <w:lang w:val="fr-FR"/>
        </w:rPr>
        <w:t>Although cases may have ceased and the premises may or may not be open for business, the investigation of the outbreak may not be over. If the investigation is still continuing the council EHO may still be required to visit the premises to collect further information to assist the investigation. The department may also be analysing information and awaiting laboratory results of samples and specimens to inform the outbreak.</w:t>
      </w:r>
      <w:r w:rsidR="00492B1D">
        <w:rPr>
          <w:lang w:val="fr-FR"/>
        </w:rPr>
        <w:t xml:space="preserve"> Your council EHO will advise you of when the outbreak investigation has been completed.</w:t>
      </w:r>
    </w:p>
    <w:sectPr w:rsidR="008D0EE0" w:rsidSect="00F01E5F">
      <w:endnotePr>
        <w:numFmt w:val="decimal"/>
      </w:endnotePr>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5DD" w:rsidRDefault="003F75DD">
      <w:r>
        <w:separator/>
      </w:r>
    </w:p>
  </w:endnote>
  <w:endnote w:type="continuationSeparator" w:id="0">
    <w:p w:rsidR="003F75DD" w:rsidRDefault="003F75DD">
      <w:r>
        <w:continuationSeparator/>
      </w:r>
    </w:p>
  </w:endnote>
  <w:endnote w:id="1">
    <w:p w:rsidR="005558B4" w:rsidRPr="00043FB1" w:rsidRDefault="005558B4" w:rsidP="00BE7BF5">
      <w:pPr>
        <w:pStyle w:val="EndnoteText"/>
        <w:rPr>
          <w:sz w:val="20"/>
        </w:rPr>
      </w:pPr>
      <w:r w:rsidRPr="00043FB1">
        <w:rPr>
          <w:rStyle w:val="EndnoteReference"/>
          <w:sz w:val="16"/>
        </w:rPr>
        <w:endnoteRef/>
      </w:r>
      <w:r w:rsidRPr="00043FB1">
        <w:rPr>
          <w:sz w:val="16"/>
        </w:rPr>
        <w:t xml:space="preserve"> </w:t>
      </w:r>
      <w:r w:rsidRPr="00EC6231">
        <w:rPr>
          <w:rFonts w:ascii="Arial" w:hAnsi="Arial" w:cs="Arial"/>
          <w:sz w:val="12"/>
        </w:rPr>
        <w:t>Safe Food Australia, Appendix 6: Cleaning and sanitising surfaces and utensils &lt;http://www.foodstandards.gov.au/publications/pages/safefoodaustralia3rd16.aspx&gt;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846D3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1F0162" w:rsidP="0051568D">
    <w:pPr>
      <w:pStyle w:val="DHHSfooter"/>
    </w:pPr>
    <w:r>
      <w:t>Appendix 6A: Environmental cleaning and control measures – Instructions for Food Premises Proprietors</w:t>
    </w:r>
    <w:r w:rsidR="009D70A4" w:rsidRPr="00A11421">
      <w:tab/>
    </w:r>
    <w:r w:rsidR="009D70A4" w:rsidRPr="00A11421">
      <w:fldChar w:fldCharType="begin"/>
    </w:r>
    <w:r w:rsidR="009D70A4" w:rsidRPr="00A11421">
      <w:instrText xml:space="preserve"> PAGE </w:instrText>
    </w:r>
    <w:r w:rsidR="009D70A4" w:rsidRPr="00A11421">
      <w:fldChar w:fldCharType="separate"/>
    </w:r>
    <w:r w:rsidR="00EC6231">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5DD" w:rsidRDefault="003F75DD" w:rsidP="002862F1">
      <w:pPr>
        <w:spacing w:before="120"/>
      </w:pPr>
      <w:r>
        <w:separator/>
      </w:r>
    </w:p>
  </w:footnote>
  <w:footnote w:type="continuationSeparator" w:id="0">
    <w:p w:rsidR="003F75DD" w:rsidRDefault="003F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55" w:rsidRDefault="00025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F631BC"/>
    <w:multiLevelType w:val="hybridMultilevel"/>
    <w:tmpl w:val="616A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F9653F4"/>
    <w:multiLevelType w:val="hybridMultilevel"/>
    <w:tmpl w:val="DD06A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cryptProviderType="rsaAES" w:cryptAlgorithmClass="hash" w:cryptAlgorithmType="typeAny" w:cryptAlgorithmSid="14" w:cryptSpinCount="100000" w:hash="7UPIyAwGbIaXNPyQiuDVIqFLHDo/hy6PaFKnuofc98yoTiZiaDiU6Ne5eOhsKYohac0XAvG8bJpOkM5DoPCDIw==" w:salt="OTlBEcfhOYeiUHw/pwyA1w=="/>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992"/>
    <w:rsid w:val="000072B6"/>
    <w:rsid w:val="0001021B"/>
    <w:rsid w:val="00011D89"/>
    <w:rsid w:val="00021B24"/>
    <w:rsid w:val="00024D89"/>
    <w:rsid w:val="000250B6"/>
    <w:rsid w:val="00025955"/>
    <w:rsid w:val="00031513"/>
    <w:rsid w:val="00033D81"/>
    <w:rsid w:val="00041BF0"/>
    <w:rsid w:val="00043FB1"/>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2992"/>
    <w:rsid w:val="0010392D"/>
    <w:rsid w:val="0010447F"/>
    <w:rsid w:val="00104FE3"/>
    <w:rsid w:val="00120BD3"/>
    <w:rsid w:val="00122FEA"/>
    <w:rsid w:val="001232BD"/>
    <w:rsid w:val="00124ED5"/>
    <w:rsid w:val="00135A24"/>
    <w:rsid w:val="001447B3"/>
    <w:rsid w:val="00152073"/>
    <w:rsid w:val="00161939"/>
    <w:rsid w:val="00161AA0"/>
    <w:rsid w:val="00162093"/>
    <w:rsid w:val="00163FD9"/>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0162"/>
    <w:rsid w:val="001F3826"/>
    <w:rsid w:val="001F6E46"/>
    <w:rsid w:val="001F7C91"/>
    <w:rsid w:val="00206463"/>
    <w:rsid w:val="00206F2F"/>
    <w:rsid w:val="0021053D"/>
    <w:rsid w:val="00210A92"/>
    <w:rsid w:val="00212C5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866E5"/>
    <w:rsid w:val="00291373"/>
    <w:rsid w:val="0029597D"/>
    <w:rsid w:val="002962C3"/>
    <w:rsid w:val="0029752B"/>
    <w:rsid w:val="002A483C"/>
    <w:rsid w:val="002B1729"/>
    <w:rsid w:val="002B2107"/>
    <w:rsid w:val="002B36C7"/>
    <w:rsid w:val="002B4DD4"/>
    <w:rsid w:val="002B5277"/>
    <w:rsid w:val="002B5375"/>
    <w:rsid w:val="002B77C1"/>
    <w:rsid w:val="002C1C05"/>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15D4"/>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6DBA"/>
    <w:rsid w:val="003F75DD"/>
    <w:rsid w:val="00401FCF"/>
    <w:rsid w:val="00406285"/>
    <w:rsid w:val="004148F9"/>
    <w:rsid w:val="00415310"/>
    <w:rsid w:val="0042084E"/>
    <w:rsid w:val="00421EEF"/>
    <w:rsid w:val="00424D65"/>
    <w:rsid w:val="00442C6C"/>
    <w:rsid w:val="0044341D"/>
    <w:rsid w:val="00443CBE"/>
    <w:rsid w:val="00443E8A"/>
    <w:rsid w:val="004441BC"/>
    <w:rsid w:val="004468B4"/>
    <w:rsid w:val="0045230A"/>
    <w:rsid w:val="00452CEA"/>
    <w:rsid w:val="00457337"/>
    <w:rsid w:val="0047372D"/>
    <w:rsid w:val="004743DD"/>
    <w:rsid w:val="00474CEA"/>
    <w:rsid w:val="00483968"/>
    <w:rsid w:val="00484F86"/>
    <w:rsid w:val="00490746"/>
    <w:rsid w:val="00490852"/>
    <w:rsid w:val="00492B1D"/>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3330"/>
    <w:rsid w:val="00526C15"/>
    <w:rsid w:val="00536499"/>
    <w:rsid w:val="00543903"/>
    <w:rsid w:val="00543F11"/>
    <w:rsid w:val="00547A95"/>
    <w:rsid w:val="00551A38"/>
    <w:rsid w:val="005558B4"/>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85F18"/>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46F9"/>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3FBD"/>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1DB"/>
    <w:rsid w:val="00826D4F"/>
    <w:rsid w:val="008338A2"/>
    <w:rsid w:val="00841AA9"/>
    <w:rsid w:val="00846D3F"/>
    <w:rsid w:val="00853EE4"/>
    <w:rsid w:val="00855535"/>
    <w:rsid w:val="0086255E"/>
    <w:rsid w:val="008633F0"/>
    <w:rsid w:val="00867700"/>
    <w:rsid w:val="00867D9D"/>
    <w:rsid w:val="00872E0A"/>
    <w:rsid w:val="00875285"/>
    <w:rsid w:val="00884B62"/>
    <w:rsid w:val="00884B70"/>
    <w:rsid w:val="0088529C"/>
    <w:rsid w:val="00887903"/>
    <w:rsid w:val="0089270A"/>
    <w:rsid w:val="00893AF6"/>
    <w:rsid w:val="00894BC4"/>
    <w:rsid w:val="00895345"/>
    <w:rsid w:val="008A5B32"/>
    <w:rsid w:val="008B2EE4"/>
    <w:rsid w:val="008B4736"/>
    <w:rsid w:val="008B4D3D"/>
    <w:rsid w:val="008B57C7"/>
    <w:rsid w:val="008C2F92"/>
    <w:rsid w:val="008D0EE0"/>
    <w:rsid w:val="008D2846"/>
    <w:rsid w:val="008D4236"/>
    <w:rsid w:val="008D462F"/>
    <w:rsid w:val="008D6DCF"/>
    <w:rsid w:val="008E4376"/>
    <w:rsid w:val="008E7A0A"/>
    <w:rsid w:val="00900719"/>
    <w:rsid w:val="009017AC"/>
    <w:rsid w:val="00904A1C"/>
    <w:rsid w:val="00905030"/>
    <w:rsid w:val="00906490"/>
    <w:rsid w:val="009111B2"/>
    <w:rsid w:val="00913037"/>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6F8B"/>
    <w:rsid w:val="009F7B78"/>
    <w:rsid w:val="00A0057A"/>
    <w:rsid w:val="00A11421"/>
    <w:rsid w:val="00A157B1"/>
    <w:rsid w:val="00A22229"/>
    <w:rsid w:val="00A44882"/>
    <w:rsid w:val="00A45EEE"/>
    <w:rsid w:val="00A54715"/>
    <w:rsid w:val="00A56BF2"/>
    <w:rsid w:val="00A6061C"/>
    <w:rsid w:val="00A62D44"/>
    <w:rsid w:val="00A67263"/>
    <w:rsid w:val="00A7161C"/>
    <w:rsid w:val="00A77AA3"/>
    <w:rsid w:val="00A854EB"/>
    <w:rsid w:val="00A872E5"/>
    <w:rsid w:val="00A91406"/>
    <w:rsid w:val="00A96E65"/>
    <w:rsid w:val="00A971A0"/>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5FD3"/>
    <w:rsid w:val="00B431E8"/>
    <w:rsid w:val="00B45141"/>
    <w:rsid w:val="00B46682"/>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7BF5"/>
    <w:rsid w:val="00BF7F58"/>
    <w:rsid w:val="00C0116A"/>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87B6C"/>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37EE4"/>
    <w:rsid w:val="00D411A2"/>
    <w:rsid w:val="00D4606D"/>
    <w:rsid w:val="00D50B9C"/>
    <w:rsid w:val="00D5183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3C1B"/>
    <w:rsid w:val="00E56A01"/>
    <w:rsid w:val="00E629A1"/>
    <w:rsid w:val="00E6794C"/>
    <w:rsid w:val="00E71591"/>
    <w:rsid w:val="00E82C55"/>
    <w:rsid w:val="00E86E26"/>
    <w:rsid w:val="00E92AC3"/>
    <w:rsid w:val="00EB00E0"/>
    <w:rsid w:val="00EC059F"/>
    <w:rsid w:val="00EC1F24"/>
    <w:rsid w:val="00EC22F6"/>
    <w:rsid w:val="00EC6231"/>
    <w:rsid w:val="00ED5B9B"/>
    <w:rsid w:val="00ED6BAD"/>
    <w:rsid w:val="00ED7447"/>
    <w:rsid w:val="00EE1488"/>
    <w:rsid w:val="00EE4D5D"/>
    <w:rsid w:val="00EE5131"/>
    <w:rsid w:val="00EF109B"/>
    <w:rsid w:val="00EF36AF"/>
    <w:rsid w:val="00EF736E"/>
    <w:rsid w:val="00F00F9C"/>
    <w:rsid w:val="00F01E5F"/>
    <w:rsid w:val="00F02ABA"/>
    <w:rsid w:val="00F0437A"/>
    <w:rsid w:val="00F11037"/>
    <w:rsid w:val="00F16F1B"/>
    <w:rsid w:val="00F250A9"/>
    <w:rsid w:val="00F30FF4"/>
    <w:rsid w:val="00F3122E"/>
    <w:rsid w:val="00F331AD"/>
    <w:rsid w:val="00F348BE"/>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2551"/>
    <w:rsid w:val="00F85195"/>
    <w:rsid w:val="00F938BA"/>
    <w:rsid w:val="00FA0D7C"/>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BA39D5-6992-477E-81DC-7028AC69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1F0162"/>
    <w:rPr>
      <w:rFonts w:ascii="Tahoma" w:hAnsi="Tahoma" w:cs="Tahoma"/>
      <w:sz w:val="16"/>
      <w:szCs w:val="16"/>
    </w:rPr>
  </w:style>
  <w:style w:type="character" w:customStyle="1" w:styleId="BalloonTextChar">
    <w:name w:val="Balloon Text Char"/>
    <w:basedOn w:val="DefaultParagraphFont"/>
    <w:link w:val="BalloonText"/>
    <w:uiPriority w:val="99"/>
    <w:semiHidden/>
    <w:rsid w:val="001F0162"/>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D7B1AFC-43B9-4735-B807-28C6A75C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Template>
  <TotalTime>253</TotalTime>
  <Pages>2</Pages>
  <Words>922</Words>
  <Characters>5259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6169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Sturge</dc:creator>
  <cp:lastModifiedBy>Spiro Iliopoulos (DHHS)</cp:lastModifiedBy>
  <cp:revision>16</cp:revision>
  <cp:lastPrinted>2018-11-12T00:40:00Z</cp:lastPrinted>
  <dcterms:created xsi:type="dcterms:W3CDTF">2018-11-09T04:54:00Z</dcterms:created>
  <dcterms:modified xsi:type="dcterms:W3CDTF">2019-04-01T23:22:00Z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