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0273E3" w:rsidP="00DE6028">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10695305" cy="1713865"/>
            <wp:effectExtent l="0" t="0" r="0" b="635"/>
            <wp:wrapNone/>
            <wp:docPr id="36" name="Picture 3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53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CF41DA">
          <w:footerReference w:type="default" r:id="rId10"/>
          <w:pgSz w:w="16838" w:h="11906" w:orient="landscape" w:code="9"/>
          <w:pgMar w:top="425" w:right="851" w:bottom="1418" w:left="851" w:header="510" w:footer="510" w:gutter="0"/>
          <w:cols w:space="708"/>
          <w:docGrid w:linePitch="360"/>
        </w:sectPr>
      </w:pPr>
    </w:p>
    <w:tbl>
      <w:tblPr>
        <w:tblW w:w="13291" w:type="dxa"/>
        <w:tblLook w:val="04A0" w:firstRow="1" w:lastRow="0" w:firstColumn="1" w:lastColumn="0" w:noHBand="0" w:noVBand="1"/>
      </w:tblPr>
      <w:tblGrid>
        <w:gridCol w:w="13291"/>
      </w:tblGrid>
      <w:tr w:rsidR="003A3438" w:rsidTr="00BA4845">
        <w:trPr>
          <w:trHeight w:val="1106"/>
        </w:trPr>
        <w:tc>
          <w:tcPr>
            <w:tcW w:w="13291" w:type="dxa"/>
            <w:shd w:val="clear" w:color="auto" w:fill="auto"/>
            <w:vAlign w:val="bottom"/>
          </w:tcPr>
          <w:p w:rsidR="003A3438" w:rsidRPr="00161AA0" w:rsidRDefault="00326941" w:rsidP="00326941">
            <w:pPr>
              <w:pStyle w:val="DHHSmainheading"/>
            </w:pPr>
            <w:bookmarkStart w:id="1" w:name="_Toc410762195"/>
            <w:r w:rsidRPr="00326941">
              <w:lastRenderedPageBreak/>
              <w:t xml:space="preserve">Government response to the </w:t>
            </w:r>
            <w:r w:rsidRPr="00326941">
              <w:rPr>
                <w:i/>
              </w:rPr>
              <w:t>Review of response to the thunderstorm asthma event of 21-22 November 2016</w:t>
            </w:r>
          </w:p>
        </w:tc>
      </w:tr>
      <w:tr w:rsidR="003A3438" w:rsidTr="00CA6B58">
        <w:trPr>
          <w:trHeight w:hRule="exact" w:val="709"/>
        </w:trPr>
        <w:tc>
          <w:tcPr>
            <w:tcW w:w="13291" w:type="dxa"/>
            <w:shd w:val="clear" w:color="auto" w:fill="auto"/>
            <w:tcMar>
              <w:top w:w="340" w:type="dxa"/>
              <w:bottom w:w="680" w:type="dxa"/>
            </w:tcMar>
          </w:tcPr>
          <w:p w:rsidR="003A3438" w:rsidRDefault="00326941" w:rsidP="00840DF3">
            <w:pPr>
              <w:pStyle w:val="DHHSmainsubheading"/>
            </w:pPr>
            <w:r>
              <w:rPr>
                <w:sz w:val="30"/>
                <w:szCs w:val="30"/>
              </w:rPr>
              <w:t>Inter-agency working group</w:t>
            </w:r>
          </w:p>
        </w:tc>
      </w:tr>
      <w:bookmarkEnd w:id="1"/>
    </w:tbl>
    <w:p w:rsidR="00326941" w:rsidRDefault="00326941" w:rsidP="00326941">
      <w:pPr>
        <w:pStyle w:val="DHHSreportmaintitle"/>
        <w:rPr>
          <w:color w:val="0070C0"/>
        </w:rPr>
        <w:sectPr w:rsidR="00326941" w:rsidSect="00326941">
          <w:headerReference w:type="default" r:id="rId11"/>
          <w:footerReference w:type="default" r:id="rId12"/>
          <w:type w:val="continuous"/>
          <w:pgSz w:w="16838" w:h="11906" w:orient="landscape"/>
          <w:pgMar w:top="851" w:right="851" w:bottom="851" w:left="851" w:header="567" w:footer="510" w:gutter="0"/>
          <w:cols w:space="720"/>
          <w:docGrid w:linePitch="272"/>
        </w:sectPr>
      </w:pPr>
    </w:p>
    <w:p w:rsidR="00326941" w:rsidRPr="00704462" w:rsidRDefault="00326941" w:rsidP="00326941">
      <w:pPr>
        <w:pStyle w:val="DHHSreportmaintitle"/>
        <w:rPr>
          <w:color w:val="0070C0"/>
        </w:rPr>
      </w:pPr>
      <w:r>
        <w:rPr>
          <w:color w:val="0070C0"/>
        </w:rPr>
        <w:lastRenderedPageBreak/>
        <w:t>Introduction</w:t>
      </w:r>
    </w:p>
    <w:p w:rsidR="00326941" w:rsidRPr="005058A6" w:rsidRDefault="00326941" w:rsidP="00C6430F">
      <w:pPr>
        <w:pStyle w:val="DHHSbody"/>
      </w:pPr>
      <w:r>
        <w:t xml:space="preserve">On 27 April 2017, the Victorian Government </w:t>
      </w:r>
      <w:r w:rsidRPr="005058A6">
        <w:t xml:space="preserve">released the </w:t>
      </w:r>
      <w:r w:rsidRPr="00544448">
        <w:t>Inspector-G</w:t>
      </w:r>
      <w:r>
        <w:t xml:space="preserve">eneral for Emergency Management’s </w:t>
      </w:r>
      <w:r w:rsidRPr="00F6107E">
        <w:rPr>
          <w:i/>
        </w:rPr>
        <w:t>Review of response to the thunderstorm asthma event of 21-22 November 2016</w:t>
      </w:r>
      <w:r>
        <w:t xml:space="preserve"> Final report</w:t>
      </w:r>
      <w:r>
        <w:rPr>
          <w:rStyle w:val="FootnoteReference"/>
        </w:rPr>
        <w:footnoteReference w:id="1"/>
      </w:r>
      <w:r>
        <w:t>.</w:t>
      </w:r>
    </w:p>
    <w:p w:rsidR="00326941" w:rsidRPr="00544448" w:rsidRDefault="00326941" w:rsidP="00C6430F">
      <w:pPr>
        <w:pStyle w:val="DHHSbody"/>
      </w:pPr>
      <w:r w:rsidRPr="00544448">
        <w:t>The re</w:t>
      </w:r>
      <w:r>
        <w:t>view</w:t>
      </w:r>
      <w:r w:rsidRPr="00544448">
        <w:t xml:space="preserve"> found there was no evidence to suggest that this storm would result in a health emergency of such unprecedented scale and consequences, and that Victoria had no way of predicting the likely extent, or duration of the event.</w:t>
      </w:r>
    </w:p>
    <w:p w:rsidR="00326941" w:rsidRPr="00544448" w:rsidRDefault="00326941" w:rsidP="00C6430F">
      <w:pPr>
        <w:pStyle w:val="DHHSbody"/>
      </w:pPr>
      <w:r w:rsidRPr="00544448">
        <w:t>It confirm</w:t>
      </w:r>
      <w:r>
        <w:t>ed</w:t>
      </w:r>
      <w:r w:rsidRPr="00544448">
        <w:t xml:space="preserve"> that never before had hospitals, ambulance services and emergency call takers experienced such rapid-onset demand in such a condensed time period, and across such a large geographical area. It found Ambulance Victoria received the </w:t>
      </w:r>
      <w:r>
        <w:t>largest</w:t>
      </w:r>
      <w:r w:rsidRPr="00544448">
        <w:t xml:space="preserve"> number of requests for assistance within the shortest period, in Victoria’s history.</w:t>
      </w:r>
    </w:p>
    <w:p w:rsidR="00326941" w:rsidRDefault="00326941" w:rsidP="00C6430F">
      <w:pPr>
        <w:pStyle w:val="DHHSbody"/>
      </w:pPr>
      <w:r>
        <w:t>The review focussed on identifying opportunities to learn from this event in order to improve future preparedness and response arrangements and performance.</w:t>
      </w:r>
    </w:p>
    <w:p w:rsidR="00326941" w:rsidRDefault="00326941" w:rsidP="00C6430F">
      <w:pPr>
        <w:pStyle w:val="DHHSbody"/>
      </w:pPr>
      <w:r>
        <w:t>The Inspector-General made 16 recommendations in his report which have all been accepted in-principle by the G</w:t>
      </w:r>
      <w:r w:rsidRPr="00544448">
        <w:t>overnment</w:t>
      </w:r>
      <w:r>
        <w:t>.</w:t>
      </w:r>
    </w:p>
    <w:p w:rsidR="00326941" w:rsidRDefault="00326941" w:rsidP="00C6430F">
      <w:pPr>
        <w:pStyle w:val="DHHSbody"/>
      </w:pPr>
      <w:r>
        <w:t xml:space="preserve">Following the November event, significant steps have been taken to strengthen Victoria’s ability to better understand, predict and respond to events like this in </w:t>
      </w:r>
    </w:p>
    <w:p w:rsidR="00326941" w:rsidRDefault="00326941" w:rsidP="00C6430F">
      <w:pPr>
        <w:pStyle w:val="DHHSbody"/>
      </w:pPr>
    </w:p>
    <w:p w:rsidR="00326941" w:rsidRDefault="00326941" w:rsidP="00C6430F">
      <w:pPr>
        <w:pStyle w:val="DHHSbody"/>
      </w:pPr>
    </w:p>
    <w:p w:rsidR="00326941" w:rsidRDefault="00326941" w:rsidP="00C6430F">
      <w:pPr>
        <w:pStyle w:val="DHHSbody"/>
      </w:pPr>
    </w:p>
    <w:p w:rsidR="00326941" w:rsidRPr="00157B33" w:rsidRDefault="00326941" w:rsidP="00C6430F">
      <w:pPr>
        <w:pStyle w:val="DHHSbody"/>
      </w:pPr>
      <w:r>
        <w:t>the future. T</w:t>
      </w:r>
      <w:r w:rsidRPr="00157B33">
        <w:t xml:space="preserve">he following </w:t>
      </w:r>
      <w:r>
        <w:t xml:space="preserve">important </w:t>
      </w:r>
      <w:r w:rsidRPr="00157B33">
        <w:t xml:space="preserve">measures </w:t>
      </w:r>
      <w:r>
        <w:t xml:space="preserve">will be </w:t>
      </w:r>
      <w:r w:rsidRPr="00157B33">
        <w:t xml:space="preserve">in place </w:t>
      </w:r>
      <w:r>
        <w:t>by the commencement of the 2017 pollen season:</w:t>
      </w:r>
    </w:p>
    <w:p w:rsidR="00326941" w:rsidRPr="00157B33" w:rsidRDefault="00326941" w:rsidP="00C6430F">
      <w:pPr>
        <w:pStyle w:val="DHHSbullet1"/>
        <w:numPr>
          <w:ilvl w:val="0"/>
          <w:numId w:val="1"/>
        </w:numPr>
      </w:pPr>
      <w:r w:rsidRPr="00157B33">
        <w:t>a new State Health Emergency Response Plan</w:t>
      </w:r>
    </w:p>
    <w:p w:rsidR="00326941" w:rsidRPr="00157B33" w:rsidRDefault="00326941" w:rsidP="00C6430F">
      <w:pPr>
        <w:pStyle w:val="DHHSbullet1"/>
        <w:numPr>
          <w:ilvl w:val="0"/>
          <w:numId w:val="1"/>
        </w:numPr>
      </w:pPr>
      <w:r w:rsidRPr="00157B33">
        <w:t xml:space="preserve">early detection and monitoring of </w:t>
      </w:r>
      <w:r>
        <w:t xml:space="preserve">hospital </w:t>
      </w:r>
      <w:r w:rsidRPr="00157B33">
        <w:t>emergency department demand</w:t>
      </w:r>
    </w:p>
    <w:p w:rsidR="00326941" w:rsidRPr="00157B33" w:rsidRDefault="00326941" w:rsidP="00C6430F">
      <w:pPr>
        <w:pStyle w:val="DHHSbullet1"/>
        <w:numPr>
          <w:ilvl w:val="0"/>
          <w:numId w:val="1"/>
        </w:numPr>
      </w:pPr>
      <w:r w:rsidRPr="00157B33">
        <w:t>an epidemic thunderstorm asthma forecasting and warnings system</w:t>
      </w:r>
    </w:p>
    <w:p w:rsidR="00326941" w:rsidRDefault="00326941" w:rsidP="00C6430F">
      <w:pPr>
        <w:pStyle w:val="DHHSbullet1"/>
        <w:numPr>
          <w:ilvl w:val="0"/>
          <w:numId w:val="1"/>
        </w:numPr>
        <w:spacing w:after="0"/>
      </w:pPr>
      <w:r w:rsidRPr="00157B33">
        <w:t>public health communications, engagement and education.</w:t>
      </w:r>
    </w:p>
    <w:p w:rsidR="00326941" w:rsidRDefault="00326941" w:rsidP="00C6430F">
      <w:pPr>
        <w:pStyle w:val="DHHSbody"/>
        <w:spacing w:before="120"/>
      </w:pPr>
      <w:r w:rsidRPr="005058A6">
        <w:t>A</w:t>
      </w:r>
      <w:r>
        <w:t xml:space="preserve">n inter-agency </w:t>
      </w:r>
      <w:r w:rsidRPr="005058A6">
        <w:t xml:space="preserve">working group </w:t>
      </w:r>
      <w:r>
        <w:t xml:space="preserve">is in place to </w:t>
      </w:r>
      <w:r w:rsidRPr="005058A6">
        <w:t xml:space="preserve">oversee the </w:t>
      </w:r>
      <w:r>
        <w:t>g</w:t>
      </w:r>
      <w:r w:rsidRPr="005058A6">
        <w:t>overnment’s response to the Inspector-General’s review. The working grou</w:t>
      </w:r>
      <w:r>
        <w:t>p includes representatives from:</w:t>
      </w:r>
    </w:p>
    <w:p w:rsidR="00326941" w:rsidRDefault="00326941" w:rsidP="00C6430F">
      <w:pPr>
        <w:pStyle w:val="DHHSbullet1lastline"/>
      </w:pPr>
      <w:r w:rsidRPr="005058A6">
        <w:t>the Department of Health and Human Services</w:t>
      </w:r>
      <w:r>
        <w:t xml:space="preserve"> (Chair)</w:t>
      </w:r>
    </w:p>
    <w:p w:rsidR="00326941" w:rsidRDefault="00326941" w:rsidP="00C6430F">
      <w:pPr>
        <w:pStyle w:val="DHHSbullet1lastline"/>
      </w:pPr>
      <w:r w:rsidRPr="005058A6">
        <w:t>Emergency Management Victoria</w:t>
      </w:r>
    </w:p>
    <w:p w:rsidR="00326941" w:rsidRDefault="00326941" w:rsidP="00C6430F">
      <w:pPr>
        <w:pStyle w:val="DHHSbullet1lastline"/>
      </w:pPr>
      <w:r w:rsidRPr="005058A6">
        <w:t>Ambulance Victoria</w:t>
      </w:r>
    </w:p>
    <w:p w:rsidR="00326941" w:rsidRDefault="00326941" w:rsidP="00C6430F">
      <w:pPr>
        <w:pStyle w:val="DHHSbullet1lastline"/>
      </w:pPr>
      <w:r w:rsidRPr="005058A6">
        <w:t>Emergency Services Telecommunications Authority</w:t>
      </w:r>
    </w:p>
    <w:p w:rsidR="00326941" w:rsidRDefault="00326941" w:rsidP="00C6430F">
      <w:pPr>
        <w:pStyle w:val="DHHSbullet1lastline"/>
      </w:pPr>
      <w:r w:rsidRPr="005058A6">
        <w:t>Office of the Inspector-General for Emergency Management</w:t>
      </w:r>
      <w:r>
        <w:t xml:space="preserve"> (as observer).</w:t>
      </w:r>
    </w:p>
    <w:p w:rsidR="00326941" w:rsidRPr="00544448" w:rsidRDefault="00326941" w:rsidP="00C6430F">
      <w:pPr>
        <w:pStyle w:val="DHHSbody"/>
        <w:spacing w:before="120"/>
      </w:pPr>
      <w:r>
        <w:t>This report</w:t>
      </w:r>
      <w:r w:rsidR="00DD7B6A">
        <w:t xml:space="preserve"> (dated 22 September 2017) </w:t>
      </w:r>
      <w:r>
        <w:t>provides the Government’s response and outlines the key activity being undertaken to address the recommendations made by the Inspector-General.</w:t>
      </w:r>
    </w:p>
    <w:p w:rsidR="00326941" w:rsidRDefault="00326941" w:rsidP="00326941">
      <w:pPr>
        <w:outlineLvl w:val="0"/>
        <w:rPr>
          <w:rFonts w:ascii="Helvetica" w:eastAsia="Times New Roman" w:hAnsi="Helvetica"/>
          <w:color w:val="000000"/>
          <w:sz w:val="19"/>
          <w:szCs w:val="19"/>
          <w:lang w:eastAsia="en-AU"/>
        </w:rPr>
        <w:sectPr w:rsidR="00326941" w:rsidSect="00326941">
          <w:type w:val="continuous"/>
          <w:pgSz w:w="16838" w:h="11906" w:orient="landscape"/>
          <w:pgMar w:top="851" w:right="851" w:bottom="851" w:left="851" w:header="567" w:footer="510" w:gutter="0"/>
          <w:cols w:num="2" w:space="720"/>
          <w:docGrid w:linePitch="272"/>
        </w:sectPr>
      </w:pPr>
    </w:p>
    <w:p w:rsidR="00326941" w:rsidRPr="00584192" w:rsidRDefault="00326941" w:rsidP="00326941">
      <w:pPr>
        <w:outlineLvl w:val="0"/>
        <w:rPr>
          <w:sz w:val="28"/>
          <w:szCs w:val="28"/>
        </w:rPr>
      </w:pPr>
      <w:r w:rsidRPr="009E2F58">
        <w:rPr>
          <w:rFonts w:ascii="Helvetica" w:eastAsia="Times New Roman" w:hAnsi="Helvetica"/>
          <w:color w:val="000000"/>
          <w:sz w:val="19"/>
          <w:szCs w:val="19"/>
          <w:lang w:eastAsia="en-AU"/>
        </w:rPr>
        <w:lastRenderedPageBreak/>
        <w:br w:type="page"/>
      </w:r>
      <w:r w:rsidRPr="00584192">
        <w:rPr>
          <w:sz w:val="28"/>
          <w:szCs w:val="28"/>
        </w:rPr>
        <w:lastRenderedPageBreak/>
        <w:t>Recommendation 1</w:t>
      </w:r>
    </w:p>
    <w:tbl>
      <w:tblPr>
        <w:tblStyle w:val="TableGrid"/>
        <w:tblW w:w="0" w:type="auto"/>
        <w:tblLook w:val="04A0" w:firstRow="1" w:lastRow="0" w:firstColumn="1" w:lastColumn="0" w:noHBand="0" w:noVBand="1"/>
      </w:tblPr>
      <w:tblGrid>
        <w:gridCol w:w="8914"/>
        <w:gridCol w:w="4516"/>
        <w:gridCol w:w="1814"/>
      </w:tblGrid>
      <w:tr w:rsidR="00326941" w:rsidRPr="00FB3E85" w:rsidTr="00326941">
        <w:tc>
          <w:tcPr>
            <w:tcW w:w="0" w:type="auto"/>
            <w:gridSpan w:val="3"/>
            <w:tcBorders>
              <w:top w:val="double" w:sz="4" w:space="0" w:color="0070C0"/>
              <w:left w:val="nil"/>
              <w:bottom w:val="double" w:sz="4" w:space="0" w:color="0070C0"/>
              <w:right w:val="nil"/>
            </w:tcBorders>
          </w:tcPr>
          <w:p w:rsidR="00326941" w:rsidRPr="009935CB" w:rsidRDefault="00326941" w:rsidP="00326941">
            <w:pPr>
              <w:spacing w:after="120" w:line="270" w:lineRule="atLeast"/>
              <w:rPr>
                <w:rFonts w:eastAsia="Times"/>
                <w:b/>
                <w:color w:val="0070C0"/>
                <w:sz w:val="20"/>
                <w:szCs w:val="20"/>
              </w:rPr>
            </w:pPr>
            <w:r w:rsidRPr="009935CB">
              <w:rPr>
                <w:rFonts w:eastAsia="Times"/>
                <w:b/>
                <w:color w:val="0070C0"/>
                <w:sz w:val="20"/>
                <w:szCs w:val="20"/>
              </w:rPr>
              <w:t>The Inspector-General for Emergency Management (IGEM) acknowledges the work undertaken since 22 November 2016 and recommends that the Department of Health and Human Services (DHHS) continue to work with all relevant health services and broader health system organisations to establish and/or strengthen communication channels, processes and systems to enable effective, consistent and timely two-way information flow.</w:t>
            </w:r>
          </w:p>
          <w:p w:rsidR="00326941" w:rsidRPr="009935CB" w:rsidRDefault="00326941" w:rsidP="00326941">
            <w:pPr>
              <w:spacing w:after="120" w:line="270" w:lineRule="atLeast"/>
              <w:rPr>
                <w:rFonts w:eastAsia="Times"/>
                <w:b/>
                <w:color w:val="0070C0"/>
                <w:sz w:val="20"/>
                <w:szCs w:val="20"/>
              </w:rPr>
            </w:pPr>
            <w:r w:rsidRPr="009935CB">
              <w:rPr>
                <w:rFonts w:eastAsia="Times"/>
                <w:b/>
                <w:color w:val="0070C0"/>
                <w:sz w:val="20"/>
                <w:szCs w:val="20"/>
              </w:rPr>
              <w:t>This includes convening a regular forum, bringing together hospital representatives to ensure that when emergencies occur, previously established connections are in place so that appropriate personnel are kept informed.</w:t>
            </w:r>
          </w:p>
          <w:p w:rsidR="00326941" w:rsidRPr="00FB3E85" w:rsidRDefault="00326941" w:rsidP="00326941">
            <w:pPr>
              <w:spacing w:after="120" w:line="270" w:lineRule="atLeast"/>
              <w:rPr>
                <w:sz w:val="20"/>
                <w:szCs w:val="20"/>
              </w:rPr>
            </w:pPr>
            <w:r w:rsidRPr="009935CB">
              <w:rPr>
                <w:rFonts w:eastAsia="Times"/>
                <w:b/>
                <w:color w:val="0070C0"/>
                <w:sz w:val="20"/>
                <w:szCs w:val="20"/>
              </w:rPr>
              <w:t>DHHS should also establish or utilise existing governance arrangements to enable joint planning, bringing together organisations with a role in the health system to better prepare for, respond to and recover from emergencies. These governance arrangements should consider the role of broader health system organisations, including pharmacies, NURSE-ON-CALL and general practitioners.</w:t>
            </w:r>
          </w:p>
        </w:tc>
      </w:tr>
      <w:tr w:rsidR="000273E3" w:rsidRPr="008831A1" w:rsidTr="00326941">
        <w:tc>
          <w:tcPr>
            <w:tcW w:w="0" w:type="auto"/>
            <w:tcBorders>
              <w:top w:val="double" w:sz="4" w:space="0" w:color="0070C0"/>
              <w:left w:val="nil"/>
              <w:bottom w:val="double" w:sz="4" w:space="0" w:color="0070C0"/>
              <w:right w:val="nil"/>
            </w:tcBorders>
            <w:shd w:val="clear" w:color="auto" w:fill="548DD4"/>
          </w:tcPr>
          <w:p w:rsidR="000273E3" w:rsidRPr="00326941" w:rsidRDefault="000273E3" w:rsidP="00326941">
            <w:pPr>
              <w:rPr>
                <w:b/>
                <w:color w:val="FFFFFF"/>
                <w:sz w:val="20"/>
                <w:szCs w:val="20"/>
              </w:rPr>
            </w:pPr>
            <w:r w:rsidRPr="00326941">
              <w:rPr>
                <w:b/>
                <w:color w:val="FFFFFF"/>
                <w:sz w:val="20"/>
                <w:szCs w:val="20"/>
              </w:rPr>
              <w:t>Government response (Lead agency: DHHS)</w:t>
            </w:r>
          </w:p>
        </w:tc>
        <w:tc>
          <w:tcPr>
            <w:tcW w:w="4516" w:type="dxa"/>
            <w:tcBorders>
              <w:top w:val="double" w:sz="4" w:space="0" w:color="0070C0"/>
              <w:left w:val="nil"/>
              <w:bottom w:val="double" w:sz="4" w:space="0" w:color="0070C0"/>
              <w:right w:val="nil"/>
            </w:tcBorders>
            <w:shd w:val="clear" w:color="auto" w:fill="548DD4"/>
          </w:tcPr>
          <w:p w:rsidR="000273E3" w:rsidRPr="00326941" w:rsidRDefault="000273E3" w:rsidP="00326941">
            <w:pPr>
              <w:rPr>
                <w:b/>
                <w:color w:val="FFFFFF"/>
                <w:sz w:val="20"/>
                <w:szCs w:val="20"/>
              </w:rPr>
            </w:pPr>
            <w:r w:rsidRPr="00326941">
              <w:rPr>
                <w:b/>
                <w:color w:val="FFFFFF"/>
                <w:sz w:val="20"/>
                <w:szCs w:val="20"/>
              </w:rPr>
              <w:t>Actions/Deliverables</w:t>
            </w:r>
          </w:p>
        </w:tc>
        <w:tc>
          <w:tcPr>
            <w:tcW w:w="1814" w:type="dxa"/>
            <w:tcBorders>
              <w:top w:val="double" w:sz="4" w:space="0" w:color="0070C0"/>
              <w:left w:val="nil"/>
              <w:bottom w:val="double" w:sz="4" w:space="0" w:color="0070C0"/>
              <w:right w:val="nil"/>
            </w:tcBorders>
            <w:shd w:val="clear" w:color="auto" w:fill="548DD4"/>
          </w:tcPr>
          <w:p w:rsidR="000273E3" w:rsidRPr="00326941" w:rsidRDefault="000273E3" w:rsidP="00326941">
            <w:pPr>
              <w:rPr>
                <w:b/>
                <w:color w:val="FFFFFF"/>
                <w:sz w:val="20"/>
                <w:szCs w:val="20"/>
              </w:rPr>
            </w:pPr>
            <w:r w:rsidRPr="00326941">
              <w:rPr>
                <w:b/>
                <w:color w:val="FFFFFF"/>
                <w:sz w:val="20"/>
                <w:szCs w:val="20"/>
              </w:rPr>
              <w:t>Completion date</w:t>
            </w:r>
          </w:p>
        </w:tc>
      </w:tr>
      <w:tr w:rsidR="000273E3" w:rsidRPr="00FB3E85" w:rsidTr="00041419">
        <w:trPr>
          <w:trHeight w:val="1640"/>
        </w:trPr>
        <w:tc>
          <w:tcPr>
            <w:tcW w:w="0" w:type="auto"/>
            <w:vMerge w:val="restart"/>
            <w:tcBorders>
              <w:top w:val="double" w:sz="4" w:space="0" w:color="0070C0"/>
            </w:tcBorders>
          </w:tcPr>
          <w:p w:rsidR="000273E3" w:rsidRPr="00704462" w:rsidRDefault="000273E3" w:rsidP="00326941">
            <w:pPr>
              <w:spacing w:after="120"/>
              <w:rPr>
                <w:sz w:val="20"/>
                <w:szCs w:val="20"/>
              </w:rPr>
            </w:pPr>
            <w:r w:rsidRPr="00704462">
              <w:rPr>
                <w:sz w:val="20"/>
                <w:szCs w:val="20"/>
              </w:rPr>
              <w:t>The government supports strengthening communications between DHHS, health services and the broader health system to facilitate more effective response planning for future rapid-onset health emergencies.</w:t>
            </w:r>
          </w:p>
          <w:p w:rsidR="000273E3" w:rsidRPr="00704462" w:rsidRDefault="000273E3" w:rsidP="00326941">
            <w:pPr>
              <w:spacing w:before="120" w:after="120"/>
              <w:rPr>
                <w:sz w:val="20"/>
                <w:szCs w:val="20"/>
              </w:rPr>
            </w:pPr>
            <w:r>
              <w:rPr>
                <w:sz w:val="20"/>
                <w:szCs w:val="20"/>
              </w:rPr>
              <w:t>The DHHS</w:t>
            </w:r>
            <w:r w:rsidRPr="00704462">
              <w:rPr>
                <w:sz w:val="20"/>
                <w:szCs w:val="20"/>
              </w:rPr>
              <w:t xml:space="preserve"> Health and Medical Emergency Management Stakeholder Reference Group (reference group) </w:t>
            </w:r>
            <w:r>
              <w:rPr>
                <w:sz w:val="20"/>
                <w:szCs w:val="20"/>
              </w:rPr>
              <w:t xml:space="preserve">has been </w:t>
            </w:r>
            <w:r w:rsidRPr="00704462">
              <w:rPr>
                <w:sz w:val="20"/>
                <w:szCs w:val="20"/>
              </w:rPr>
              <w:t>place</w:t>
            </w:r>
            <w:r>
              <w:rPr>
                <w:sz w:val="20"/>
                <w:szCs w:val="20"/>
              </w:rPr>
              <w:t xml:space="preserve"> in place since 2014</w:t>
            </w:r>
            <w:r w:rsidRPr="00704462">
              <w:rPr>
                <w:sz w:val="20"/>
                <w:szCs w:val="20"/>
              </w:rPr>
              <w:t xml:space="preserve">, providing the key forum for strategic health </w:t>
            </w:r>
            <w:r>
              <w:rPr>
                <w:sz w:val="20"/>
                <w:szCs w:val="20"/>
              </w:rPr>
              <w:t xml:space="preserve">emergency </w:t>
            </w:r>
            <w:r w:rsidRPr="00704462">
              <w:rPr>
                <w:sz w:val="20"/>
                <w:szCs w:val="20"/>
              </w:rPr>
              <w:t>response planning.  The reference group is convened at least four times per year</w:t>
            </w:r>
            <w:r>
              <w:rPr>
                <w:sz w:val="20"/>
                <w:szCs w:val="20"/>
              </w:rPr>
              <w:t>, chaired by DHHS,</w:t>
            </w:r>
            <w:r w:rsidRPr="00704462">
              <w:rPr>
                <w:sz w:val="20"/>
                <w:szCs w:val="20"/>
              </w:rPr>
              <w:t xml:space="preserve"> and includes members from across the health sector including the Pharmacy Guild and Primary Health Network Alliance. </w:t>
            </w:r>
          </w:p>
          <w:p w:rsidR="000273E3" w:rsidRPr="00704462" w:rsidRDefault="000273E3" w:rsidP="00326941">
            <w:pPr>
              <w:spacing w:before="120" w:after="120"/>
              <w:rPr>
                <w:sz w:val="20"/>
                <w:szCs w:val="20"/>
              </w:rPr>
            </w:pPr>
            <w:r>
              <w:rPr>
                <w:sz w:val="20"/>
                <w:szCs w:val="20"/>
              </w:rPr>
              <w:t>Since the November 2016 event t</w:t>
            </w:r>
            <w:r w:rsidRPr="00704462">
              <w:rPr>
                <w:sz w:val="20"/>
                <w:szCs w:val="20"/>
              </w:rPr>
              <w:t xml:space="preserve">he reference group has provided specific input into improving emergency communications systems for the sector including contributing to the </w:t>
            </w:r>
            <w:r w:rsidRPr="00B66273">
              <w:rPr>
                <w:sz w:val="20"/>
                <w:szCs w:val="20"/>
              </w:rPr>
              <w:t>review of the State Health Emergency Response</w:t>
            </w:r>
            <w:r>
              <w:rPr>
                <w:sz w:val="20"/>
                <w:szCs w:val="20"/>
              </w:rPr>
              <w:t xml:space="preserve"> Plan and broader arrangements.</w:t>
            </w:r>
            <w:r w:rsidRPr="00704462">
              <w:rPr>
                <w:sz w:val="20"/>
                <w:szCs w:val="20"/>
              </w:rPr>
              <w:t xml:space="preserve"> </w:t>
            </w:r>
          </w:p>
          <w:p w:rsidR="000273E3" w:rsidRPr="00704462" w:rsidRDefault="000273E3" w:rsidP="00326941">
            <w:pPr>
              <w:spacing w:before="120" w:after="120"/>
              <w:rPr>
                <w:sz w:val="20"/>
                <w:szCs w:val="20"/>
              </w:rPr>
            </w:pPr>
            <w:r w:rsidRPr="00704462">
              <w:rPr>
                <w:sz w:val="20"/>
                <w:szCs w:val="20"/>
              </w:rPr>
              <w:t xml:space="preserve">The reference group </w:t>
            </w:r>
            <w:r>
              <w:rPr>
                <w:sz w:val="20"/>
                <w:szCs w:val="20"/>
              </w:rPr>
              <w:t>provided input to the definition of roles</w:t>
            </w:r>
            <w:r w:rsidRPr="00704462">
              <w:rPr>
                <w:sz w:val="20"/>
                <w:szCs w:val="20"/>
              </w:rPr>
              <w:t>, responsibilities and high-level processes required for health sector communications and em</w:t>
            </w:r>
            <w:r>
              <w:rPr>
                <w:sz w:val="20"/>
                <w:szCs w:val="20"/>
              </w:rPr>
              <w:t xml:space="preserve">ergency management coordination which are outlined in the new </w:t>
            </w:r>
            <w:r w:rsidRPr="00B33DB8">
              <w:rPr>
                <w:sz w:val="20"/>
                <w:szCs w:val="20"/>
              </w:rPr>
              <w:t>State Health Emergency Response Plan (fourth edition) (SHERP4)</w:t>
            </w:r>
            <w:r>
              <w:rPr>
                <w:sz w:val="20"/>
                <w:szCs w:val="20"/>
              </w:rPr>
              <w:t xml:space="preserve"> which will be effective from 1 October 2017.</w:t>
            </w:r>
          </w:p>
          <w:p w:rsidR="000273E3" w:rsidRPr="00FB3E85" w:rsidRDefault="000273E3" w:rsidP="00041419">
            <w:pPr>
              <w:rPr>
                <w:sz w:val="20"/>
                <w:szCs w:val="20"/>
              </w:rPr>
            </w:pPr>
            <w:r w:rsidRPr="00704462">
              <w:rPr>
                <w:sz w:val="20"/>
                <w:szCs w:val="20"/>
              </w:rPr>
              <w:t xml:space="preserve">The </w:t>
            </w:r>
            <w:r>
              <w:rPr>
                <w:sz w:val="20"/>
                <w:szCs w:val="20"/>
              </w:rPr>
              <w:t>t</w:t>
            </w:r>
            <w:r w:rsidRPr="00704462">
              <w:rPr>
                <w:sz w:val="20"/>
                <w:szCs w:val="20"/>
              </w:rPr>
              <w:t xml:space="preserve">erms of </w:t>
            </w:r>
            <w:r>
              <w:rPr>
                <w:sz w:val="20"/>
                <w:szCs w:val="20"/>
              </w:rPr>
              <w:t>r</w:t>
            </w:r>
            <w:r w:rsidRPr="00704462">
              <w:rPr>
                <w:sz w:val="20"/>
                <w:szCs w:val="20"/>
              </w:rPr>
              <w:t xml:space="preserve">eference for the reference group </w:t>
            </w:r>
            <w:r>
              <w:rPr>
                <w:sz w:val="20"/>
                <w:szCs w:val="20"/>
              </w:rPr>
              <w:t>have been</w:t>
            </w:r>
            <w:r w:rsidRPr="00704462">
              <w:rPr>
                <w:sz w:val="20"/>
                <w:szCs w:val="20"/>
              </w:rPr>
              <w:t xml:space="preserve"> reviewed </w:t>
            </w:r>
            <w:r>
              <w:rPr>
                <w:sz w:val="20"/>
                <w:szCs w:val="20"/>
              </w:rPr>
              <w:t>to ensure alignment with</w:t>
            </w:r>
            <w:r w:rsidRPr="00704462">
              <w:rPr>
                <w:sz w:val="20"/>
                <w:szCs w:val="20"/>
              </w:rPr>
              <w:t xml:space="preserve"> SHERP4 </w:t>
            </w:r>
            <w:r>
              <w:rPr>
                <w:sz w:val="20"/>
                <w:szCs w:val="20"/>
              </w:rPr>
              <w:t xml:space="preserve">and </w:t>
            </w:r>
            <w:r w:rsidRPr="00704462">
              <w:rPr>
                <w:sz w:val="20"/>
                <w:szCs w:val="20"/>
              </w:rPr>
              <w:t>to reaffirm the group’s continuing role in supporting communications and joint emergency management planning with the health sector.</w:t>
            </w:r>
          </w:p>
        </w:tc>
        <w:tc>
          <w:tcPr>
            <w:tcW w:w="4516" w:type="dxa"/>
            <w:tcBorders>
              <w:top w:val="double" w:sz="4" w:space="0" w:color="0070C0"/>
            </w:tcBorders>
          </w:tcPr>
          <w:p w:rsidR="000273E3" w:rsidRPr="00FB3E85" w:rsidRDefault="000273E3" w:rsidP="00041419">
            <w:pPr>
              <w:rPr>
                <w:sz w:val="20"/>
                <w:szCs w:val="20"/>
              </w:rPr>
            </w:pPr>
            <w:r>
              <w:rPr>
                <w:sz w:val="20"/>
                <w:szCs w:val="20"/>
              </w:rPr>
              <w:t xml:space="preserve">Engage Health and Medical Emergency Management Stakeholder Reference group </w:t>
            </w:r>
            <w:r w:rsidRPr="00FB3E85">
              <w:rPr>
                <w:sz w:val="20"/>
                <w:szCs w:val="20"/>
              </w:rPr>
              <w:t xml:space="preserve">on requirements for </w:t>
            </w:r>
            <w:r>
              <w:rPr>
                <w:sz w:val="20"/>
                <w:szCs w:val="20"/>
              </w:rPr>
              <w:t xml:space="preserve">health sector </w:t>
            </w:r>
            <w:r w:rsidRPr="00FB3E85">
              <w:rPr>
                <w:sz w:val="20"/>
                <w:szCs w:val="20"/>
              </w:rPr>
              <w:t>communications and coordination and capacity and capability</w:t>
            </w:r>
            <w:r>
              <w:rPr>
                <w:sz w:val="20"/>
                <w:szCs w:val="20"/>
              </w:rPr>
              <w:t xml:space="preserve"> in SHERP4.</w:t>
            </w:r>
          </w:p>
        </w:tc>
        <w:tc>
          <w:tcPr>
            <w:tcW w:w="1814" w:type="dxa"/>
            <w:tcBorders>
              <w:top w:val="double" w:sz="4" w:space="0" w:color="0070C0"/>
            </w:tcBorders>
          </w:tcPr>
          <w:p w:rsidR="000273E3" w:rsidRPr="00FB3E85" w:rsidRDefault="000273E3" w:rsidP="000135E3">
            <w:pPr>
              <w:rPr>
                <w:sz w:val="20"/>
                <w:szCs w:val="20"/>
              </w:rPr>
            </w:pPr>
            <w:r>
              <w:rPr>
                <w:sz w:val="20"/>
                <w:szCs w:val="20"/>
              </w:rPr>
              <w:t>June 2017</w:t>
            </w:r>
          </w:p>
        </w:tc>
      </w:tr>
      <w:tr w:rsidR="000273E3" w:rsidTr="00041419">
        <w:trPr>
          <w:trHeight w:val="1590"/>
        </w:trPr>
        <w:tc>
          <w:tcPr>
            <w:tcW w:w="0" w:type="auto"/>
            <w:vMerge/>
          </w:tcPr>
          <w:p w:rsidR="000273E3" w:rsidRPr="00FB3E85" w:rsidRDefault="000273E3" w:rsidP="00326941">
            <w:pPr>
              <w:spacing w:after="120"/>
              <w:rPr>
                <w:sz w:val="20"/>
                <w:szCs w:val="20"/>
              </w:rPr>
            </w:pPr>
          </w:p>
        </w:tc>
        <w:tc>
          <w:tcPr>
            <w:tcW w:w="4516" w:type="dxa"/>
          </w:tcPr>
          <w:p w:rsidR="000273E3" w:rsidRDefault="000273E3" w:rsidP="00041419">
            <w:pPr>
              <w:spacing w:before="120" w:after="120"/>
              <w:rPr>
                <w:sz w:val="20"/>
                <w:szCs w:val="20"/>
              </w:rPr>
            </w:pPr>
            <w:r>
              <w:rPr>
                <w:sz w:val="20"/>
                <w:szCs w:val="20"/>
              </w:rPr>
              <w:t>Finalise SHERP4</w:t>
            </w:r>
            <w:r w:rsidRPr="00FB3E85">
              <w:rPr>
                <w:sz w:val="20"/>
                <w:szCs w:val="20"/>
              </w:rPr>
              <w:t xml:space="preserve"> </w:t>
            </w:r>
            <w:r>
              <w:rPr>
                <w:sz w:val="20"/>
                <w:szCs w:val="20"/>
              </w:rPr>
              <w:t xml:space="preserve">to include </w:t>
            </w:r>
            <w:r w:rsidRPr="00FB3E85">
              <w:rPr>
                <w:sz w:val="20"/>
                <w:szCs w:val="20"/>
              </w:rPr>
              <w:t>requirements for communications and coordination and capacity and capability</w:t>
            </w:r>
            <w:r>
              <w:rPr>
                <w:sz w:val="20"/>
                <w:szCs w:val="20"/>
              </w:rPr>
              <w:t>.</w:t>
            </w:r>
          </w:p>
        </w:tc>
        <w:tc>
          <w:tcPr>
            <w:tcW w:w="1814" w:type="dxa"/>
          </w:tcPr>
          <w:p w:rsidR="000273E3" w:rsidRDefault="000135E3" w:rsidP="00041419">
            <w:pPr>
              <w:rPr>
                <w:sz w:val="20"/>
                <w:szCs w:val="20"/>
              </w:rPr>
            </w:pPr>
            <w:r>
              <w:rPr>
                <w:sz w:val="20"/>
                <w:szCs w:val="20"/>
              </w:rPr>
              <w:t>July 2017</w:t>
            </w:r>
          </w:p>
          <w:p w:rsidR="000273E3" w:rsidRDefault="000273E3" w:rsidP="00041419">
            <w:pPr>
              <w:rPr>
                <w:sz w:val="20"/>
                <w:szCs w:val="20"/>
              </w:rPr>
            </w:pPr>
            <w:r>
              <w:rPr>
                <w:sz w:val="20"/>
                <w:szCs w:val="20"/>
              </w:rPr>
              <w:t>1 October 2017</w:t>
            </w:r>
          </w:p>
        </w:tc>
      </w:tr>
      <w:tr w:rsidR="000273E3" w:rsidTr="00041419">
        <w:trPr>
          <w:trHeight w:val="583"/>
        </w:trPr>
        <w:tc>
          <w:tcPr>
            <w:tcW w:w="0" w:type="auto"/>
            <w:vMerge/>
          </w:tcPr>
          <w:p w:rsidR="000273E3" w:rsidRPr="00FB3E85" w:rsidRDefault="000273E3" w:rsidP="00326941">
            <w:pPr>
              <w:spacing w:after="120"/>
              <w:rPr>
                <w:sz w:val="20"/>
                <w:szCs w:val="20"/>
              </w:rPr>
            </w:pPr>
          </w:p>
        </w:tc>
        <w:tc>
          <w:tcPr>
            <w:tcW w:w="4516" w:type="dxa"/>
          </w:tcPr>
          <w:p w:rsidR="000273E3" w:rsidRDefault="000273E3" w:rsidP="00041419">
            <w:pPr>
              <w:spacing w:before="120" w:after="120"/>
              <w:rPr>
                <w:sz w:val="20"/>
                <w:szCs w:val="20"/>
              </w:rPr>
            </w:pPr>
            <w:r>
              <w:rPr>
                <w:sz w:val="20"/>
                <w:szCs w:val="20"/>
              </w:rPr>
              <w:t xml:space="preserve">Develop guidance notes on arrangements for health sector emergency response capability and capacity. </w:t>
            </w:r>
          </w:p>
        </w:tc>
        <w:tc>
          <w:tcPr>
            <w:tcW w:w="1814" w:type="dxa"/>
          </w:tcPr>
          <w:p w:rsidR="000273E3" w:rsidRDefault="000273E3" w:rsidP="00EB504B">
            <w:pPr>
              <w:rPr>
                <w:sz w:val="20"/>
                <w:szCs w:val="20"/>
              </w:rPr>
            </w:pPr>
            <w:r>
              <w:rPr>
                <w:sz w:val="20"/>
                <w:szCs w:val="20"/>
              </w:rPr>
              <w:t>1 October 2017</w:t>
            </w:r>
          </w:p>
        </w:tc>
      </w:tr>
    </w:tbl>
    <w:p w:rsidR="00EB504B" w:rsidRDefault="00EB504B">
      <w:pPr>
        <w:spacing w:after="0" w:line="240" w:lineRule="auto"/>
        <w:rPr>
          <w:sz w:val="28"/>
          <w:szCs w:val="28"/>
        </w:rPr>
      </w:pPr>
      <w:r>
        <w:rPr>
          <w:sz w:val="28"/>
          <w:szCs w:val="28"/>
        </w:rPr>
        <w:br w:type="page"/>
      </w:r>
    </w:p>
    <w:p w:rsidR="00326941" w:rsidRDefault="00326941" w:rsidP="00326941">
      <w:pPr>
        <w:outlineLvl w:val="0"/>
        <w:rPr>
          <w:sz w:val="28"/>
          <w:szCs w:val="28"/>
        </w:rPr>
      </w:pPr>
      <w:r w:rsidRPr="009E4FCD">
        <w:rPr>
          <w:sz w:val="28"/>
          <w:szCs w:val="28"/>
        </w:rPr>
        <w:lastRenderedPageBreak/>
        <w:t>Recommendation 2</w:t>
      </w:r>
    </w:p>
    <w:tbl>
      <w:tblPr>
        <w:tblStyle w:val="TableGrid"/>
        <w:tblW w:w="15309" w:type="dxa"/>
        <w:tblCellMar>
          <w:top w:w="113" w:type="dxa"/>
        </w:tblCellMar>
        <w:tblLook w:val="04A0" w:firstRow="1" w:lastRow="0" w:firstColumn="1" w:lastColumn="0" w:noHBand="0" w:noVBand="1"/>
      </w:tblPr>
      <w:tblGrid>
        <w:gridCol w:w="8931"/>
        <w:gridCol w:w="4536"/>
        <w:gridCol w:w="1842"/>
      </w:tblGrid>
      <w:tr w:rsidR="00122E2E" w:rsidRPr="008831A1" w:rsidTr="00041419">
        <w:tc>
          <w:tcPr>
            <w:tcW w:w="8931"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Government response (Lead agency: DHHS)</w:t>
            </w:r>
          </w:p>
        </w:tc>
        <w:tc>
          <w:tcPr>
            <w:tcW w:w="4536"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Completion date</w:t>
            </w:r>
          </w:p>
        </w:tc>
      </w:tr>
      <w:tr w:rsidR="00122E2E" w:rsidRPr="00FB3E85" w:rsidTr="00C6430F">
        <w:trPr>
          <w:trHeight w:val="769"/>
        </w:trPr>
        <w:tc>
          <w:tcPr>
            <w:tcW w:w="8931" w:type="dxa"/>
            <w:vMerge w:val="restart"/>
            <w:tcBorders>
              <w:top w:val="double" w:sz="4" w:space="0" w:color="0070C0"/>
            </w:tcBorders>
          </w:tcPr>
          <w:p w:rsidR="00122E2E" w:rsidRPr="00704462" w:rsidRDefault="00122E2E" w:rsidP="00326941">
            <w:pPr>
              <w:spacing w:after="120" w:line="270" w:lineRule="atLeast"/>
              <w:rPr>
                <w:rFonts w:eastAsia="MS Mincho"/>
                <w:bCs/>
                <w:sz w:val="20"/>
                <w:szCs w:val="20"/>
              </w:rPr>
            </w:pPr>
            <w:r w:rsidRPr="00704462">
              <w:rPr>
                <w:rFonts w:eastAsia="MS Mincho"/>
                <w:bCs/>
                <w:sz w:val="20"/>
                <w:szCs w:val="20"/>
              </w:rPr>
              <w:t xml:space="preserve">The government recognises the importance of maintaining situational awareness of the demand on health services.  </w:t>
            </w:r>
          </w:p>
          <w:p w:rsidR="00122E2E" w:rsidRPr="00704462" w:rsidRDefault="00122E2E" w:rsidP="00326941">
            <w:pPr>
              <w:spacing w:after="120" w:line="270" w:lineRule="atLeast"/>
              <w:rPr>
                <w:rFonts w:eastAsia="Times"/>
                <w:sz w:val="20"/>
                <w:szCs w:val="20"/>
              </w:rPr>
            </w:pPr>
            <w:r>
              <w:rPr>
                <w:rFonts w:eastAsia="Times"/>
                <w:sz w:val="20"/>
                <w:szCs w:val="20"/>
              </w:rPr>
              <w:t>DHHS has established a hospital single contact point for public and private health services that provide acute care.  A</w:t>
            </w:r>
            <w:r w:rsidRPr="00704462">
              <w:rPr>
                <w:rFonts w:eastAsia="Times"/>
                <w:sz w:val="20"/>
                <w:szCs w:val="20"/>
              </w:rPr>
              <w:t xml:space="preserve"> SMS</w:t>
            </w:r>
            <w:r>
              <w:rPr>
                <w:rFonts w:eastAsia="Times"/>
                <w:sz w:val="20"/>
                <w:szCs w:val="20"/>
              </w:rPr>
              <w:t xml:space="preserve"> </w:t>
            </w:r>
            <w:r w:rsidRPr="00704462">
              <w:rPr>
                <w:rFonts w:eastAsia="Times"/>
                <w:sz w:val="20"/>
                <w:szCs w:val="20"/>
              </w:rPr>
              <w:t xml:space="preserve">notification </w:t>
            </w:r>
            <w:r>
              <w:rPr>
                <w:rFonts w:eastAsia="Times"/>
                <w:sz w:val="20"/>
                <w:szCs w:val="20"/>
              </w:rPr>
              <w:t xml:space="preserve">capability has been developed </w:t>
            </w:r>
            <w:r w:rsidRPr="00704462">
              <w:rPr>
                <w:rFonts w:eastAsia="Times"/>
                <w:sz w:val="20"/>
                <w:szCs w:val="20"/>
              </w:rPr>
              <w:t>to alert health services to emerging issues</w:t>
            </w:r>
            <w:r>
              <w:rPr>
                <w:rFonts w:eastAsia="Times"/>
                <w:sz w:val="20"/>
                <w:szCs w:val="20"/>
              </w:rPr>
              <w:t xml:space="preserve"> and</w:t>
            </w:r>
            <w:r w:rsidRPr="00704462">
              <w:rPr>
                <w:rFonts w:eastAsia="Times"/>
                <w:sz w:val="20"/>
                <w:szCs w:val="20"/>
              </w:rPr>
              <w:t xml:space="preserve"> potential impacts on services</w:t>
            </w:r>
            <w:r>
              <w:rPr>
                <w:rFonts w:eastAsia="Times"/>
                <w:sz w:val="20"/>
                <w:szCs w:val="20"/>
              </w:rPr>
              <w:t>.</w:t>
            </w:r>
            <w:r w:rsidRPr="00704462">
              <w:rPr>
                <w:rFonts w:eastAsia="Times"/>
                <w:sz w:val="20"/>
                <w:szCs w:val="20"/>
              </w:rPr>
              <w:t xml:space="preserve">  </w:t>
            </w:r>
          </w:p>
          <w:p w:rsidR="00122E2E" w:rsidRPr="00704462" w:rsidRDefault="00122E2E" w:rsidP="00326941">
            <w:pPr>
              <w:rPr>
                <w:rFonts w:eastAsia="Times"/>
                <w:sz w:val="20"/>
                <w:szCs w:val="20"/>
              </w:rPr>
            </w:pPr>
            <w:r w:rsidRPr="00704462">
              <w:rPr>
                <w:rFonts w:eastAsia="Times"/>
                <w:sz w:val="20"/>
                <w:szCs w:val="20"/>
              </w:rPr>
              <w:t xml:space="preserve">DHHS is also working with hospitals to ensure early </w:t>
            </w:r>
            <w:r>
              <w:rPr>
                <w:rFonts w:eastAsia="Times"/>
                <w:sz w:val="20"/>
                <w:szCs w:val="20"/>
              </w:rPr>
              <w:t xml:space="preserve">notification of </w:t>
            </w:r>
            <w:r w:rsidRPr="00704462">
              <w:rPr>
                <w:rFonts w:eastAsia="Times"/>
                <w:sz w:val="20"/>
                <w:szCs w:val="20"/>
              </w:rPr>
              <w:t>emergency department demand</w:t>
            </w:r>
            <w:r>
              <w:rPr>
                <w:rFonts w:eastAsia="Times"/>
                <w:sz w:val="20"/>
                <w:szCs w:val="20"/>
              </w:rPr>
              <w:t xml:space="preserve"> through development of the </w:t>
            </w:r>
            <w:r>
              <w:rPr>
                <w:sz w:val="20"/>
                <w:szCs w:val="20"/>
              </w:rPr>
              <w:t xml:space="preserve">Real-time Emergency Department Information Trending system (REDITS) which is an IT monitoring system </w:t>
            </w:r>
            <w:r w:rsidRPr="00704462">
              <w:rPr>
                <w:rFonts w:eastAsia="Times"/>
                <w:sz w:val="20"/>
                <w:szCs w:val="20"/>
              </w:rPr>
              <w:t xml:space="preserve">that </w:t>
            </w:r>
            <w:r>
              <w:rPr>
                <w:rFonts w:eastAsia="Times"/>
                <w:sz w:val="20"/>
                <w:szCs w:val="20"/>
              </w:rPr>
              <w:t>displays</w:t>
            </w:r>
            <w:r w:rsidRPr="00704462">
              <w:rPr>
                <w:rFonts w:eastAsia="Times"/>
                <w:sz w:val="20"/>
                <w:szCs w:val="20"/>
              </w:rPr>
              <w:t xml:space="preserve"> emergency department presentations data in real time</w:t>
            </w:r>
            <w:r>
              <w:rPr>
                <w:rFonts w:eastAsia="Times"/>
                <w:sz w:val="20"/>
                <w:szCs w:val="20"/>
              </w:rPr>
              <w:t>. This</w:t>
            </w:r>
            <w:r w:rsidRPr="00704462">
              <w:rPr>
                <w:rFonts w:eastAsia="Times"/>
                <w:sz w:val="20"/>
                <w:szCs w:val="20"/>
              </w:rPr>
              <w:t xml:space="preserve"> will contribute significantly to </w:t>
            </w:r>
            <w:r>
              <w:rPr>
                <w:rFonts w:eastAsia="Times"/>
                <w:sz w:val="20"/>
                <w:szCs w:val="20"/>
              </w:rPr>
              <w:t>DHHS’s</w:t>
            </w:r>
            <w:r w:rsidRPr="00704462">
              <w:rPr>
                <w:rFonts w:eastAsia="Times"/>
                <w:sz w:val="20"/>
                <w:szCs w:val="20"/>
              </w:rPr>
              <w:t xml:space="preserve"> capability to monitor</w:t>
            </w:r>
            <w:r>
              <w:rPr>
                <w:rFonts w:eastAsia="Times"/>
                <w:sz w:val="20"/>
                <w:szCs w:val="20"/>
              </w:rPr>
              <w:t xml:space="preserve"> surges in </w:t>
            </w:r>
            <w:r w:rsidRPr="00704462">
              <w:rPr>
                <w:rFonts w:eastAsia="Times"/>
                <w:sz w:val="20"/>
                <w:szCs w:val="20"/>
              </w:rPr>
              <w:t xml:space="preserve">demand on the health sector.  </w:t>
            </w:r>
          </w:p>
          <w:p w:rsidR="00122E2E" w:rsidRDefault="00122E2E" w:rsidP="00326941">
            <w:pPr>
              <w:spacing w:after="120" w:line="270" w:lineRule="atLeast"/>
              <w:rPr>
                <w:rFonts w:eastAsia="Times"/>
                <w:sz w:val="20"/>
                <w:szCs w:val="20"/>
              </w:rPr>
            </w:pPr>
            <w:r w:rsidRPr="00704462">
              <w:rPr>
                <w:rFonts w:eastAsia="Times"/>
                <w:sz w:val="20"/>
                <w:szCs w:val="20"/>
              </w:rPr>
              <w:t xml:space="preserve">Thresholds built into the system trigger an alert to notify DHHS when numbers of emergency department presentations </w:t>
            </w:r>
            <w:r>
              <w:rPr>
                <w:rFonts w:eastAsia="Times"/>
                <w:sz w:val="20"/>
                <w:szCs w:val="20"/>
              </w:rPr>
              <w:t>exceed acceptable threshold levels for a period of time. R</w:t>
            </w:r>
            <w:r w:rsidRPr="00704462">
              <w:rPr>
                <w:rFonts w:eastAsia="Times"/>
                <w:sz w:val="20"/>
                <w:szCs w:val="20"/>
              </w:rPr>
              <w:t xml:space="preserve">eal-time data from the system </w:t>
            </w:r>
            <w:r>
              <w:rPr>
                <w:rFonts w:eastAsia="Times"/>
                <w:sz w:val="20"/>
                <w:szCs w:val="20"/>
              </w:rPr>
              <w:t>will ena</w:t>
            </w:r>
            <w:r w:rsidRPr="00704462">
              <w:rPr>
                <w:rFonts w:eastAsia="Times"/>
                <w:sz w:val="20"/>
                <w:szCs w:val="20"/>
              </w:rPr>
              <w:t>bl</w:t>
            </w:r>
            <w:r>
              <w:rPr>
                <w:rFonts w:eastAsia="Times"/>
                <w:sz w:val="20"/>
                <w:szCs w:val="20"/>
              </w:rPr>
              <w:t>e</w:t>
            </w:r>
            <w:r w:rsidRPr="00704462">
              <w:rPr>
                <w:rFonts w:eastAsia="Times"/>
                <w:sz w:val="20"/>
                <w:szCs w:val="20"/>
              </w:rPr>
              <w:t xml:space="preserve"> DHHS to efficiently </w:t>
            </w:r>
            <w:r>
              <w:rPr>
                <w:rFonts w:eastAsia="Times"/>
                <w:sz w:val="20"/>
                <w:szCs w:val="20"/>
              </w:rPr>
              <w:t xml:space="preserve">escalate its emergency response as appropriate.  The system does not require hospital staff to use or directly access the system.  </w:t>
            </w:r>
          </w:p>
          <w:p w:rsidR="00122E2E" w:rsidRPr="006141E4" w:rsidRDefault="00122E2E" w:rsidP="00326941">
            <w:pPr>
              <w:spacing w:after="120" w:line="270" w:lineRule="atLeast"/>
              <w:rPr>
                <w:rFonts w:eastAsia="Times"/>
                <w:sz w:val="20"/>
                <w:szCs w:val="20"/>
              </w:rPr>
            </w:pPr>
            <w:r w:rsidRPr="00F84299">
              <w:rPr>
                <w:rFonts w:eastAsia="Times"/>
                <w:sz w:val="20"/>
                <w:szCs w:val="20"/>
              </w:rPr>
              <w:t xml:space="preserve">The Mass Casualty Intelligence and Information Sharing Project Steering Committee </w:t>
            </w:r>
            <w:r>
              <w:rPr>
                <w:rFonts w:eastAsia="Times"/>
                <w:sz w:val="20"/>
                <w:szCs w:val="20"/>
              </w:rPr>
              <w:t>is</w:t>
            </w:r>
            <w:r w:rsidRPr="00F84299">
              <w:rPr>
                <w:rFonts w:eastAsia="Times"/>
                <w:sz w:val="20"/>
                <w:szCs w:val="20"/>
              </w:rPr>
              <w:t xml:space="preserve"> responsible for oversight of </w:t>
            </w:r>
            <w:r>
              <w:rPr>
                <w:rFonts w:eastAsia="Times"/>
                <w:sz w:val="20"/>
                <w:szCs w:val="20"/>
              </w:rPr>
              <w:t>REDITS</w:t>
            </w:r>
            <w:r w:rsidRPr="00F84299">
              <w:rPr>
                <w:rFonts w:eastAsia="Times"/>
                <w:sz w:val="20"/>
                <w:szCs w:val="20"/>
              </w:rPr>
              <w:t xml:space="preserve"> development and implementation.  Prior to 30 June 2018, </w:t>
            </w:r>
            <w:r>
              <w:rPr>
                <w:rFonts w:eastAsia="Times"/>
                <w:sz w:val="20"/>
                <w:szCs w:val="20"/>
              </w:rPr>
              <w:t xml:space="preserve">the Steering Committee will </w:t>
            </w:r>
            <w:r w:rsidRPr="00F84299">
              <w:rPr>
                <w:rFonts w:eastAsia="Times"/>
                <w:sz w:val="20"/>
                <w:szCs w:val="20"/>
              </w:rPr>
              <w:t xml:space="preserve">give consideration to the sustainability of the system including </w:t>
            </w:r>
            <w:r>
              <w:rPr>
                <w:rFonts w:eastAsia="Times"/>
                <w:sz w:val="20"/>
                <w:szCs w:val="20"/>
              </w:rPr>
              <w:t xml:space="preserve">future </w:t>
            </w:r>
            <w:r w:rsidRPr="00F84299">
              <w:rPr>
                <w:rFonts w:eastAsia="Times"/>
                <w:sz w:val="20"/>
                <w:szCs w:val="20"/>
              </w:rPr>
              <w:t>scope and ongoing resourcing requirements</w:t>
            </w:r>
            <w:r>
              <w:rPr>
                <w:rFonts w:eastAsia="Times"/>
                <w:sz w:val="20"/>
                <w:szCs w:val="20"/>
              </w:rPr>
              <w:t>.</w:t>
            </w:r>
          </w:p>
        </w:tc>
        <w:tc>
          <w:tcPr>
            <w:tcW w:w="4536" w:type="dxa"/>
            <w:tcBorders>
              <w:top w:val="double" w:sz="4" w:space="0" w:color="0070C0"/>
            </w:tcBorders>
          </w:tcPr>
          <w:p w:rsidR="00122E2E" w:rsidRPr="001B5CC7" w:rsidRDefault="00122E2E" w:rsidP="00041419">
            <w:pPr>
              <w:rPr>
                <w:sz w:val="20"/>
                <w:szCs w:val="20"/>
              </w:rPr>
            </w:pPr>
            <w:r>
              <w:rPr>
                <w:rFonts w:eastAsia="Times"/>
                <w:sz w:val="20"/>
                <w:szCs w:val="20"/>
              </w:rPr>
              <w:t xml:space="preserve">Development and implementation of </w:t>
            </w:r>
            <w:r w:rsidRPr="001B5CC7">
              <w:rPr>
                <w:rFonts w:eastAsia="Times"/>
                <w:sz w:val="20"/>
                <w:szCs w:val="20"/>
              </w:rPr>
              <w:t>a SMS</w:t>
            </w:r>
            <w:r>
              <w:rPr>
                <w:rFonts w:eastAsia="Times"/>
                <w:sz w:val="20"/>
                <w:szCs w:val="20"/>
              </w:rPr>
              <w:t xml:space="preserve"> </w:t>
            </w:r>
            <w:r w:rsidRPr="001B5CC7">
              <w:rPr>
                <w:rFonts w:eastAsia="Times"/>
                <w:sz w:val="20"/>
                <w:szCs w:val="20"/>
              </w:rPr>
              <w:t xml:space="preserve">notification </w:t>
            </w:r>
            <w:r w:rsidR="00041419">
              <w:rPr>
                <w:rFonts w:eastAsia="Times"/>
                <w:sz w:val="20"/>
                <w:szCs w:val="20"/>
              </w:rPr>
              <w:t>capability</w:t>
            </w:r>
          </w:p>
        </w:tc>
        <w:tc>
          <w:tcPr>
            <w:tcW w:w="1842" w:type="dxa"/>
            <w:tcBorders>
              <w:top w:val="double" w:sz="4" w:space="0" w:color="0070C0"/>
            </w:tcBorders>
          </w:tcPr>
          <w:p w:rsidR="00122E2E" w:rsidRPr="00FB3E85" w:rsidRDefault="00122E2E" w:rsidP="000135E3">
            <w:pPr>
              <w:rPr>
                <w:sz w:val="20"/>
                <w:szCs w:val="20"/>
              </w:rPr>
            </w:pPr>
            <w:r>
              <w:rPr>
                <w:sz w:val="20"/>
                <w:szCs w:val="20"/>
              </w:rPr>
              <w:t>December 2016</w:t>
            </w:r>
          </w:p>
        </w:tc>
      </w:tr>
      <w:tr w:rsidR="00122E2E" w:rsidRPr="00FB3E85" w:rsidTr="00C6430F">
        <w:trPr>
          <w:cantSplit/>
          <w:trHeight w:hRule="exact" w:val="963"/>
        </w:trPr>
        <w:tc>
          <w:tcPr>
            <w:tcW w:w="8931" w:type="dxa"/>
            <w:vMerge/>
          </w:tcPr>
          <w:p w:rsidR="00122E2E" w:rsidRPr="001B5CC7" w:rsidRDefault="00122E2E" w:rsidP="00326941">
            <w:pPr>
              <w:spacing w:after="120" w:line="270" w:lineRule="atLeast"/>
              <w:rPr>
                <w:rFonts w:eastAsia="MS Mincho"/>
                <w:bCs/>
                <w:sz w:val="20"/>
                <w:szCs w:val="20"/>
              </w:rPr>
            </w:pPr>
          </w:p>
        </w:tc>
        <w:tc>
          <w:tcPr>
            <w:tcW w:w="4536" w:type="dxa"/>
          </w:tcPr>
          <w:p w:rsidR="00122E2E" w:rsidRPr="008A1758" w:rsidRDefault="00122E2E" w:rsidP="00326941">
            <w:pPr>
              <w:rPr>
                <w:sz w:val="20"/>
                <w:szCs w:val="20"/>
              </w:rPr>
            </w:pPr>
            <w:r w:rsidRPr="008A1758">
              <w:rPr>
                <w:rFonts w:eastAsia="Times"/>
                <w:sz w:val="20"/>
                <w:szCs w:val="20"/>
              </w:rPr>
              <w:t>Establishment of hospital single contact points</w:t>
            </w:r>
          </w:p>
        </w:tc>
        <w:tc>
          <w:tcPr>
            <w:tcW w:w="1842" w:type="dxa"/>
          </w:tcPr>
          <w:p w:rsidR="00122E2E" w:rsidRDefault="00122E2E" w:rsidP="000135E3">
            <w:pPr>
              <w:rPr>
                <w:sz w:val="20"/>
                <w:szCs w:val="20"/>
              </w:rPr>
            </w:pPr>
            <w:r>
              <w:rPr>
                <w:sz w:val="20"/>
                <w:szCs w:val="20"/>
              </w:rPr>
              <w:t>August 2017</w:t>
            </w:r>
          </w:p>
        </w:tc>
      </w:tr>
      <w:tr w:rsidR="00122E2E" w:rsidRPr="00FB3E85" w:rsidTr="00C6430F">
        <w:trPr>
          <w:cantSplit/>
          <w:trHeight w:hRule="exact" w:val="2266"/>
        </w:trPr>
        <w:tc>
          <w:tcPr>
            <w:tcW w:w="8931" w:type="dxa"/>
            <w:vMerge/>
          </w:tcPr>
          <w:p w:rsidR="00122E2E" w:rsidRPr="001B5CC7" w:rsidRDefault="00122E2E" w:rsidP="00326941">
            <w:pPr>
              <w:spacing w:after="120" w:line="270" w:lineRule="atLeast"/>
              <w:rPr>
                <w:rFonts w:eastAsia="MS Mincho"/>
                <w:bCs/>
                <w:sz w:val="20"/>
                <w:szCs w:val="20"/>
              </w:rPr>
            </w:pPr>
          </w:p>
        </w:tc>
        <w:tc>
          <w:tcPr>
            <w:tcW w:w="4536" w:type="dxa"/>
          </w:tcPr>
          <w:p w:rsidR="00122E2E" w:rsidRDefault="00122E2E" w:rsidP="00326941">
            <w:pPr>
              <w:rPr>
                <w:sz w:val="20"/>
                <w:szCs w:val="20"/>
              </w:rPr>
            </w:pPr>
            <w:r>
              <w:rPr>
                <w:sz w:val="20"/>
                <w:szCs w:val="20"/>
              </w:rPr>
              <w:t>Development of REDITS:</w:t>
            </w:r>
          </w:p>
          <w:p w:rsidR="00122E2E" w:rsidRDefault="00122E2E" w:rsidP="00326941">
            <w:pPr>
              <w:rPr>
                <w:sz w:val="20"/>
                <w:szCs w:val="20"/>
              </w:rPr>
            </w:pPr>
            <w:r>
              <w:rPr>
                <w:sz w:val="20"/>
                <w:szCs w:val="20"/>
              </w:rPr>
              <w:t>-</w:t>
            </w:r>
            <w:r w:rsidRPr="001B5CC7">
              <w:rPr>
                <w:sz w:val="20"/>
                <w:szCs w:val="20"/>
              </w:rPr>
              <w:t xml:space="preserve"> Proof of Concept </w:t>
            </w:r>
          </w:p>
          <w:p w:rsidR="00122E2E" w:rsidRPr="001B5CC7" w:rsidRDefault="00122E2E" w:rsidP="00326941">
            <w:pPr>
              <w:rPr>
                <w:sz w:val="20"/>
                <w:szCs w:val="20"/>
              </w:rPr>
            </w:pPr>
            <w:r>
              <w:rPr>
                <w:sz w:val="20"/>
                <w:szCs w:val="20"/>
              </w:rPr>
              <w:t xml:space="preserve">- </w:t>
            </w:r>
            <w:r w:rsidRPr="001B5CC7">
              <w:rPr>
                <w:sz w:val="20"/>
                <w:szCs w:val="20"/>
              </w:rPr>
              <w:t>Develop Alert Threshold Model</w:t>
            </w:r>
          </w:p>
          <w:p w:rsidR="00122E2E" w:rsidRPr="00973053" w:rsidRDefault="00122E2E" w:rsidP="00326941">
            <w:pPr>
              <w:rPr>
                <w:sz w:val="20"/>
                <w:szCs w:val="20"/>
              </w:rPr>
            </w:pPr>
            <w:r>
              <w:rPr>
                <w:sz w:val="20"/>
                <w:szCs w:val="20"/>
              </w:rPr>
              <w:t>- S</w:t>
            </w:r>
            <w:r w:rsidRPr="001B5CC7">
              <w:rPr>
                <w:sz w:val="20"/>
                <w:szCs w:val="20"/>
              </w:rPr>
              <w:t xml:space="preserve">ystem dashboards, </w:t>
            </w:r>
            <w:r>
              <w:rPr>
                <w:sz w:val="20"/>
                <w:szCs w:val="20"/>
              </w:rPr>
              <w:t>SMS</w:t>
            </w:r>
            <w:r w:rsidRPr="001B5CC7">
              <w:rPr>
                <w:sz w:val="20"/>
                <w:szCs w:val="20"/>
              </w:rPr>
              <w:t xml:space="preserve"> and email capability</w:t>
            </w:r>
          </w:p>
        </w:tc>
        <w:tc>
          <w:tcPr>
            <w:tcW w:w="1842" w:type="dxa"/>
          </w:tcPr>
          <w:p w:rsidR="00041419" w:rsidRDefault="00041419" w:rsidP="00326941">
            <w:pPr>
              <w:rPr>
                <w:sz w:val="20"/>
                <w:szCs w:val="20"/>
              </w:rPr>
            </w:pPr>
          </w:p>
          <w:p w:rsidR="00122E2E" w:rsidRPr="002269A5" w:rsidRDefault="000135E3" w:rsidP="00326941">
            <w:pPr>
              <w:rPr>
                <w:sz w:val="20"/>
                <w:szCs w:val="20"/>
              </w:rPr>
            </w:pPr>
            <w:r>
              <w:rPr>
                <w:sz w:val="20"/>
                <w:szCs w:val="20"/>
              </w:rPr>
              <w:t>March 2017</w:t>
            </w:r>
          </w:p>
          <w:p w:rsidR="00122E2E" w:rsidRPr="00B85654" w:rsidRDefault="000135E3" w:rsidP="00041419">
            <w:pPr>
              <w:rPr>
                <w:sz w:val="20"/>
                <w:szCs w:val="20"/>
              </w:rPr>
            </w:pPr>
            <w:r w:rsidRPr="00B85654">
              <w:rPr>
                <w:sz w:val="20"/>
                <w:szCs w:val="20"/>
              </w:rPr>
              <w:t>June 2017</w:t>
            </w:r>
          </w:p>
          <w:p w:rsidR="000135E3" w:rsidRDefault="000135E3" w:rsidP="00041419">
            <w:pPr>
              <w:rPr>
                <w:sz w:val="20"/>
                <w:szCs w:val="20"/>
              </w:rPr>
            </w:pPr>
            <w:r w:rsidRPr="00B85654">
              <w:rPr>
                <w:sz w:val="20"/>
                <w:szCs w:val="20"/>
              </w:rPr>
              <w:t>June 2017</w:t>
            </w:r>
          </w:p>
        </w:tc>
      </w:tr>
      <w:tr w:rsidR="00122E2E" w:rsidRPr="00FB3E85" w:rsidTr="00041419">
        <w:trPr>
          <w:trHeight w:val="754"/>
        </w:trPr>
        <w:tc>
          <w:tcPr>
            <w:tcW w:w="8931" w:type="dxa"/>
            <w:vMerge/>
          </w:tcPr>
          <w:p w:rsidR="00122E2E" w:rsidRPr="001B5CC7" w:rsidRDefault="00122E2E" w:rsidP="00326941">
            <w:pPr>
              <w:spacing w:after="120" w:line="270" w:lineRule="atLeast"/>
              <w:rPr>
                <w:rFonts w:eastAsia="MS Mincho"/>
                <w:bCs/>
                <w:sz w:val="20"/>
                <w:szCs w:val="20"/>
              </w:rPr>
            </w:pPr>
          </w:p>
        </w:tc>
        <w:tc>
          <w:tcPr>
            <w:tcW w:w="4536" w:type="dxa"/>
          </w:tcPr>
          <w:p w:rsidR="00122E2E" w:rsidRDefault="00122E2E" w:rsidP="00326941">
            <w:pPr>
              <w:rPr>
                <w:sz w:val="20"/>
                <w:szCs w:val="20"/>
              </w:rPr>
            </w:pPr>
            <w:r>
              <w:rPr>
                <w:sz w:val="20"/>
                <w:szCs w:val="20"/>
              </w:rPr>
              <w:t>Implementation of REDITS:</w:t>
            </w:r>
          </w:p>
          <w:p w:rsidR="00122E2E" w:rsidRDefault="00122E2E" w:rsidP="00326941">
            <w:pPr>
              <w:rPr>
                <w:sz w:val="20"/>
                <w:szCs w:val="20"/>
              </w:rPr>
            </w:pPr>
            <w:r>
              <w:rPr>
                <w:sz w:val="20"/>
                <w:szCs w:val="20"/>
              </w:rPr>
              <w:t>- Stage 1: Proof of concept (5 health services /8 EDs on the system)</w:t>
            </w:r>
          </w:p>
          <w:p w:rsidR="00122E2E" w:rsidRDefault="00122E2E" w:rsidP="00326941">
            <w:pPr>
              <w:rPr>
                <w:sz w:val="20"/>
                <w:szCs w:val="20"/>
              </w:rPr>
            </w:pPr>
            <w:r>
              <w:rPr>
                <w:sz w:val="20"/>
                <w:szCs w:val="20"/>
              </w:rPr>
              <w:t>- Stage 2: Calibration of pilot (12 health services/20 EDs on the system)</w:t>
            </w:r>
          </w:p>
          <w:p w:rsidR="00122E2E" w:rsidRPr="0068555B" w:rsidRDefault="00122E2E" w:rsidP="00326941">
            <w:pPr>
              <w:rPr>
                <w:sz w:val="20"/>
                <w:szCs w:val="20"/>
              </w:rPr>
            </w:pPr>
            <w:r>
              <w:rPr>
                <w:sz w:val="20"/>
                <w:szCs w:val="20"/>
              </w:rPr>
              <w:t>- Stage 3</w:t>
            </w:r>
            <w:r w:rsidRPr="0068555B">
              <w:rPr>
                <w:sz w:val="20"/>
                <w:szCs w:val="20"/>
              </w:rPr>
              <w:t>: Production (29 health services / 38 EDs on the system)</w:t>
            </w:r>
          </w:p>
          <w:p w:rsidR="00122E2E" w:rsidRPr="0068555B" w:rsidRDefault="00122E2E" w:rsidP="00326941">
            <w:pPr>
              <w:rPr>
                <w:sz w:val="20"/>
                <w:szCs w:val="20"/>
              </w:rPr>
            </w:pPr>
            <w:r w:rsidRPr="0068555B">
              <w:rPr>
                <w:sz w:val="20"/>
                <w:szCs w:val="20"/>
              </w:rPr>
              <w:t xml:space="preserve">- Development and implementation of Standard Operating Procedure </w:t>
            </w:r>
          </w:p>
          <w:p w:rsidR="00122E2E" w:rsidRPr="0068555B" w:rsidRDefault="00122E2E" w:rsidP="00326941">
            <w:pPr>
              <w:pStyle w:val="ListParagraph"/>
              <w:numPr>
                <w:ilvl w:val="0"/>
                <w:numId w:val="20"/>
              </w:numPr>
              <w:spacing w:after="0" w:line="240" w:lineRule="auto"/>
              <w:rPr>
                <w:sz w:val="20"/>
                <w:szCs w:val="20"/>
              </w:rPr>
            </w:pPr>
            <w:r w:rsidRPr="0068555B">
              <w:rPr>
                <w:sz w:val="20"/>
                <w:szCs w:val="20"/>
              </w:rPr>
              <w:t>Training of DHHS operational staff</w:t>
            </w:r>
          </w:p>
          <w:p w:rsidR="00122E2E" w:rsidRPr="000F6263" w:rsidRDefault="00122E2E" w:rsidP="00326941">
            <w:pPr>
              <w:pStyle w:val="ListParagraph"/>
              <w:numPr>
                <w:ilvl w:val="0"/>
                <w:numId w:val="20"/>
              </w:numPr>
              <w:spacing w:after="0" w:line="240" w:lineRule="auto"/>
              <w:rPr>
                <w:sz w:val="20"/>
                <w:szCs w:val="20"/>
              </w:rPr>
            </w:pPr>
            <w:r>
              <w:rPr>
                <w:sz w:val="20"/>
                <w:szCs w:val="20"/>
              </w:rPr>
              <w:t>Review &amp; i</w:t>
            </w:r>
            <w:r w:rsidRPr="0068555B">
              <w:rPr>
                <w:sz w:val="20"/>
                <w:szCs w:val="20"/>
              </w:rPr>
              <w:t xml:space="preserve">nvestigate feasibility for </w:t>
            </w:r>
            <w:r>
              <w:rPr>
                <w:sz w:val="20"/>
                <w:szCs w:val="20"/>
              </w:rPr>
              <w:t xml:space="preserve">inclusion of other </w:t>
            </w:r>
            <w:r w:rsidRPr="0068555B">
              <w:rPr>
                <w:sz w:val="20"/>
                <w:szCs w:val="20"/>
              </w:rPr>
              <w:t xml:space="preserve"> primary health </w:t>
            </w:r>
            <w:r>
              <w:rPr>
                <w:sz w:val="20"/>
                <w:szCs w:val="20"/>
              </w:rPr>
              <w:t>services</w:t>
            </w:r>
            <w:r w:rsidRPr="0068555B">
              <w:rPr>
                <w:sz w:val="20"/>
                <w:szCs w:val="20"/>
              </w:rPr>
              <w:t xml:space="preserve"> </w:t>
            </w:r>
          </w:p>
        </w:tc>
        <w:tc>
          <w:tcPr>
            <w:tcW w:w="1842" w:type="dxa"/>
          </w:tcPr>
          <w:p w:rsidR="00122E2E" w:rsidRDefault="00122E2E" w:rsidP="00326941">
            <w:pPr>
              <w:rPr>
                <w:sz w:val="20"/>
                <w:szCs w:val="20"/>
              </w:rPr>
            </w:pPr>
          </w:p>
          <w:p w:rsidR="000135E3" w:rsidRDefault="000135E3" w:rsidP="00326941">
            <w:pPr>
              <w:rPr>
                <w:sz w:val="20"/>
                <w:szCs w:val="20"/>
              </w:rPr>
            </w:pPr>
            <w:r>
              <w:rPr>
                <w:sz w:val="20"/>
                <w:szCs w:val="20"/>
              </w:rPr>
              <w:t>March 2017</w:t>
            </w:r>
          </w:p>
          <w:p w:rsidR="000135E3" w:rsidRDefault="000135E3" w:rsidP="00326941">
            <w:pPr>
              <w:rPr>
                <w:sz w:val="20"/>
                <w:szCs w:val="20"/>
              </w:rPr>
            </w:pPr>
          </w:p>
          <w:p w:rsidR="00122E2E" w:rsidRDefault="000135E3" w:rsidP="00326941">
            <w:pPr>
              <w:rPr>
                <w:sz w:val="20"/>
                <w:szCs w:val="20"/>
              </w:rPr>
            </w:pPr>
            <w:r>
              <w:rPr>
                <w:sz w:val="20"/>
                <w:szCs w:val="20"/>
              </w:rPr>
              <w:t>30 June 2017</w:t>
            </w:r>
          </w:p>
          <w:p w:rsidR="00122E2E" w:rsidRDefault="00122E2E" w:rsidP="00326941">
            <w:pPr>
              <w:rPr>
                <w:sz w:val="20"/>
                <w:szCs w:val="20"/>
              </w:rPr>
            </w:pPr>
            <w:r>
              <w:rPr>
                <w:sz w:val="20"/>
                <w:szCs w:val="20"/>
              </w:rPr>
              <w:t>31 December 2017</w:t>
            </w:r>
          </w:p>
          <w:p w:rsidR="00041419" w:rsidRDefault="00041419" w:rsidP="00326941">
            <w:pPr>
              <w:rPr>
                <w:sz w:val="20"/>
                <w:szCs w:val="20"/>
              </w:rPr>
            </w:pPr>
          </w:p>
          <w:p w:rsidR="00122E2E" w:rsidRDefault="00122E2E" w:rsidP="00326941">
            <w:pPr>
              <w:rPr>
                <w:sz w:val="20"/>
                <w:szCs w:val="20"/>
              </w:rPr>
            </w:pPr>
            <w:r>
              <w:rPr>
                <w:sz w:val="20"/>
                <w:szCs w:val="20"/>
              </w:rPr>
              <w:t>1 October 2017</w:t>
            </w:r>
          </w:p>
          <w:p w:rsidR="000135E3" w:rsidRDefault="00122E2E" w:rsidP="000135E3">
            <w:pPr>
              <w:rPr>
                <w:sz w:val="20"/>
                <w:szCs w:val="20"/>
              </w:rPr>
            </w:pPr>
            <w:r>
              <w:rPr>
                <w:sz w:val="20"/>
                <w:szCs w:val="20"/>
              </w:rPr>
              <w:t>1 October 2017</w:t>
            </w:r>
          </w:p>
          <w:p w:rsidR="00122E2E" w:rsidRDefault="00122E2E" w:rsidP="000135E3">
            <w:pPr>
              <w:rPr>
                <w:sz w:val="20"/>
                <w:szCs w:val="20"/>
              </w:rPr>
            </w:pPr>
            <w:r>
              <w:rPr>
                <w:sz w:val="20"/>
                <w:szCs w:val="20"/>
              </w:rPr>
              <w:t>30 June 2018</w:t>
            </w:r>
          </w:p>
        </w:tc>
      </w:tr>
    </w:tbl>
    <w:p w:rsidR="000135E3" w:rsidRDefault="000135E3">
      <w:pPr>
        <w:spacing w:after="0" w:line="240" w:lineRule="auto"/>
        <w:rPr>
          <w:sz w:val="28"/>
          <w:szCs w:val="28"/>
        </w:rPr>
      </w:pPr>
      <w:r>
        <w:rPr>
          <w:sz w:val="28"/>
          <w:szCs w:val="28"/>
        </w:rPr>
        <w:br w:type="page"/>
      </w:r>
    </w:p>
    <w:p w:rsidR="00326941" w:rsidRPr="009E4FCD" w:rsidRDefault="00326941" w:rsidP="00326941">
      <w:pPr>
        <w:outlineLvl w:val="0"/>
        <w:rPr>
          <w:sz w:val="28"/>
          <w:szCs w:val="28"/>
        </w:rPr>
      </w:pPr>
      <w:r w:rsidRPr="009E4FCD">
        <w:rPr>
          <w:sz w:val="28"/>
          <w:szCs w:val="28"/>
        </w:rPr>
        <w:lastRenderedPageBreak/>
        <w:t xml:space="preserve">Recommendation </w:t>
      </w:r>
      <w:r>
        <w:rPr>
          <w:sz w:val="28"/>
          <w:szCs w:val="28"/>
        </w:rPr>
        <w:t>3</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122E2E" w:rsidRPr="008831A1" w:rsidTr="00041419">
        <w:tc>
          <w:tcPr>
            <w:tcW w:w="691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Government response (Lead agency: DHHS)</w:t>
            </w:r>
          </w:p>
        </w:tc>
        <w:tc>
          <w:tcPr>
            <w:tcW w:w="6555"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Completion date</w:t>
            </w:r>
          </w:p>
        </w:tc>
      </w:tr>
      <w:tr w:rsidR="00122E2E" w:rsidRPr="00FB3E85" w:rsidTr="00041419">
        <w:tc>
          <w:tcPr>
            <w:tcW w:w="6912" w:type="dxa"/>
            <w:vMerge w:val="restart"/>
            <w:tcBorders>
              <w:top w:val="double" w:sz="4" w:space="0" w:color="0070C0"/>
            </w:tcBorders>
          </w:tcPr>
          <w:p w:rsidR="00122E2E" w:rsidRDefault="00122E2E" w:rsidP="00326941">
            <w:pPr>
              <w:spacing w:after="120"/>
              <w:rPr>
                <w:sz w:val="20"/>
                <w:szCs w:val="20"/>
              </w:rPr>
            </w:pPr>
            <w:r w:rsidRPr="009E4FCD">
              <w:rPr>
                <w:sz w:val="20"/>
                <w:szCs w:val="20"/>
              </w:rPr>
              <w:t>The government acknowledges the central role that community pharmacies played in meeting community needs during the November</w:t>
            </w:r>
            <w:r>
              <w:rPr>
                <w:sz w:val="20"/>
                <w:szCs w:val="20"/>
              </w:rPr>
              <w:t xml:space="preserve"> 2016</w:t>
            </w:r>
            <w:r w:rsidRPr="009E4FCD">
              <w:rPr>
                <w:sz w:val="20"/>
                <w:szCs w:val="20"/>
              </w:rPr>
              <w:t xml:space="preserve"> event, and the valuable support that community pharmacies can provide to the management of health emergencies or emergencies with health impacts.  </w:t>
            </w:r>
          </w:p>
          <w:p w:rsidR="00122E2E" w:rsidRDefault="00122E2E" w:rsidP="00326941">
            <w:pPr>
              <w:spacing w:before="120" w:after="120"/>
              <w:rPr>
                <w:sz w:val="20"/>
                <w:szCs w:val="20"/>
              </w:rPr>
            </w:pPr>
            <w:r w:rsidRPr="009E4FCD">
              <w:rPr>
                <w:sz w:val="20"/>
                <w:szCs w:val="20"/>
              </w:rPr>
              <w:t xml:space="preserve">DHHS </w:t>
            </w:r>
            <w:r>
              <w:rPr>
                <w:sz w:val="20"/>
                <w:szCs w:val="20"/>
              </w:rPr>
              <w:t xml:space="preserve">continues to engage with the </w:t>
            </w:r>
            <w:r w:rsidRPr="009E4FCD">
              <w:rPr>
                <w:sz w:val="20"/>
                <w:szCs w:val="20"/>
              </w:rPr>
              <w:t>Pharmacy Guild</w:t>
            </w:r>
            <w:r>
              <w:rPr>
                <w:sz w:val="20"/>
                <w:szCs w:val="20"/>
              </w:rPr>
              <w:t xml:space="preserve"> and the Primary Health Network Alliance on the </w:t>
            </w:r>
            <w:r w:rsidRPr="00FB3E85">
              <w:rPr>
                <w:sz w:val="20"/>
                <w:szCs w:val="20"/>
              </w:rPr>
              <w:t>Health and Medical Emergency Managem</w:t>
            </w:r>
            <w:r>
              <w:rPr>
                <w:sz w:val="20"/>
                <w:szCs w:val="20"/>
              </w:rPr>
              <w:t xml:space="preserve">ent Stakeholder Reference Group for the purpose of joint planning and inclusion of community pharmacists and broader primary care networks in emergency responses. </w:t>
            </w:r>
          </w:p>
          <w:p w:rsidR="00122E2E" w:rsidRPr="009E4FCD" w:rsidRDefault="00122E2E" w:rsidP="00041419">
            <w:pPr>
              <w:spacing w:before="120" w:after="120"/>
              <w:rPr>
                <w:sz w:val="20"/>
                <w:szCs w:val="20"/>
              </w:rPr>
            </w:pPr>
            <w:r w:rsidRPr="00CE072C">
              <w:rPr>
                <w:sz w:val="20"/>
                <w:szCs w:val="20"/>
              </w:rPr>
              <w:t xml:space="preserve">The State Health Emergency Response </w:t>
            </w:r>
            <w:r>
              <w:rPr>
                <w:sz w:val="20"/>
                <w:szCs w:val="20"/>
              </w:rPr>
              <w:t xml:space="preserve">Plan </w:t>
            </w:r>
            <w:r w:rsidRPr="00CE072C">
              <w:rPr>
                <w:sz w:val="20"/>
                <w:szCs w:val="20"/>
              </w:rPr>
              <w:t>include</w:t>
            </w:r>
            <w:r>
              <w:rPr>
                <w:sz w:val="20"/>
                <w:szCs w:val="20"/>
              </w:rPr>
              <w:t>s</w:t>
            </w:r>
            <w:r w:rsidRPr="00CE072C">
              <w:rPr>
                <w:sz w:val="20"/>
                <w:szCs w:val="20"/>
              </w:rPr>
              <w:t xml:space="preserve"> guidance notes on arrangements for health sector capability and capacity, including primary care providers.</w:t>
            </w:r>
          </w:p>
        </w:tc>
        <w:tc>
          <w:tcPr>
            <w:tcW w:w="6555" w:type="dxa"/>
            <w:tcBorders>
              <w:top w:val="double" w:sz="4" w:space="0" w:color="0070C0"/>
            </w:tcBorders>
          </w:tcPr>
          <w:p w:rsidR="00122E2E" w:rsidRPr="00FB3E85" w:rsidRDefault="00122E2E" w:rsidP="00041419">
            <w:pPr>
              <w:spacing w:after="120"/>
              <w:rPr>
                <w:sz w:val="20"/>
                <w:szCs w:val="20"/>
              </w:rPr>
            </w:pPr>
            <w:r>
              <w:rPr>
                <w:sz w:val="20"/>
                <w:szCs w:val="20"/>
              </w:rPr>
              <w:t xml:space="preserve">Engage Health and Emergency Management Stakeholder Reference group </w:t>
            </w:r>
            <w:r w:rsidRPr="00FB3E85">
              <w:rPr>
                <w:sz w:val="20"/>
                <w:szCs w:val="20"/>
              </w:rPr>
              <w:t>on requirements</w:t>
            </w:r>
            <w:r>
              <w:rPr>
                <w:sz w:val="20"/>
                <w:szCs w:val="20"/>
              </w:rPr>
              <w:t xml:space="preserve"> to undertake joint planning for emergencies.</w:t>
            </w:r>
          </w:p>
        </w:tc>
        <w:tc>
          <w:tcPr>
            <w:tcW w:w="1842" w:type="dxa"/>
            <w:tcBorders>
              <w:top w:val="double" w:sz="4" w:space="0" w:color="0070C0"/>
            </w:tcBorders>
          </w:tcPr>
          <w:p w:rsidR="00122E2E" w:rsidRPr="00FB3E85" w:rsidRDefault="00122E2E" w:rsidP="00041419">
            <w:pPr>
              <w:spacing w:after="120"/>
              <w:rPr>
                <w:sz w:val="20"/>
                <w:szCs w:val="20"/>
              </w:rPr>
            </w:pPr>
            <w:r>
              <w:rPr>
                <w:sz w:val="20"/>
                <w:szCs w:val="20"/>
              </w:rPr>
              <w:t>Ongoing</w:t>
            </w:r>
          </w:p>
        </w:tc>
      </w:tr>
      <w:tr w:rsidR="00122E2E" w:rsidRPr="00FB3E85" w:rsidTr="00041419">
        <w:tc>
          <w:tcPr>
            <w:tcW w:w="6912" w:type="dxa"/>
            <w:vMerge/>
          </w:tcPr>
          <w:p w:rsidR="00122E2E" w:rsidRPr="00FB3E85" w:rsidRDefault="00122E2E" w:rsidP="00326941">
            <w:pPr>
              <w:spacing w:before="120" w:after="120"/>
              <w:rPr>
                <w:sz w:val="20"/>
                <w:szCs w:val="20"/>
              </w:rPr>
            </w:pPr>
          </w:p>
        </w:tc>
        <w:tc>
          <w:tcPr>
            <w:tcW w:w="6555" w:type="dxa"/>
          </w:tcPr>
          <w:p w:rsidR="00122E2E" w:rsidRDefault="00122E2E" w:rsidP="00041419">
            <w:pPr>
              <w:spacing w:after="120"/>
              <w:rPr>
                <w:sz w:val="20"/>
                <w:szCs w:val="20"/>
              </w:rPr>
            </w:pPr>
            <w:r>
              <w:rPr>
                <w:sz w:val="20"/>
                <w:szCs w:val="20"/>
              </w:rPr>
              <w:t xml:space="preserve">Develop a protocol with the Pharmacy Guild regarding notifications to community pharmacies about potential and actual health emergencies. </w:t>
            </w:r>
          </w:p>
        </w:tc>
        <w:tc>
          <w:tcPr>
            <w:tcW w:w="1842" w:type="dxa"/>
          </w:tcPr>
          <w:p w:rsidR="00122E2E" w:rsidRDefault="00122E2E" w:rsidP="00EB504B">
            <w:pPr>
              <w:rPr>
                <w:sz w:val="20"/>
                <w:szCs w:val="20"/>
              </w:rPr>
            </w:pPr>
            <w:r>
              <w:rPr>
                <w:sz w:val="20"/>
                <w:szCs w:val="20"/>
              </w:rPr>
              <w:t>1 October 2017</w:t>
            </w:r>
          </w:p>
        </w:tc>
      </w:tr>
    </w:tbl>
    <w:p w:rsidR="00326941" w:rsidRDefault="00326941" w:rsidP="00326941">
      <w:pPr>
        <w:rPr>
          <w:sz w:val="28"/>
          <w:szCs w:val="28"/>
        </w:rPr>
      </w:pPr>
    </w:p>
    <w:p w:rsidR="00326941" w:rsidRDefault="00326941" w:rsidP="00326941">
      <w:pPr>
        <w:rPr>
          <w:sz w:val="28"/>
          <w:szCs w:val="28"/>
        </w:rPr>
      </w:pPr>
    </w:p>
    <w:p w:rsidR="00EB504B" w:rsidRDefault="00EB504B">
      <w:pPr>
        <w:spacing w:after="0" w:line="240" w:lineRule="auto"/>
        <w:rPr>
          <w:sz w:val="28"/>
          <w:szCs w:val="28"/>
        </w:rPr>
      </w:pPr>
      <w:r>
        <w:rPr>
          <w:sz w:val="28"/>
          <w:szCs w:val="28"/>
        </w:rPr>
        <w:br w:type="page"/>
      </w:r>
    </w:p>
    <w:p w:rsidR="00326941" w:rsidRPr="009E4FCD" w:rsidRDefault="00326941" w:rsidP="00326941">
      <w:pPr>
        <w:outlineLvl w:val="0"/>
        <w:rPr>
          <w:sz w:val="28"/>
          <w:szCs w:val="28"/>
        </w:rPr>
      </w:pPr>
      <w:r w:rsidRPr="009E4FCD">
        <w:rPr>
          <w:sz w:val="28"/>
          <w:szCs w:val="28"/>
        </w:rPr>
        <w:lastRenderedPageBreak/>
        <w:t xml:space="preserve">Recommendation </w:t>
      </w:r>
      <w:r>
        <w:rPr>
          <w:sz w:val="28"/>
          <w:szCs w:val="28"/>
        </w:rPr>
        <w:t>4</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122E2E" w:rsidRPr="00FB3E85" w:rsidTr="00041419">
        <w:tc>
          <w:tcPr>
            <w:tcW w:w="691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Government response (Lead Agency: EMV)</w:t>
            </w:r>
          </w:p>
        </w:tc>
        <w:tc>
          <w:tcPr>
            <w:tcW w:w="6555"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Completion date</w:t>
            </w:r>
          </w:p>
        </w:tc>
      </w:tr>
      <w:tr w:rsidR="00122E2E" w:rsidRPr="00FB3E85" w:rsidTr="00041419">
        <w:tc>
          <w:tcPr>
            <w:tcW w:w="6912" w:type="dxa"/>
            <w:vMerge w:val="restart"/>
            <w:tcBorders>
              <w:top w:val="double" w:sz="4" w:space="0" w:color="0070C0"/>
            </w:tcBorders>
          </w:tcPr>
          <w:p w:rsidR="00122E2E" w:rsidRPr="008E2A8D" w:rsidRDefault="00122E2E" w:rsidP="00326941">
            <w:pPr>
              <w:spacing w:after="120"/>
              <w:rPr>
                <w:sz w:val="20"/>
                <w:szCs w:val="20"/>
              </w:rPr>
            </w:pPr>
            <w:r w:rsidRPr="008E2A8D">
              <w:rPr>
                <w:sz w:val="20"/>
                <w:szCs w:val="20"/>
              </w:rPr>
              <w:t>The government is committed to enhanced notifications, intelligence gathering and dissemination of information across the emergency management sector.</w:t>
            </w:r>
          </w:p>
          <w:p w:rsidR="00122E2E" w:rsidRPr="008E2A8D" w:rsidRDefault="00122E2E" w:rsidP="00326941">
            <w:pPr>
              <w:spacing w:after="120"/>
              <w:rPr>
                <w:sz w:val="20"/>
                <w:szCs w:val="20"/>
              </w:rPr>
            </w:pPr>
            <w:r w:rsidRPr="008E2A8D">
              <w:rPr>
                <w:sz w:val="20"/>
                <w:szCs w:val="20"/>
              </w:rPr>
              <w:t xml:space="preserve">The Emergency Management Commissioner receives notification of developing or significant incidents in accordance with the Joint Standing Operating Procedure (JSOP 3.16 – Significant Event Notification). This notification, where appropriate, initiates broader information sharing to ensure awareness or the initiation of arrangements for managing major emergencies.   </w:t>
            </w:r>
          </w:p>
          <w:p w:rsidR="00122E2E" w:rsidRDefault="00122E2E" w:rsidP="00326941">
            <w:pPr>
              <w:spacing w:after="120"/>
              <w:rPr>
                <w:sz w:val="20"/>
                <w:szCs w:val="20"/>
              </w:rPr>
            </w:pPr>
            <w:r w:rsidRPr="008E2A8D">
              <w:rPr>
                <w:sz w:val="20"/>
                <w:szCs w:val="20"/>
              </w:rPr>
              <w:t xml:space="preserve">EMV will work with departments and agencies to review JSOP 3.16 and identify and address any gaps in existing notification processes, and enhance the notification process to alert the broader emergency management sector.  </w:t>
            </w:r>
          </w:p>
          <w:p w:rsidR="00122E2E" w:rsidRDefault="00122E2E" w:rsidP="00326941">
            <w:pPr>
              <w:spacing w:after="120"/>
              <w:rPr>
                <w:sz w:val="20"/>
                <w:szCs w:val="20"/>
              </w:rPr>
            </w:pPr>
            <w:r w:rsidRPr="00D31029">
              <w:rPr>
                <w:sz w:val="20"/>
                <w:szCs w:val="20"/>
              </w:rPr>
              <w:t>ESTA has reviewed its incident and escalation process and this will support greater situational awareness during a rapid-onset emergency, and can inform part of an early alert to the broader emergency management sector of a developing health situation.</w:t>
            </w:r>
          </w:p>
          <w:p w:rsidR="00122E2E" w:rsidRPr="00F4585B" w:rsidRDefault="00122E2E" w:rsidP="00326941">
            <w:pPr>
              <w:spacing w:after="120"/>
              <w:rPr>
                <w:sz w:val="20"/>
                <w:szCs w:val="20"/>
              </w:rPr>
            </w:pPr>
            <w:r>
              <w:rPr>
                <w:sz w:val="20"/>
                <w:szCs w:val="20"/>
              </w:rPr>
              <w:t xml:space="preserve">A revised </w:t>
            </w:r>
            <w:r w:rsidRPr="000A6EF6">
              <w:rPr>
                <w:sz w:val="20"/>
                <w:szCs w:val="20"/>
              </w:rPr>
              <w:t xml:space="preserve">Critical Incident Response Plan (CIRP) </w:t>
            </w:r>
            <w:r>
              <w:rPr>
                <w:sz w:val="20"/>
                <w:szCs w:val="20"/>
              </w:rPr>
              <w:t xml:space="preserve">will have </w:t>
            </w:r>
            <w:r w:rsidRPr="00F4585B">
              <w:rPr>
                <w:sz w:val="20"/>
                <w:szCs w:val="20"/>
              </w:rPr>
              <w:t>seven sub-plans added, including a Health Sub-Plan that outline</w:t>
            </w:r>
            <w:r>
              <w:rPr>
                <w:sz w:val="20"/>
                <w:szCs w:val="20"/>
              </w:rPr>
              <w:t>s</w:t>
            </w:r>
            <w:r w:rsidRPr="00F4585B">
              <w:rPr>
                <w:sz w:val="20"/>
                <w:szCs w:val="20"/>
              </w:rPr>
              <w:t xml:space="preserve"> arrangements for managing a surge in Call-taking and Dispatch activities due to a wide-spread health incident occurring in Victoria, that will or is having an impact to ESTA’s service delivery capabilities. </w:t>
            </w:r>
          </w:p>
          <w:p w:rsidR="00122E2E" w:rsidRPr="008E2A8D" w:rsidRDefault="00122E2E" w:rsidP="00326941">
            <w:pPr>
              <w:spacing w:after="120"/>
              <w:rPr>
                <w:sz w:val="20"/>
                <w:szCs w:val="20"/>
              </w:rPr>
            </w:pPr>
            <w:r w:rsidRPr="00F4585B">
              <w:rPr>
                <w:sz w:val="20"/>
                <w:szCs w:val="20"/>
              </w:rPr>
              <w:t xml:space="preserve">ESTA has also introduced the use of One Click which expedites the notification of an incident to </w:t>
            </w:r>
            <w:r>
              <w:rPr>
                <w:sz w:val="20"/>
                <w:szCs w:val="20"/>
              </w:rPr>
              <w:t xml:space="preserve">emergency services, and </w:t>
            </w:r>
            <w:r w:rsidRPr="00F4585B">
              <w:rPr>
                <w:sz w:val="20"/>
                <w:szCs w:val="20"/>
              </w:rPr>
              <w:t>can be used as part of an early alert to the broader emergency management sector of a developing Health situation</w:t>
            </w:r>
            <w:r>
              <w:rPr>
                <w:sz w:val="20"/>
                <w:szCs w:val="20"/>
              </w:rPr>
              <w:t>.</w:t>
            </w:r>
          </w:p>
        </w:tc>
        <w:tc>
          <w:tcPr>
            <w:tcW w:w="6555" w:type="dxa"/>
            <w:tcBorders>
              <w:top w:val="double" w:sz="4" w:space="0" w:color="0070C0"/>
            </w:tcBorders>
          </w:tcPr>
          <w:p w:rsidR="00122E2E" w:rsidRDefault="00122E2E" w:rsidP="00041419">
            <w:pPr>
              <w:rPr>
                <w:sz w:val="20"/>
                <w:szCs w:val="20"/>
              </w:rPr>
            </w:pPr>
            <w:r>
              <w:rPr>
                <w:sz w:val="20"/>
                <w:szCs w:val="20"/>
              </w:rPr>
              <w:t>R</w:t>
            </w:r>
            <w:r w:rsidRPr="005354F8">
              <w:rPr>
                <w:sz w:val="20"/>
                <w:szCs w:val="20"/>
              </w:rPr>
              <w:t>eview JSOP3.16</w:t>
            </w:r>
            <w:r w:rsidRPr="008E2A8D">
              <w:rPr>
                <w:sz w:val="20"/>
                <w:szCs w:val="20"/>
              </w:rPr>
              <w:t>– Significant Event Notification</w:t>
            </w:r>
            <w:r>
              <w:rPr>
                <w:sz w:val="20"/>
                <w:szCs w:val="20"/>
              </w:rPr>
              <w:t xml:space="preserve"> with key stakeholders</w:t>
            </w:r>
          </w:p>
        </w:tc>
        <w:tc>
          <w:tcPr>
            <w:tcW w:w="1842" w:type="dxa"/>
            <w:tcBorders>
              <w:top w:val="double" w:sz="4" w:space="0" w:color="0070C0"/>
            </w:tcBorders>
          </w:tcPr>
          <w:p w:rsidR="00122E2E" w:rsidRDefault="00122E2E" w:rsidP="00041419">
            <w:pPr>
              <w:rPr>
                <w:sz w:val="20"/>
                <w:szCs w:val="20"/>
              </w:rPr>
            </w:pPr>
            <w:r>
              <w:rPr>
                <w:sz w:val="20"/>
                <w:szCs w:val="20"/>
              </w:rPr>
              <w:t xml:space="preserve">1 November 2017 </w:t>
            </w:r>
          </w:p>
        </w:tc>
      </w:tr>
      <w:tr w:rsidR="00122E2E" w:rsidRPr="00FB3E85" w:rsidTr="00041419">
        <w:tc>
          <w:tcPr>
            <w:tcW w:w="6912" w:type="dxa"/>
            <w:vMerge/>
          </w:tcPr>
          <w:p w:rsidR="00122E2E" w:rsidRPr="008E2A8D" w:rsidRDefault="00122E2E" w:rsidP="00326941">
            <w:pPr>
              <w:spacing w:after="120"/>
              <w:rPr>
                <w:sz w:val="20"/>
                <w:szCs w:val="20"/>
              </w:rPr>
            </w:pPr>
          </w:p>
        </w:tc>
        <w:tc>
          <w:tcPr>
            <w:tcW w:w="6555" w:type="dxa"/>
          </w:tcPr>
          <w:p w:rsidR="00122E2E" w:rsidRPr="00684249" w:rsidRDefault="00122E2E" w:rsidP="00326941">
            <w:pPr>
              <w:rPr>
                <w:sz w:val="20"/>
                <w:szCs w:val="20"/>
              </w:rPr>
            </w:pPr>
            <w:r w:rsidRPr="00684249">
              <w:rPr>
                <w:sz w:val="20"/>
                <w:szCs w:val="20"/>
              </w:rPr>
              <w:t>Review State Control Centre Notification processes to agencies and ensure this compliments the ESTA Critical Incident Response notification process.</w:t>
            </w:r>
          </w:p>
        </w:tc>
        <w:tc>
          <w:tcPr>
            <w:tcW w:w="1842" w:type="dxa"/>
          </w:tcPr>
          <w:p w:rsidR="00122E2E" w:rsidRPr="00684249" w:rsidRDefault="00122E2E" w:rsidP="00326941">
            <w:pPr>
              <w:rPr>
                <w:sz w:val="20"/>
                <w:szCs w:val="20"/>
              </w:rPr>
            </w:pPr>
            <w:r w:rsidRPr="00684249">
              <w:rPr>
                <w:sz w:val="20"/>
                <w:szCs w:val="20"/>
              </w:rPr>
              <w:t>1 November 2017</w:t>
            </w:r>
          </w:p>
        </w:tc>
      </w:tr>
      <w:tr w:rsidR="00122E2E" w:rsidRPr="00FB3E85" w:rsidTr="00041419">
        <w:tc>
          <w:tcPr>
            <w:tcW w:w="6912" w:type="dxa"/>
            <w:vMerge/>
          </w:tcPr>
          <w:p w:rsidR="00122E2E" w:rsidRPr="008E2A8D" w:rsidRDefault="00122E2E" w:rsidP="00326941">
            <w:pPr>
              <w:spacing w:after="120"/>
              <w:rPr>
                <w:sz w:val="20"/>
                <w:szCs w:val="20"/>
              </w:rPr>
            </w:pPr>
          </w:p>
        </w:tc>
        <w:tc>
          <w:tcPr>
            <w:tcW w:w="6555" w:type="dxa"/>
          </w:tcPr>
          <w:p w:rsidR="00122E2E" w:rsidRPr="00757FA2" w:rsidRDefault="00122E2E" w:rsidP="00041419">
            <w:pPr>
              <w:rPr>
                <w:sz w:val="20"/>
                <w:szCs w:val="20"/>
              </w:rPr>
            </w:pPr>
            <w:r>
              <w:rPr>
                <w:sz w:val="20"/>
                <w:szCs w:val="20"/>
              </w:rPr>
              <w:t>Make ESTA ERTCOMM Situational awareness dashboard available for incident escalation processes.</w:t>
            </w:r>
          </w:p>
        </w:tc>
        <w:tc>
          <w:tcPr>
            <w:tcW w:w="1842" w:type="dxa"/>
          </w:tcPr>
          <w:p w:rsidR="00122E2E" w:rsidRPr="00757FA2" w:rsidRDefault="00122E2E" w:rsidP="00041419">
            <w:pPr>
              <w:rPr>
                <w:sz w:val="20"/>
                <w:szCs w:val="20"/>
              </w:rPr>
            </w:pPr>
            <w:r>
              <w:rPr>
                <w:sz w:val="20"/>
                <w:szCs w:val="20"/>
              </w:rPr>
              <w:t>1 October 2017</w:t>
            </w:r>
          </w:p>
        </w:tc>
      </w:tr>
      <w:tr w:rsidR="00122E2E" w:rsidRPr="00FB3E85" w:rsidTr="00041419">
        <w:trPr>
          <w:trHeight w:val="589"/>
        </w:trPr>
        <w:tc>
          <w:tcPr>
            <w:tcW w:w="6912" w:type="dxa"/>
            <w:vMerge/>
          </w:tcPr>
          <w:p w:rsidR="00122E2E" w:rsidRPr="008E2A8D" w:rsidRDefault="00122E2E" w:rsidP="00326941">
            <w:pPr>
              <w:spacing w:after="120"/>
              <w:rPr>
                <w:sz w:val="20"/>
                <w:szCs w:val="20"/>
              </w:rPr>
            </w:pPr>
          </w:p>
        </w:tc>
        <w:tc>
          <w:tcPr>
            <w:tcW w:w="6555" w:type="dxa"/>
          </w:tcPr>
          <w:p w:rsidR="00122E2E" w:rsidRPr="00684249" w:rsidRDefault="00122E2E" w:rsidP="00041419">
            <w:pPr>
              <w:rPr>
                <w:sz w:val="20"/>
                <w:szCs w:val="20"/>
              </w:rPr>
            </w:pPr>
            <w:r>
              <w:rPr>
                <w:sz w:val="20"/>
                <w:szCs w:val="20"/>
              </w:rPr>
              <w:t xml:space="preserve">Revised </w:t>
            </w:r>
            <w:r w:rsidRPr="00684249">
              <w:rPr>
                <w:sz w:val="20"/>
                <w:szCs w:val="20"/>
              </w:rPr>
              <w:t>Critical Incident Response Plan</w:t>
            </w:r>
            <w:r>
              <w:rPr>
                <w:sz w:val="20"/>
                <w:szCs w:val="20"/>
              </w:rPr>
              <w:t xml:space="preserve"> and additional Health </w:t>
            </w:r>
            <w:r w:rsidRPr="00684249">
              <w:rPr>
                <w:sz w:val="20"/>
                <w:szCs w:val="20"/>
              </w:rPr>
              <w:t>sub-plan</w:t>
            </w:r>
            <w:r>
              <w:rPr>
                <w:sz w:val="20"/>
                <w:szCs w:val="20"/>
              </w:rPr>
              <w:t xml:space="preserve"> presented to the State Emergency Management Team.</w:t>
            </w:r>
          </w:p>
        </w:tc>
        <w:tc>
          <w:tcPr>
            <w:tcW w:w="1842" w:type="dxa"/>
          </w:tcPr>
          <w:p w:rsidR="00122E2E" w:rsidRPr="00684249" w:rsidRDefault="00122E2E" w:rsidP="00326941">
            <w:pPr>
              <w:rPr>
                <w:sz w:val="20"/>
                <w:szCs w:val="20"/>
              </w:rPr>
            </w:pPr>
            <w:r>
              <w:rPr>
                <w:sz w:val="20"/>
                <w:szCs w:val="20"/>
              </w:rPr>
              <w:t>2 October</w:t>
            </w:r>
            <w:r w:rsidRPr="00684249">
              <w:rPr>
                <w:sz w:val="20"/>
                <w:szCs w:val="20"/>
              </w:rPr>
              <w:t xml:space="preserve"> 2017</w:t>
            </w:r>
          </w:p>
        </w:tc>
      </w:tr>
      <w:tr w:rsidR="00122E2E" w:rsidRPr="00FB3E85" w:rsidTr="00041419">
        <w:trPr>
          <w:trHeight w:val="1363"/>
        </w:trPr>
        <w:tc>
          <w:tcPr>
            <w:tcW w:w="6912" w:type="dxa"/>
            <w:vMerge/>
          </w:tcPr>
          <w:p w:rsidR="00122E2E" w:rsidRPr="008E2A8D" w:rsidRDefault="00122E2E" w:rsidP="00326941">
            <w:pPr>
              <w:spacing w:after="120"/>
              <w:rPr>
                <w:sz w:val="20"/>
                <w:szCs w:val="20"/>
              </w:rPr>
            </w:pPr>
          </w:p>
        </w:tc>
        <w:tc>
          <w:tcPr>
            <w:tcW w:w="6555" w:type="dxa"/>
          </w:tcPr>
          <w:p w:rsidR="00122E2E" w:rsidRPr="00684249" w:rsidRDefault="00122E2E" w:rsidP="00326941">
            <w:pPr>
              <w:rPr>
                <w:sz w:val="20"/>
                <w:szCs w:val="20"/>
              </w:rPr>
            </w:pPr>
            <w:r>
              <w:rPr>
                <w:sz w:val="20"/>
                <w:szCs w:val="20"/>
              </w:rPr>
              <w:t>Introduce One Click notifications as part of ESTA revised incident and notification process</w:t>
            </w:r>
          </w:p>
        </w:tc>
        <w:tc>
          <w:tcPr>
            <w:tcW w:w="1842" w:type="dxa"/>
          </w:tcPr>
          <w:p w:rsidR="00122E2E" w:rsidRPr="00684249" w:rsidRDefault="00122E2E" w:rsidP="000135E3">
            <w:pPr>
              <w:rPr>
                <w:sz w:val="20"/>
                <w:szCs w:val="20"/>
              </w:rPr>
            </w:pPr>
            <w:r w:rsidRPr="00F4585B">
              <w:rPr>
                <w:sz w:val="20"/>
                <w:szCs w:val="20"/>
              </w:rPr>
              <w:t>17 May</w:t>
            </w:r>
            <w:r>
              <w:rPr>
                <w:sz w:val="20"/>
                <w:szCs w:val="20"/>
              </w:rPr>
              <w:t xml:space="preserve"> 2017</w:t>
            </w:r>
          </w:p>
        </w:tc>
      </w:tr>
    </w:tbl>
    <w:p w:rsidR="00EB504B" w:rsidRDefault="00EB504B" w:rsidP="00326941">
      <w:pPr>
        <w:rPr>
          <w:sz w:val="28"/>
          <w:szCs w:val="28"/>
        </w:rPr>
      </w:pPr>
    </w:p>
    <w:p w:rsidR="00EB504B" w:rsidRDefault="00EB504B">
      <w:pPr>
        <w:spacing w:after="0" w:line="240" w:lineRule="auto"/>
        <w:rPr>
          <w:sz w:val="28"/>
          <w:szCs w:val="28"/>
        </w:rPr>
      </w:pPr>
      <w:r>
        <w:rPr>
          <w:sz w:val="28"/>
          <w:szCs w:val="28"/>
        </w:rPr>
        <w:br w:type="page"/>
      </w:r>
    </w:p>
    <w:p w:rsidR="00326941" w:rsidRPr="00584192" w:rsidRDefault="00326941" w:rsidP="00326941">
      <w:pPr>
        <w:rPr>
          <w:sz w:val="28"/>
          <w:szCs w:val="28"/>
        </w:rPr>
      </w:pPr>
      <w:r w:rsidRPr="00584192">
        <w:rPr>
          <w:sz w:val="28"/>
          <w:szCs w:val="28"/>
        </w:rPr>
        <w:lastRenderedPageBreak/>
        <w:t xml:space="preserve">Recommendation </w:t>
      </w:r>
      <w:r>
        <w:rPr>
          <w:sz w:val="28"/>
          <w:szCs w:val="28"/>
        </w:rPr>
        <w:t>5</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122E2E" w:rsidRPr="00FB3E85" w:rsidTr="00041419">
        <w:tc>
          <w:tcPr>
            <w:tcW w:w="691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Government response (Lead agency: DHHS)</w:t>
            </w:r>
          </w:p>
        </w:tc>
        <w:tc>
          <w:tcPr>
            <w:tcW w:w="6555"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Completion date</w:t>
            </w:r>
          </w:p>
        </w:tc>
      </w:tr>
      <w:tr w:rsidR="00122E2E" w:rsidRPr="00FB3E85" w:rsidTr="00041419">
        <w:tc>
          <w:tcPr>
            <w:tcW w:w="6912" w:type="dxa"/>
            <w:vMerge w:val="restart"/>
            <w:tcBorders>
              <w:top w:val="double" w:sz="4" w:space="0" w:color="0070C0"/>
            </w:tcBorders>
          </w:tcPr>
          <w:p w:rsidR="00122E2E" w:rsidRPr="0068555B" w:rsidRDefault="00122E2E" w:rsidP="00326941">
            <w:pPr>
              <w:spacing w:after="120"/>
              <w:rPr>
                <w:sz w:val="20"/>
                <w:szCs w:val="20"/>
              </w:rPr>
            </w:pPr>
            <w:r w:rsidRPr="0068555B">
              <w:rPr>
                <w:sz w:val="20"/>
                <w:szCs w:val="20"/>
              </w:rPr>
              <w:t xml:space="preserve">The government supports the rapid sharing of information with relevant agencies and services to support situational awareness about health emergencies or emerging situations regardless of the time of day.   The method for sharing information between agencies however should be relevant and appropriate for the nature of the event.  </w:t>
            </w:r>
          </w:p>
          <w:p w:rsidR="00122E2E" w:rsidRPr="0068555B" w:rsidRDefault="00122E2E" w:rsidP="00326941">
            <w:pPr>
              <w:spacing w:after="120"/>
              <w:rPr>
                <w:sz w:val="20"/>
                <w:szCs w:val="20"/>
              </w:rPr>
            </w:pPr>
            <w:r w:rsidRPr="0068555B">
              <w:rPr>
                <w:sz w:val="20"/>
                <w:szCs w:val="20"/>
              </w:rPr>
              <w:t>The State Control Centre and DHHS State Emergency Management Centre facilities allow for video and teleconferencing and face-to-face meetings as part of routine practice when activated in an emergency.</w:t>
            </w:r>
          </w:p>
          <w:p w:rsidR="00122E2E" w:rsidRPr="0068555B" w:rsidRDefault="00122E2E" w:rsidP="00326941">
            <w:pPr>
              <w:spacing w:after="120"/>
              <w:rPr>
                <w:sz w:val="20"/>
                <w:szCs w:val="20"/>
              </w:rPr>
            </w:pPr>
            <w:r w:rsidRPr="0068555B">
              <w:rPr>
                <w:sz w:val="20"/>
                <w:szCs w:val="20"/>
              </w:rPr>
              <w:t>In addition, analysis of real-time data from emergency departments, coupled with DHHS’s ability to issue SMS first wave notifications to health services (of potential or actual incidents) will provide greater intelligence to support information sharing and strengthen the evidence base for decision making.</w:t>
            </w:r>
          </w:p>
          <w:p w:rsidR="00122E2E" w:rsidRPr="0068555B" w:rsidRDefault="00122E2E" w:rsidP="00326941">
            <w:pPr>
              <w:spacing w:after="120"/>
              <w:rPr>
                <w:sz w:val="20"/>
                <w:szCs w:val="20"/>
              </w:rPr>
            </w:pPr>
            <w:r w:rsidRPr="0068555B">
              <w:rPr>
                <w:sz w:val="20"/>
                <w:szCs w:val="20"/>
              </w:rPr>
              <w:t>The State Health Emergency Response Plan (fourth edition) (SHERP4) also provides greater clarity of roles and responsibilities, escalation processes, and communication channels to support an effective and efficient health emergency response.  In particular, SHERP4 introduces an escalation processes based on observable impacts and consequences to improve situational awareness and enable informed decision-making during health emergencies.</w:t>
            </w:r>
          </w:p>
          <w:p w:rsidR="00122E2E" w:rsidRPr="00E35B78" w:rsidRDefault="00122E2E" w:rsidP="00C6430F">
            <w:pPr>
              <w:spacing w:after="120"/>
              <w:rPr>
                <w:sz w:val="20"/>
                <w:szCs w:val="20"/>
              </w:rPr>
            </w:pPr>
            <w:r w:rsidRPr="0068555B">
              <w:rPr>
                <w:sz w:val="20"/>
                <w:szCs w:val="20"/>
              </w:rPr>
              <w:t>The new arrangements in SHERP4 support the use of multiple communication channels for effective and efficient sharing of information with the health sector and across emergency response agencies. This is particularly important when an event occurs with minimal or no warning, out of hours or with rapidly escalating impacts.</w:t>
            </w:r>
          </w:p>
        </w:tc>
        <w:tc>
          <w:tcPr>
            <w:tcW w:w="6555" w:type="dxa"/>
            <w:tcBorders>
              <w:top w:val="double" w:sz="4" w:space="0" w:color="0070C0"/>
            </w:tcBorders>
          </w:tcPr>
          <w:p w:rsidR="00122E2E" w:rsidRPr="001B5CC7" w:rsidRDefault="00122E2E" w:rsidP="00041419">
            <w:pPr>
              <w:rPr>
                <w:sz w:val="20"/>
                <w:szCs w:val="20"/>
              </w:rPr>
            </w:pPr>
            <w:r>
              <w:rPr>
                <w:rFonts w:eastAsia="Times"/>
                <w:sz w:val="20"/>
                <w:szCs w:val="20"/>
              </w:rPr>
              <w:t xml:space="preserve">Development and implementation of a SMS </w:t>
            </w:r>
            <w:r w:rsidRPr="001B5CC7">
              <w:rPr>
                <w:rFonts w:eastAsia="Times"/>
                <w:sz w:val="20"/>
                <w:szCs w:val="20"/>
              </w:rPr>
              <w:t xml:space="preserve">notification </w:t>
            </w:r>
            <w:r>
              <w:rPr>
                <w:rFonts w:eastAsia="Times"/>
                <w:sz w:val="20"/>
                <w:szCs w:val="20"/>
              </w:rPr>
              <w:t>capability.</w:t>
            </w:r>
          </w:p>
        </w:tc>
        <w:tc>
          <w:tcPr>
            <w:tcW w:w="1842" w:type="dxa"/>
            <w:tcBorders>
              <w:top w:val="double" w:sz="4" w:space="0" w:color="0070C0"/>
            </w:tcBorders>
          </w:tcPr>
          <w:p w:rsidR="00122E2E" w:rsidRPr="00FB3E85" w:rsidRDefault="000135E3" w:rsidP="00041419">
            <w:pPr>
              <w:rPr>
                <w:sz w:val="20"/>
                <w:szCs w:val="20"/>
              </w:rPr>
            </w:pPr>
            <w:r>
              <w:rPr>
                <w:sz w:val="20"/>
                <w:szCs w:val="20"/>
              </w:rPr>
              <w:t>December 2016</w:t>
            </w:r>
          </w:p>
        </w:tc>
      </w:tr>
      <w:tr w:rsidR="00122E2E" w:rsidRPr="00FB3E85" w:rsidTr="00041419">
        <w:tc>
          <w:tcPr>
            <w:tcW w:w="6912" w:type="dxa"/>
            <w:vMerge/>
          </w:tcPr>
          <w:p w:rsidR="00122E2E" w:rsidRPr="00E35B78" w:rsidRDefault="00122E2E" w:rsidP="00326941">
            <w:pPr>
              <w:rPr>
                <w:sz w:val="20"/>
                <w:szCs w:val="20"/>
              </w:rPr>
            </w:pPr>
          </w:p>
        </w:tc>
        <w:tc>
          <w:tcPr>
            <w:tcW w:w="6555" w:type="dxa"/>
          </w:tcPr>
          <w:p w:rsidR="00122E2E" w:rsidRDefault="00122E2E" w:rsidP="00326941">
            <w:pPr>
              <w:rPr>
                <w:sz w:val="20"/>
                <w:szCs w:val="20"/>
              </w:rPr>
            </w:pPr>
            <w:r>
              <w:rPr>
                <w:sz w:val="20"/>
                <w:szCs w:val="20"/>
              </w:rPr>
              <w:t>Development of REDITS:</w:t>
            </w:r>
          </w:p>
          <w:p w:rsidR="00122E2E" w:rsidRDefault="00122E2E" w:rsidP="00326941">
            <w:pPr>
              <w:rPr>
                <w:sz w:val="20"/>
                <w:szCs w:val="20"/>
              </w:rPr>
            </w:pPr>
            <w:r>
              <w:rPr>
                <w:sz w:val="20"/>
                <w:szCs w:val="20"/>
              </w:rPr>
              <w:t>-</w:t>
            </w:r>
            <w:r w:rsidRPr="001B5CC7">
              <w:rPr>
                <w:sz w:val="20"/>
                <w:szCs w:val="20"/>
              </w:rPr>
              <w:t xml:space="preserve"> Proof of Concept </w:t>
            </w:r>
          </w:p>
          <w:p w:rsidR="00122E2E" w:rsidRPr="001B5CC7" w:rsidRDefault="00122E2E" w:rsidP="00326941">
            <w:pPr>
              <w:rPr>
                <w:sz w:val="20"/>
                <w:szCs w:val="20"/>
              </w:rPr>
            </w:pPr>
            <w:r>
              <w:rPr>
                <w:sz w:val="20"/>
                <w:szCs w:val="20"/>
              </w:rPr>
              <w:t xml:space="preserve">- </w:t>
            </w:r>
            <w:r w:rsidRPr="001B5CC7">
              <w:rPr>
                <w:sz w:val="20"/>
                <w:szCs w:val="20"/>
              </w:rPr>
              <w:t>Develop Alert Threshold Model</w:t>
            </w:r>
          </w:p>
          <w:p w:rsidR="00122E2E" w:rsidRPr="00973053" w:rsidRDefault="00122E2E" w:rsidP="00326941">
            <w:pPr>
              <w:rPr>
                <w:sz w:val="20"/>
                <w:szCs w:val="20"/>
              </w:rPr>
            </w:pPr>
            <w:r>
              <w:rPr>
                <w:sz w:val="20"/>
                <w:szCs w:val="20"/>
              </w:rPr>
              <w:t>- S</w:t>
            </w:r>
            <w:r w:rsidRPr="001B5CC7">
              <w:rPr>
                <w:sz w:val="20"/>
                <w:szCs w:val="20"/>
              </w:rPr>
              <w:t xml:space="preserve">ystem dashboards, </w:t>
            </w:r>
            <w:r>
              <w:rPr>
                <w:sz w:val="20"/>
                <w:szCs w:val="20"/>
              </w:rPr>
              <w:t>SMS</w:t>
            </w:r>
            <w:r w:rsidRPr="001B5CC7">
              <w:rPr>
                <w:sz w:val="20"/>
                <w:szCs w:val="20"/>
              </w:rPr>
              <w:t xml:space="preserve"> and email capability</w:t>
            </w:r>
            <w:r>
              <w:rPr>
                <w:sz w:val="20"/>
                <w:szCs w:val="20"/>
              </w:rPr>
              <w:t>.</w:t>
            </w:r>
          </w:p>
        </w:tc>
        <w:tc>
          <w:tcPr>
            <w:tcW w:w="1842" w:type="dxa"/>
          </w:tcPr>
          <w:p w:rsidR="00041419" w:rsidRDefault="00041419" w:rsidP="00326941">
            <w:pPr>
              <w:rPr>
                <w:sz w:val="20"/>
                <w:szCs w:val="20"/>
              </w:rPr>
            </w:pPr>
          </w:p>
          <w:p w:rsidR="00122E2E" w:rsidRPr="002269A5" w:rsidRDefault="000135E3" w:rsidP="00326941">
            <w:pPr>
              <w:rPr>
                <w:sz w:val="20"/>
                <w:szCs w:val="20"/>
              </w:rPr>
            </w:pPr>
            <w:r>
              <w:rPr>
                <w:sz w:val="20"/>
                <w:szCs w:val="20"/>
              </w:rPr>
              <w:t>March 2017</w:t>
            </w:r>
          </w:p>
          <w:p w:rsidR="00122E2E" w:rsidRPr="00B85654" w:rsidRDefault="000135E3" w:rsidP="00041419">
            <w:pPr>
              <w:rPr>
                <w:sz w:val="20"/>
                <w:szCs w:val="20"/>
              </w:rPr>
            </w:pPr>
            <w:r w:rsidRPr="00B85654">
              <w:rPr>
                <w:sz w:val="20"/>
                <w:szCs w:val="20"/>
              </w:rPr>
              <w:t>June 2017</w:t>
            </w:r>
          </w:p>
          <w:p w:rsidR="000135E3" w:rsidRDefault="000135E3" w:rsidP="00041419">
            <w:pPr>
              <w:rPr>
                <w:sz w:val="20"/>
                <w:szCs w:val="20"/>
              </w:rPr>
            </w:pPr>
            <w:r w:rsidRPr="00B85654">
              <w:rPr>
                <w:sz w:val="20"/>
                <w:szCs w:val="20"/>
              </w:rPr>
              <w:t>June 2017</w:t>
            </w:r>
          </w:p>
        </w:tc>
      </w:tr>
      <w:tr w:rsidR="00122E2E" w:rsidRPr="00FB3E85" w:rsidTr="00041419">
        <w:tc>
          <w:tcPr>
            <w:tcW w:w="6912" w:type="dxa"/>
            <w:vMerge/>
          </w:tcPr>
          <w:p w:rsidR="00122E2E" w:rsidRPr="00FB3E85" w:rsidRDefault="00122E2E" w:rsidP="00326941">
            <w:pPr>
              <w:rPr>
                <w:sz w:val="20"/>
                <w:szCs w:val="20"/>
              </w:rPr>
            </w:pPr>
          </w:p>
        </w:tc>
        <w:tc>
          <w:tcPr>
            <w:tcW w:w="6555" w:type="dxa"/>
          </w:tcPr>
          <w:p w:rsidR="00122E2E" w:rsidRDefault="00122E2E" w:rsidP="00326941">
            <w:pPr>
              <w:rPr>
                <w:sz w:val="20"/>
                <w:szCs w:val="20"/>
              </w:rPr>
            </w:pPr>
            <w:r>
              <w:rPr>
                <w:sz w:val="20"/>
                <w:szCs w:val="20"/>
              </w:rPr>
              <w:t>Implementation of REDITS:</w:t>
            </w:r>
          </w:p>
          <w:p w:rsidR="00122E2E" w:rsidRDefault="00122E2E" w:rsidP="00326941">
            <w:pPr>
              <w:rPr>
                <w:sz w:val="20"/>
                <w:szCs w:val="20"/>
              </w:rPr>
            </w:pPr>
            <w:r>
              <w:rPr>
                <w:sz w:val="20"/>
                <w:szCs w:val="20"/>
              </w:rPr>
              <w:t>- Stage 1: Proof of concept (5 health services /8 EDs on the system)</w:t>
            </w:r>
          </w:p>
          <w:p w:rsidR="00122E2E" w:rsidRDefault="00122E2E" w:rsidP="00326941">
            <w:pPr>
              <w:rPr>
                <w:sz w:val="20"/>
                <w:szCs w:val="20"/>
              </w:rPr>
            </w:pPr>
            <w:r>
              <w:rPr>
                <w:sz w:val="20"/>
                <w:szCs w:val="20"/>
              </w:rPr>
              <w:t>- Stage 2: Calibration of pilot (12 health services/20 EDs on the system)</w:t>
            </w:r>
          </w:p>
          <w:p w:rsidR="00122E2E" w:rsidRPr="0068555B" w:rsidRDefault="00122E2E" w:rsidP="00326941">
            <w:pPr>
              <w:rPr>
                <w:sz w:val="20"/>
                <w:szCs w:val="20"/>
              </w:rPr>
            </w:pPr>
            <w:r>
              <w:rPr>
                <w:sz w:val="20"/>
                <w:szCs w:val="20"/>
              </w:rPr>
              <w:t>- Stage 3</w:t>
            </w:r>
            <w:r w:rsidRPr="0068555B">
              <w:rPr>
                <w:sz w:val="20"/>
                <w:szCs w:val="20"/>
              </w:rPr>
              <w:t>: Production (29 health services / 38 EDs on the system)</w:t>
            </w:r>
          </w:p>
          <w:p w:rsidR="00122E2E" w:rsidRPr="0068555B" w:rsidRDefault="00122E2E" w:rsidP="00326941">
            <w:pPr>
              <w:rPr>
                <w:sz w:val="20"/>
                <w:szCs w:val="20"/>
              </w:rPr>
            </w:pPr>
            <w:r w:rsidRPr="0068555B">
              <w:rPr>
                <w:sz w:val="20"/>
                <w:szCs w:val="20"/>
              </w:rPr>
              <w:t xml:space="preserve">- Development and implementation </w:t>
            </w:r>
            <w:r>
              <w:rPr>
                <w:sz w:val="20"/>
                <w:szCs w:val="20"/>
              </w:rPr>
              <w:t>of Standard Operating Procedure</w:t>
            </w:r>
          </w:p>
          <w:p w:rsidR="00122E2E" w:rsidRPr="0068555B" w:rsidRDefault="00122E2E" w:rsidP="00326941">
            <w:pPr>
              <w:pStyle w:val="ListParagraph"/>
              <w:numPr>
                <w:ilvl w:val="0"/>
                <w:numId w:val="20"/>
              </w:numPr>
              <w:spacing w:after="0" w:line="240" w:lineRule="auto"/>
              <w:rPr>
                <w:sz w:val="20"/>
                <w:szCs w:val="20"/>
              </w:rPr>
            </w:pPr>
            <w:r w:rsidRPr="0068555B">
              <w:rPr>
                <w:sz w:val="20"/>
                <w:szCs w:val="20"/>
              </w:rPr>
              <w:t>Training of DHHS operational staff</w:t>
            </w:r>
          </w:p>
          <w:p w:rsidR="00122E2E" w:rsidRPr="000F6263" w:rsidRDefault="00122E2E" w:rsidP="00326941">
            <w:pPr>
              <w:pStyle w:val="ListParagraph"/>
              <w:numPr>
                <w:ilvl w:val="0"/>
                <w:numId w:val="20"/>
              </w:numPr>
              <w:spacing w:after="0" w:line="240" w:lineRule="auto"/>
              <w:rPr>
                <w:sz w:val="20"/>
                <w:szCs w:val="20"/>
              </w:rPr>
            </w:pPr>
            <w:r>
              <w:rPr>
                <w:sz w:val="20"/>
                <w:szCs w:val="20"/>
              </w:rPr>
              <w:t>Review &amp; i</w:t>
            </w:r>
            <w:r w:rsidRPr="0068555B">
              <w:rPr>
                <w:sz w:val="20"/>
                <w:szCs w:val="20"/>
              </w:rPr>
              <w:t xml:space="preserve">nvestigate feasibility for </w:t>
            </w:r>
            <w:r>
              <w:rPr>
                <w:sz w:val="20"/>
                <w:szCs w:val="20"/>
              </w:rPr>
              <w:t>inclusion of other primary health sector.</w:t>
            </w:r>
          </w:p>
        </w:tc>
        <w:tc>
          <w:tcPr>
            <w:tcW w:w="1842" w:type="dxa"/>
          </w:tcPr>
          <w:p w:rsidR="00041419" w:rsidRDefault="000135E3" w:rsidP="00326941">
            <w:pPr>
              <w:rPr>
                <w:sz w:val="20"/>
                <w:szCs w:val="20"/>
              </w:rPr>
            </w:pPr>
            <w:r>
              <w:rPr>
                <w:sz w:val="20"/>
                <w:szCs w:val="20"/>
              </w:rPr>
              <w:t>March 2017</w:t>
            </w:r>
          </w:p>
          <w:p w:rsidR="00122E2E" w:rsidRDefault="000135E3" w:rsidP="00326941">
            <w:pPr>
              <w:rPr>
                <w:sz w:val="20"/>
                <w:szCs w:val="20"/>
              </w:rPr>
            </w:pPr>
            <w:r>
              <w:rPr>
                <w:sz w:val="20"/>
                <w:szCs w:val="20"/>
              </w:rPr>
              <w:t>30 June 2017</w:t>
            </w:r>
          </w:p>
          <w:p w:rsidR="00122E2E" w:rsidRDefault="00122E2E" w:rsidP="00326941">
            <w:pPr>
              <w:rPr>
                <w:sz w:val="20"/>
                <w:szCs w:val="20"/>
              </w:rPr>
            </w:pPr>
            <w:r>
              <w:rPr>
                <w:sz w:val="20"/>
                <w:szCs w:val="20"/>
              </w:rPr>
              <w:t>31 December 2017</w:t>
            </w:r>
          </w:p>
          <w:p w:rsidR="00122E2E" w:rsidRDefault="00122E2E" w:rsidP="00326941">
            <w:pPr>
              <w:rPr>
                <w:sz w:val="20"/>
                <w:szCs w:val="20"/>
              </w:rPr>
            </w:pPr>
            <w:r>
              <w:rPr>
                <w:sz w:val="20"/>
                <w:szCs w:val="20"/>
              </w:rPr>
              <w:t>1 October 2017</w:t>
            </w:r>
          </w:p>
          <w:p w:rsidR="00122E2E" w:rsidRDefault="00122E2E" w:rsidP="00326941">
            <w:pPr>
              <w:rPr>
                <w:sz w:val="20"/>
                <w:szCs w:val="20"/>
              </w:rPr>
            </w:pPr>
            <w:r>
              <w:rPr>
                <w:sz w:val="20"/>
                <w:szCs w:val="20"/>
              </w:rPr>
              <w:t>1 October 2017</w:t>
            </w:r>
          </w:p>
          <w:p w:rsidR="00122E2E" w:rsidRDefault="00122E2E" w:rsidP="00326941">
            <w:pPr>
              <w:rPr>
                <w:sz w:val="20"/>
                <w:szCs w:val="20"/>
              </w:rPr>
            </w:pPr>
            <w:r>
              <w:rPr>
                <w:sz w:val="20"/>
                <w:szCs w:val="20"/>
              </w:rPr>
              <w:t>30 June 2018</w:t>
            </w:r>
          </w:p>
        </w:tc>
      </w:tr>
      <w:tr w:rsidR="00122E2E" w:rsidRPr="00FB3E85" w:rsidTr="00041419">
        <w:tc>
          <w:tcPr>
            <w:tcW w:w="6912" w:type="dxa"/>
            <w:vMerge/>
          </w:tcPr>
          <w:p w:rsidR="00122E2E" w:rsidRPr="00FB3E85" w:rsidRDefault="00122E2E" w:rsidP="00326941">
            <w:pPr>
              <w:rPr>
                <w:sz w:val="20"/>
                <w:szCs w:val="20"/>
              </w:rPr>
            </w:pPr>
          </w:p>
        </w:tc>
        <w:tc>
          <w:tcPr>
            <w:tcW w:w="6555" w:type="dxa"/>
          </w:tcPr>
          <w:p w:rsidR="00122E2E" w:rsidRPr="00350EE1" w:rsidRDefault="00122E2E" w:rsidP="00326941">
            <w:pPr>
              <w:rPr>
                <w:sz w:val="20"/>
                <w:szCs w:val="20"/>
              </w:rPr>
            </w:pPr>
            <w:r>
              <w:rPr>
                <w:sz w:val="20"/>
                <w:szCs w:val="20"/>
              </w:rPr>
              <w:t>Revise State</w:t>
            </w:r>
            <w:r w:rsidRPr="00FB3E85">
              <w:rPr>
                <w:sz w:val="20"/>
                <w:szCs w:val="20"/>
              </w:rPr>
              <w:t xml:space="preserve"> Health Emergency Response Plan </w:t>
            </w:r>
            <w:r>
              <w:rPr>
                <w:sz w:val="20"/>
                <w:szCs w:val="20"/>
              </w:rPr>
              <w:t>edition</w:t>
            </w:r>
            <w:r w:rsidRPr="00FB3E85">
              <w:rPr>
                <w:sz w:val="20"/>
                <w:szCs w:val="20"/>
              </w:rPr>
              <w:t xml:space="preserve"> 4 (SHERP4) </w:t>
            </w:r>
            <w:r>
              <w:rPr>
                <w:sz w:val="20"/>
                <w:szCs w:val="20"/>
              </w:rPr>
              <w:t xml:space="preserve">to include </w:t>
            </w:r>
            <w:r w:rsidRPr="00FB3E85">
              <w:rPr>
                <w:sz w:val="20"/>
                <w:szCs w:val="20"/>
              </w:rPr>
              <w:t>requirements for communications and coordination</w:t>
            </w:r>
            <w:r>
              <w:rPr>
                <w:sz w:val="20"/>
                <w:szCs w:val="20"/>
              </w:rPr>
              <w:t>.</w:t>
            </w:r>
          </w:p>
        </w:tc>
        <w:tc>
          <w:tcPr>
            <w:tcW w:w="1842" w:type="dxa"/>
          </w:tcPr>
          <w:p w:rsidR="00122E2E" w:rsidRDefault="00122E2E" w:rsidP="00041419">
            <w:pPr>
              <w:rPr>
                <w:sz w:val="20"/>
                <w:szCs w:val="20"/>
              </w:rPr>
            </w:pPr>
            <w:r>
              <w:rPr>
                <w:sz w:val="20"/>
                <w:szCs w:val="20"/>
              </w:rPr>
              <w:t>1 October 2017</w:t>
            </w:r>
          </w:p>
        </w:tc>
      </w:tr>
    </w:tbl>
    <w:p w:rsidR="00EB504B" w:rsidRDefault="00EB504B" w:rsidP="00326941">
      <w:pPr>
        <w:outlineLvl w:val="0"/>
        <w:rPr>
          <w:sz w:val="28"/>
          <w:szCs w:val="28"/>
        </w:rPr>
      </w:pPr>
    </w:p>
    <w:p w:rsidR="00EB504B" w:rsidRDefault="00EB504B">
      <w:pPr>
        <w:spacing w:after="0" w:line="240" w:lineRule="auto"/>
        <w:rPr>
          <w:sz w:val="28"/>
          <w:szCs w:val="28"/>
        </w:rPr>
      </w:pPr>
      <w:r>
        <w:rPr>
          <w:sz w:val="28"/>
          <w:szCs w:val="28"/>
        </w:rPr>
        <w:br w:type="page"/>
      </w:r>
    </w:p>
    <w:p w:rsidR="00326941" w:rsidRPr="00584192" w:rsidRDefault="00326941" w:rsidP="00326941">
      <w:pPr>
        <w:outlineLvl w:val="0"/>
        <w:rPr>
          <w:sz w:val="28"/>
          <w:szCs w:val="28"/>
        </w:rPr>
      </w:pPr>
      <w:r w:rsidRPr="00584192">
        <w:rPr>
          <w:sz w:val="28"/>
          <w:szCs w:val="28"/>
        </w:rPr>
        <w:lastRenderedPageBreak/>
        <w:t xml:space="preserve">Recommendation </w:t>
      </w:r>
      <w:r>
        <w:rPr>
          <w:sz w:val="28"/>
          <w:szCs w:val="28"/>
        </w:rPr>
        <w:t>6</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122E2E" w:rsidRPr="00FB3E85" w:rsidTr="00041419">
        <w:tc>
          <w:tcPr>
            <w:tcW w:w="691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Government response (Lead agency: DHHS)</w:t>
            </w:r>
          </w:p>
        </w:tc>
        <w:tc>
          <w:tcPr>
            <w:tcW w:w="6555"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Completion date</w:t>
            </w:r>
          </w:p>
        </w:tc>
      </w:tr>
      <w:tr w:rsidR="00122E2E" w:rsidRPr="00FB3E85" w:rsidTr="00041419">
        <w:trPr>
          <w:trHeight w:val="4410"/>
        </w:trPr>
        <w:tc>
          <w:tcPr>
            <w:tcW w:w="6912" w:type="dxa"/>
            <w:tcBorders>
              <w:top w:val="double" w:sz="4" w:space="0" w:color="0070C0"/>
            </w:tcBorders>
          </w:tcPr>
          <w:p w:rsidR="00122E2E" w:rsidRDefault="00122E2E" w:rsidP="00326941">
            <w:pPr>
              <w:spacing w:after="120" w:line="270" w:lineRule="atLeast"/>
              <w:rPr>
                <w:sz w:val="20"/>
                <w:szCs w:val="20"/>
              </w:rPr>
            </w:pPr>
            <w:r>
              <w:rPr>
                <w:sz w:val="20"/>
                <w:szCs w:val="20"/>
              </w:rPr>
              <w:t xml:space="preserve">The </w:t>
            </w:r>
            <w:r w:rsidRPr="00FB3E85">
              <w:rPr>
                <w:sz w:val="20"/>
                <w:szCs w:val="20"/>
              </w:rPr>
              <w:t xml:space="preserve">State Health Emergency Response Plan </w:t>
            </w:r>
            <w:r>
              <w:rPr>
                <w:sz w:val="20"/>
                <w:szCs w:val="20"/>
              </w:rPr>
              <w:t>edition</w:t>
            </w:r>
            <w:r w:rsidRPr="00FB3E85">
              <w:rPr>
                <w:sz w:val="20"/>
                <w:szCs w:val="20"/>
              </w:rPr>
              <w:t xml:space="preserve"> 4 (SHERP4) </w:t>
            </w:r>
            <w:r w:rsidRPr="001D79D4">
              <w:rPr>
                <w:sz w:val="20"/>
                <w:szCs w:val="20"/>
              </w:rPr>
              <w:t xml:space="preserve">includes an escalation process that considers the scale, complexity and consequences of an emergency on the community and the </w:t>
            </w:r>
            <w:r>
              <w:rPr>
                <w:sz w:val="20"/>
                <w:szCs w:val="20"/>
              </w:rPr>
              <w:t xml:space="preserve">state’s </w:t>
            </w:r>
            <w:r w:rsidRPr="001D79D4">
              <w:rPr>
                <w:sz w:val="20"/>
                <w:szCs w:val="20"/>
              </w:rPr>
              <w:t xml:space="preserve">health system. The process is based on a risk assessment methodology that seeks to mitigate adverse health consequences for communities. It also outlines the stand down (de-activation) activities. DHHS maintains a state of readiness at all times, with a team of senior and operationally trained emergency management staff ready to be mobilised to form an incident management team at short notice. The state of readiness also includes the ability to activate DHHS’ State Emergency Management Centre </w:t>
            </w:r>
            <w:r>
              <w:rPr>
                <w:sz w:val="20"/>
                <w:szCs w:val="20"/>
              </w:rPr>
              <w:t xml:space="preserve">and the State Control Centre </w:t>
            </w:r>
            <w:r w:rsidRPr="001D79D4">
              <w:rPr>
                <w:sz w:val="20"/>
                <w:szCs w:val="20"/>
              </w:rPr>
              <w:t>when required.</w:t>
            </w:r>
          </w:p>
          <w:p w:rsidR="00122E2E" w:rsidRPr="001D79D4" w:rsidRDefault="00122E2E" w:rsidP="00041419">
            <w:pPr>
              <w:spacing w:after="120" w:line="270" w:lineRule="atLeast"/>
              <w:rPr>
                <w:sz w:val="20"/>
                <w:szCs w:val="20"/>
              </w:rPr>
            </w:pPr>
            <w:r>
              <w:rPr>
                <w:sz w:val="20"/>
                <w:szCs w:val="20"/>
              </w:rPr>
              <w:t>A</w:t>
            </w:r>
            <w:r w:rsidRPr="001D79D4">
              <w:rPr>
                <w:sz w:val="20"/>
                <w:szCs w:val="20"/>
              </w:rPr>
              <w:t xml:space="preserve">n assessment of the impact and potential consequences </w:t>
            </w:r>
            <w:r>
              <w:rPr>
                <w:sz w:val="20"/>
                <w:szCs w:val="20"/>
              </w:rPr>
              <w:t>is necessary for app</w:t>
            </w:r>
            <w:r w:rsidRPr="001D79D4">
              <w:rPr>
                <w:sz w:val="20"/>
                <w:szCs w:val="20"/>
              </w:rPr>
              <w:t xml:space="preserve">ropriate early escalation.  The November event was unprecedented, the cause uncertain and information limited.  Since the event, </w:t>
            </w:r>
            <w:r>
              <w:rPr>
                <w:sz w:val="20"/>
                <w:szCs w:val="20"/>
              </w:rPr>
              <w:t xml:space="preserve">significant work has been undertaken to improve intelligence (gaining information for the purpose of effective decision making) through the development and use of forecasting and monitoring systems. </w:t>
            </w:r>
          </w:p>
        </w:tc>
        <w:tc>
          <w:tcPr>
            <w:tcW w:w="6555" w:type="dxa"/>
            <w:tcBorders>
              <w:top w:val="double" w:sz="4" w:space="0" w:color="0070C0"/>
            </w:tcBorders>
          </w:tcPr>
          <w:p w:rsidR="00122E2E" w:rsidRDefault="00122E2E" w:rsidP="00041419">
            <w:pPr>
              <w:rPr>
                <w:rFonts w:eastAsia="Times"/>
                <w:sz w:val="20"/>
                <w:szCs w:val="20"/>
              </w:rPr>
            </w:pPr>
            <w:r>
              <w:rPr>
                <w:sz w:val="20"/>
                <w:szCs w:val="20"/>
              </w:rPr>
              <w:t xml:space="preserve">Revise </w:t>
            </w:r>
            <w:r w:rsidRPr="00FB3E85">
              <w:rPr>
                <w:sz w:val="20"/>
                <w:szCs w:val="20"/>
              </w:rPr>
              <w:t xml:space="preserve">State Health Emergency Response Plan </w:t>
            </w:r>
            <w:r>
              <w:rPr>
                <w:sz w:val="20"/>
                <w:szCs w:val="20"/>
              </w:rPr>
              <w:t>edition</w:t>
            </w:r>
            <w:r w:rsidRPr="00FB3E85">
              <w:rPr>
                <w:sz w:val="20"/>
                <w:szCs w:val="20"/>
              </w:rPr>
              <w:t xml:space="preserve"> 4 (SHERP4) </w:t>
            </w:r>
            <w:r>
              <w:rPr>
                <w:sz w:val="20"/>
                <w:szCs w:val="20"/>
              </w:rPr>
              <w:t xml:space="preserve">to include </w:t>
            </w:r>
            <w:r w:rsidRPr="00FB3E85">
              <w:rPr>
                <w:sz w:val="20"/>
                <w:szCs w:val="20"/>
              </w:rPr>
              <w:t>requirements for communications and coordination</w:t>
            </w:r>
            <w:r>
              <w:rPr>
                <w:sz w:val="20"/>
                <w:szCs w:val="20"/>
              </w:rPr>
              <w:t xml:space="preserve"> including escalation of response.</w:t>
            </w:r>
          </w:p>
        </w:tc>
        <w:tc>
          <w:tcPr>
            <w:tcW w:w="1842" w:type="dxa"/>
            <w:tcBorders>
              <w:top w:val="double" w:sz="4" w:space="0" w:color="0070C0"/>
            </w:tcBorders>
          </w:tcPr>
          <w:p w:rsidR="00122E2E" w:rsidRDefault="00122E2E" w:rsidP="00041419">
            <w:pPr>
              <w:rPr>
                <w:sz w:val="20"/>
                <w:szCs w:val="20"/>
              </w:rPr>
            </w:pPr>
            <w:r>
              <w:rPr>
                <w:sz w:val="20"/>
                <w:szCs w:val="20"/>
              </w:rPr>
              <w:t xml:space="preserve">1 October 2017 </w:t>
            </w:r>
          </w:p>
        </w:tc>
      </w:tr>
    </w:tbl>
    <w:p w:rsidR="00EB504B" w:rsidRDefault="00EB504B">
      <w:pPr>
        <w:spacing w:after="0" w:line="240" w:lineRule="auto"/>
        <w:rPr>
          <w:sz w:val="28"/>
          <w:szCs w:val="28"/>
        </w:rPr>
      </w:pPr>
      <w:r>
        <w:rPr>
          <w:sz w:val="28"/>
          <w:szCs w:val="28"/>
        </w:rPr>
        <w:br w:type="page"/>
      </w:r>
    </w:p>
    <w:p w:rsidR="00326941" w:rsidRPr="00584192" w:rsidRDefault="00326941" w:rsidP="00326941">
      <w:pPr>
        <w:outlineLvl w:val="0"/>
        <w:rPr>
          <w:sz w:val="28"/>
          <w:szCs w:val="28"/>
        </w:rPr>
      </w:pPr>
      <w:r w:rsidRPr="00584192">
        <w:rPr>
          <w:sz w:val="28"/>
          <w:szCs w:val="28"/>
        </w:rPr>
        <w:lastRenderedPageBreak/>
        <w:t xml:space="preserve">Recommendation </w:t>
      </w:r>
      <w:r>
        <w:rPr>
          <w:sz w:val="28"/>
          <w:szCs w:val="28"/>
        </w:rPr>
        <w:t>7</w:t>
      </w:r>
    </w:p>
    <w:tbl>
      <w:tblPr>
        <w:tblStyle w:val="TableGrid"/>
        <w:tblW w:w="15309" w:type="dxa"/>
        <w:tblLayout w:type="fixed"/>
        <w:tblCellMar>
          <w:top w:w="113" w:type="dxa"/>
        </w:tblCellMar>
        <w:tblLook w:val="04A0" w:firstRow="1" w:lastRow="0" w:firstColumn="1" w:lastColumn="0" w:noHBand="0" w:noVBand="1"/>
      </w:tblPr>
      <w:tblGrid>
        <w:gridCol w:w="6912"/>
        <w:gridCol w:w="6555"/>
        <w:gridCol w:w="1842"/>
      </w:tblGrid>
      <w:tr w:rsidR="00122E2E" w:rsidRPr="0012697C" w:rsidTr="00041419">
        <w:tc>
          <w:tcPr>
            <w:tcW w:w="691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Government response (Lead agency: DHHS)</w:t>
            </w:r>
          </w:p>
        </w:tc>
        <w:tc>
          <w:tcPr>
            <w:tcW w:w="6555"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Completion date</w:t>
            </w:r>
          </w:p>
        </w:tc>
      </w:tr>
      <w:tr w:rsidR="00122E2E" w:rsidRPr="00FB3E85" w:rsidTr="00041419">
        <w:tc>
          <w:tcPr>
            <w:tcW w:w="6912" w:type="dxa"/>
            <w:vMerge w:val="restart"/>
            <w:tcBorders>
              <w:top w:val="double" w:sz="4" w:space="0" w:color="0070C0"/>
            </w:tcBorders>
          </w:tcPr>
          <w:p w:rsidR="00122E2E" w:rsidRPr="00F71275" w:rsidRDefault="00122E2E" w:rsidP="00326941">
            <w:pPr>
              <w:spacing w:after="120" w:line="270" w:lineRule="atLeast"/>
              <w:rPr>
                <w:sz w:val="20"/>
                <w:szCs w:val="20"/>
              </w:rPr>
            </w:pPr>
            <w:r w:rsidRPr="00F71275">
              <w:rPr>
                <w:sz w:val="20"/>
                <w:szCs w:val="20"/>
              </w:rPr>
              <w:t>The government is committed to working with hospitals to ensure a well-coordinated health emergency response, and effective management of resources across the health system during times of significant demand for assistance.</w:t>
            </w:r>
          </w:p>
          <w:p w:rsidR="00122E2E" w:rsidRPr="00F71275" w:rsidRDefault="00122E2E" w:rsidP="00326941">
            <w:pPr>
              <w:spacing w:after="120" w:line="270" w:lineRule="atLeast"/>
              <w:rPr>
                <w:sz w:val="20"/>
                <w:szCs w:val="20"/>
              </w:rPr>
            </w:pPr>
            <w:r w:rsidRPr="00F71275">
              <w:rPr>
                <w:sz w:val="20"/>
                <w:szCs w:val="20"/>
              </w:rPr>
              <w:t>A Code Brown guidance note was issued by DHHS to mitigate any uncertainty created by the experience of the November event, and to confirm the arrangements for responding to health emergencies. Code Brown is a nationally recognised code (Australian standard) for health service planning for response and recovery from external emergencies.</w:t>
            </w:r>
          </w:p>
          <w:p w:rsidR="00122E2E" w:rsidRPr="00F71275" w:rsidRDefault="00122E2E" w:rsidP="00326941">
            <w:pPr>
              <w:spacing w:after="120" w:line="270" w:lineRule="atLeast"/>
              <w:rPr>
                <w:sz w:val="20"/>
                <w:szCs w:val="20"/>
              </w:rPr>
            </w:pPr>
            <w:r w:rsidRPr="00F71275">
              <w:rPr>
                <w:sz w:val="20"/>
                <w:szCs w:val="20"/>
              </w:rPr>
              <w:t xml:space="preserve">The guidance note assists health services and facilities to prepare Code Brown plans by providing information to clarify the purpose of Code Brown plans, and highlighting key steps to take before, during and after an external emergency that may impact health services. </w:t>
            </w:r>
          </w:p>
          <w:p w:rsidR="00122E2E" w:rsidRPr="00F71275" w:rsidRDefault="00122E2E" w:rsidP="00326941">
            <w:pPr>
              <w:spacing w:after="120" w:line="270" w:lineRule="atLeast"/>
              <w:rPr>
                <w:sz w:val="20"/>
                <w:szCs w:val="20"/>
              </w:rPr>
            </w:pPr>
            <w:r w:rsidRPr="00F71275">
              <w:rPr>
                <w:sz w:val="20"/>
                <w:szCs w:val="20"/>
              </w:rPr>
              <w:t>The revised SHERP4 articulates the responsibilities of health services regarding planning for emergencies, including their responsibilities within the arrangements for escalation and notification. SHERP4 also references the Code Brown guidance note from the DHHS website</w:t>
            </w:r>
            <w:r>
              <w:rPr>
                <w:sz w:val="20"/>
                <w:szCs w:val="20"/>
              </w:rPr>
              <w:t>.</w:t>
            </w:r>
          </w:p>
        </w:tc>
        <w:tc>
          <w:tcPr>
            <w:tcW w:w="6555" w:type="dxa"/>
            <w:tcBorders>
              <w:top w:val="double" w:sz="4" w:space="0" w:color="0070C0"/>
            </w:tcBorders>
          </w:tcPr>
          <w:p w:rsidR="00122E2E" w:rsidRPr="00F71275" w:rsidRDefault="00122E2E" w:rsidP="00041419">
            <w:pPr>
              <w:rPr>
                <w:sz w:val="20"/>
                <w:szCs w:val="20"/>
              </w:rPr>
            </w:pPr>
            <w:r w:rsidRPr="00F71275">
              <w:rPr>
                <w:sz w:val="20"/>
                <w:szCs w:val="20"/>
              </w:rPr>
              <w:t>Issue Code Brown guidance note to health s</w:t>
            </w:r>
            <w:r w:rsidR="00041419">
              <w:rPr>
                <w:sz w:val="20"/>
                <w:szCs w:val="20"/>
              </w:rPr>
              <w:t>ervices</w:t>
            </w:r>
          </w:p>
        </w:tc>
        <w:tc>
          <w:tcPr>
            <w:tcW w:w="1842" w:type="dxa"/>
            <w:tcBorders>
              <w:top w:val="double" w:sz="4" w:space="0" w:color="0070C0"/>
            </w:tcBorders>
          </w:tcPr>
          <w:p w:rsidR="00122E2E" w:rsidRPr="00F71275" w:rsidRDefault="000135E3" w:rsidP="00041419">
            <w:pPr>
              <w:rPr>
                <w:sz w:val="20"/>
                <w:szCs w:val="20"/>
              </w:rPr>
            </w:pPr>
            <w:r>
              <w:rPr>
                <w:sz w:val="20"/>
                <w:szCs w:val="20"/>
              </w:rPr>
              <w:t>December 2016 and February 2017</w:t>
            </w:r>
          </w:p>
        </w:tc>
      </w:tr>
      <w:tr w:rsidR="00122E2E" w:rsidRPr="00FB3E85" w:rsidTr="00041419">
        <w:tc>
          <w:tcPr>
            <w:tcW w:w="6912" w:type="dxa"/>
            <w:vMerge/>
          </w:tcPr>
          <w:p w:rsidR="00122E2E" w:rsidRPr="00F71275" w:rsidRDefault="00122E2E" w:rsidP="00326941">
            <w:pPr>
              <w:spacing w:after="120" w:line="270" w:lineRule="atLeast"/>
              <w:rPr>
                <w:sz w:val="20"/>
                <w:szCs w:val="20"/>
              </w:rPr>
            </w:pPr>
          </w:p>
        </w:tc>
        <w:tc>
          <w:tcPr>
            <w:tcW w:w="6555" w:type="dxa"/>
          </w:tcPr>
          <w:p w:rsidR="00122E2E" w:rsidRDefault="00122E2E" w:rsidP="00326941">
            <w:pPr>
              <w:rPr>
                <w:sz w:val="20"/>
                <w:szCs w:val="20"/>
              </w:rPr>
            </w:pPr>
            <w:r w:rsidRPr="00F71275">
              <w:rPr>
                <w:sz w:val="20"/>
                <w:szCs w:val="20"/>
              </w:rPr>
              <w:t xml:space="preserve">Revise Code Brown guidance </w:t>
            </w:r>
            <w:r w:rsidRPr="00D31029">
              <w:rPr>
                <w:sz w:val="20"/>
                <w:szCs w:val="20"/>
              </w:rPr>
              <w:t>note (February 2017 version) for alignment with SHERP4</w:t>
            </w:r>
            <w:r>
              <w:rPr>
                <w:sz w:val="20"/>
                <w:szCs w:val="20"/>
              </w:rPr>
              <w:t>.</w:t>
            </w:r>
          </w:p>
          <w:p w:rsidR="00122E2E" w:rsidRPr="00F71275" w:rsidRDefault="00122E2E" w:rsidP="00326941">
            <w:pPr>
              <w:rPr>
                <w:sz w:val="20"/>
                <w:szCs w:val="20"/>
              </w:rPr>
            </w:pPr>
            <w:r w:rsidRPr="00D31029">
              <w:rPr>
                <w:sz w:val="20"/>
                <w:szCs w:val="20"/>
              </w:rPr>
              <w:t>Revise Code Brown guidance to include indicators for escalation</w:t>
            </w:r>
          </w:p>
        </w:tc>
        <w:tc>
          <w:tcPr>
            <w:tcW w:w="1842" w:type="dxa"/>
          </w:tcPr>
          <w:p w:rsidR="00C6430F" w:rsidRDefault="00122E2E" w:rsidP="00C6430F">
            <w:pPr>
              <w:rPr>
                <w:sz w:val="20"/>
                <w:szCs w:val="20"/>
              </w:rPr>
            </w:pPr>
            <w:r w:rsidRPr="00F71275">
              <w:rPr>
                <w:sz w:val="20"/>
                <w:szCs w:val="20"/>
              </w:rPr>
              <w:t>1 October 2017</w:t>
            </w:r>
          </w:p>
          <w:p w:rsidR="00122E2E" w:rsidRPr="00F71275" w:rsidRDefault="00122E2E" w:rsidP="00C6430F">
            <w:pPr>
              <w:rPr>
                <w:sz w:val="20"/>
                <w:szCs w:val="20"/>
              </w:rPr>
            </w:pPr>
            <w:r w:rsidRPr="00F71275">
              <w:rPr>
                <w:sz w:val="20"/>
                <w:szCs w:val="20"/>
              </w:rPr>
              <w:t>1 December 2017</w:t>
            </w:r>
          </w:p>
        </w:tc>
      </w:tr>
      <w:tr w:rsidR="00122E2E" w:rsidRPr="00FB3E85" w:rsidTr="00041419">
        <w:tc>
          <w:tcPr>
            <w:tcW w:w="6912" w:type="dxa"/>
            <w:vMerge/>
          </w:tcPr>
          <w:p w:rsidR="00122E2E" w:rsidRPr="00FB3E85" w:rsidRDefault="00122E2E" w:rsidP="00326941">
            <w:pPr>
              <w:spacing w:after="120" w:line="270" w:lineRule="atLeast"/>
              <w:rPr>
                <w:sz w:val="20"/>
                <w:szCs w:val="20"/>
              </w:rPr>
            </w:pPr>
          </w:p>
        </w:tc>
        <w:tc>
          <w:tcPr>
            <w:tcW w:w="6555" w:type="dxa"/>
          </w:tcPr>
          <w:p w:rsidR="00122E2E" w:rsidRDefault="00122E2E" w:rsidP="00326941">
            <w:pPr>
              <w:rPr>
                <w:sz w:val="20"/>
                <w:szCs w:val="20"/>
              </w:rPr>
            </w:pPr>
            <w:r>
              <w:rPr>
                <w:sz w:val="20"/>
                <w:szCs w:val="20"/>
              </w:rPr>
              <w:t xml:space="preserve">Revised </w:t>
            </w:r>
            <w:r w:rsidRPr="00FB3E85">
              <w:rPr>
                <w:sz w:val="20"/>
                <w:szCs w:val="20"/>
              </w:rPr>
              <w:t xml:space="preserve">State Health Emergency Response Plan version 4 (SHERP4) </w:t>
            </w:r>
            <w:r>
              <w:rPr>
                <w:sz w:val="20"/>
                <w:szCs w:val="20"/>
              </w:rPr>
              <w:t>to note health service responsibilities in Code Brown planning and reference guidance note.</w:t>
            </w:r>
          </w:p>
        </w:tc>
        <w:tc>
          <w:tcPr>
            <w:tcW w:w="1842" w:type="dxa"/>
          </w:tcPr>
          <w:p w:rsidR="00122E2E" w:rsidRDefault="00041419" w:rsidP="00041419">
            <w:pPr>
              <w:rPr>
                <w:sz w:val="20"/>
                <w:szCs w:val="20"/>
              </w:rPr>
            </w:pPr>
            <w:r>
              <w:rPr>
                <w:sz w:val="20"/>
                <w:szCs w:val="20"/>
              </w:rPr>
              <w:t>1 October 2017</w:t>
            </w:r>
          </w:p>
        </w:tc>
      </w:tr>
    </w:tbl>
    <w:p w:rsidR="00326941" w:rsidRDefault="00326941" w:rsidP="00326941"/>
    <w:p w:rsidR="00326941" w:rsidRDefault="00326941" w:rsidP="00326941">
      <w:r>
        <w:br w:type="page"/>
      </w:r>
    </w:p>
    <w:p w:rsidR="00326941" w:rsidRPr="00584192" w:rsidRDefault="00326941" w:rsidP="00326941">
      <w:pPr>
        <w:outlineLvl w:val="0"/>
        <w:rPr>
          <w:sz w:val="28"/>
          <w:szCs w:val="28"/>
        </w:rPr>
      </w:pPr>
      <w:r w:rsidRPr="00584192">
        <w:rPr>
          <w:sz w:val="28"/>
          <w:szCs w:val="28"/>
        </w:rPr>
        <w:lastRenderedPageBreak/>
        <w:t xml:space="preserve">Recommendation </w:t>
      </w:r>
      <w:r>
        <w:rPr>
          <w:sz w:val="28"/>
          <w:szCs w:val="28"/>
        </w:rPr>
        <w:t>8</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122E2E" w:rsidRPr="0012697C" w:rsidTr="00041419">
        <w:tc>
          <w:tcPr>
            <w:tcW w:w="691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Government response (Lead agency: EMV)</w:t>
            </w:r>
          </w:p>
        </w:tc>
        <w:tc>
          <w:tcPr>
            <w:tcW w:w="6555"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Completion date</w:t>
            </w:r>
          </w:p>
        </w:tc>
      </w:tr>
      <w:tr w:rsidR="00122E2E" w:rsidRPr="00FB3E85" w:rsidTr="00041419">
        <w:tc>
          <w:tcPr>
            <w:tcW w:w="6912" w:type="dxa"/>
            <w:vMerge w:val="restart"/>
            <w:tcBorders>
              <w:top w:val="double" w:sz="4" w:space="0" w:color="0070C0"/>
            </w:tcBorders>
          </w:tcPr>
          <w:p w:rsidR="00122E2E" w:rsidRPr="000066B7" w:rsidRDefault="00122E2E" w:rsidP="00326941">
            <w:pPr>
              <w:spacing w:after="120" w:line="270" w:lineRule="atLeast"/>
              <w:rPr>
                <w:sz w:val="20"/>
                <w:szCs w:val="20"/>
              </w:rPr>
            </w:pPr>
            <w:r w:rsidRPr="000066B7">
              <w:rPr>
                <w:sz w:val="20"/>
                <w:szCs w:val="20"/>
              </w:rPr>
              <w:t>The government recognises the importance of timely communication to the community and responsiveness to emergency events.  It is committed to ensuring that early information is provided to the public, even if the situation or the cause of the emergency is not clear.</w:t>
            </w:r>
          </w:p>
          <w:p w:rsidR="00122E2E" w:rsidRDefault="00122E2E" w:rsidP="00326941">
            <w:pPr>
              <w:spacing w:after="120" w:line="270" w:lineRule="atLeast"/>
              <w:rPr>
                <w:sz w:val="20"/>
                <w:szCs w:val="20"/>
              </w:rPr>
            </w:pPr>
            <w:r>
              <w:rPr>
                <w:sz w:val="20"/>
                <w:szCs w:val="20"/>
              </w:rPr>
              <w:t xml:space="preserve">The DHHS </w:t>
            </w:r>
            <w:r w:rsidRPr="000066B7">
              <w:rPr>
                <w:sz w:val="20"/>
                <w:szCs w:val="20"/>
              </w:rPr>
              <w:t>Thunderstorm Asthma Warnings Protocol was agreed in December 2016</w:t>
            </w:r>
            <w:r>
              <w:rPr>
                <w:sz w:val="20"/>
                <w:szCs w:val="20"/>
              </w:rPr>
              <w:t xml:space="preserve"> for the issuing of thunderstorm asthma </w:t>
            </w:r>
            <w:r w:rsidRPr="000066B7">
              <w:rPr>
                <w:sz w:val="20"/>
                <w:szCs w:val="20"/>
              </w:rPr>
              <w:t xml:space="preserve">warnings </w:t>
            </w:r>
            <w:r>
              <w:rPr>
                <w:sz w:val="20"/>
                <w:szCs w:val="20"/>
              </w:rPr>
              <w:t>via</w:t>
            </w:r>
            <w:r w:rsidRPr="000066B7">
              <w:rPr>
                <w:sz w:val="20"/>
                <w:szCs w:val="20"/>
              </w:rPr>
              <w:t xml:space="preserve"> the </w:t>
            </w:r>
            <w:r w:rsidRPr="00E97F39">
              <w:rPr>
                <w:sz w:val="20"/>
                <w:szCs w:val="20"/>
              </w:rPr>
              <w:t>Victorian Warnings System</w:t>
            </w:r>
            <w:r>
              <w:rPr>
                <w:sz w:val="20"/>
                <w:szCs w:val="20"/>
              </w:rPr>
              <w:t xml:space="preserve">.  </w:t>
            </w:r>
            <w:r w:rsidRPr="00E97F39">
              <w:rPr>
                <w:sz w:val="20"/>
                <w:szCs w:val="20"/>
              </w:rPr>
              <w:t>The Victorian Warnings System includes the VicEmergency website, app, hotline,</w:t>
            </w:r>
            <w:r>
              <w:rPr>
                <w:sz w:val="20"/>
                <w:szCs w:val="20"/>
              </w:rPr>
              <w:t xml:space="preserve"> Emergency</w:t>
            </w:r>
            <w:r w:rsidRPr="00E97F39">
              <w:rPr>
                <w:sz w:val="20"/>
                <w:szCs w:val="20"/>
              </w:rPr>
              <w:t xml:space="preserve"> </w:t>
            </w:r>
            <w:r>
              <w:rPr>
                <w:sz w:val="20"/>
                <w:szCs w:val="20"/>
              </w:rPr>
              <w:t>A</w:t>
            </w:r>
            <w:r w:rsidRPr="00E97F39">
              <w:rPr>
                <w:sz w:val="20"/>
                <w:szCs w:val="20"/>
              </w:rPr>
              <w:t>lert and</w:t>
            </w:r>
            <w:r>
              <w:rPr>
                <w:sz w:val="20"/>
                <w:szCs w:val="20"/>
              </w:rPr>
              <w:t xml:space="preserve"> arrangements with emergency broadcasters. </w:t>
            </w:r>
            <w:r w:rsidRPr="000066B7">
              <w:rPr>
                <w:sz w:val="20"/>
                <w:szCs w:val="20"/>
              </w:rPr>
              <w:t xml:space="preserve">The protocol is consistent with the Victorian Warning Protocol, and will be updated </w:t>
            </w:r>
            <w:r>
              <w:rPr>
                <w:sz w:val="20"/>
                <w:szCs w:val="20"/>
              </w:rPr>
              <w:t xml:space="preserve">to Version 2 </w:t>
            </w:r>
            <w:r w:rsidRPr="000066B7">
              <w:rPr>
                <w:sz w:val="20"/>
                <w:szCs w:val="20"/>
              </w:rPr>
              <w:t xml:space="preserve">prior to the 2017 pollen season to reflect new knowledge and the improved forecasting methods </w:t>
            </w:r>
            <w:r>
              <w:rPr>
                <w:sz w:val="20"/>
                <w:szCs w:val="20"/>
              </w:rPr>
              <w:t>which are under</w:t>
            </w:r>
            <w:r w:rsidRPr="000066B7">
              <w:rPr>
                <w:sz w:val="20"/>
                <w:szCs w:val="20"/>
              </w:rPr>
              <w:t xml:space="preserve"> </w:t>
            </w:r>
            <w:r w:rsidRPr="00392B1B">
              <w:rPr>
                <w:sz w:val="20"/>
                <w:szCs w:val="20"/>
              </w:rPr>
              <w:t xml:space="preserve">development.  </w:t>
            </w:r>
          </w:p>
          <w:p w:rsidR="00122E2E" w:rsidRPr="000066B7" w:rsidRDefault="00122E2E" w:rsidP="00326941">
            <w:pPr>
              <w:spacing w:after="120" w:line="270" w:lineRule="atLeast"/>
              <w:rPr>
                <w:sz w:val="20"/>
                <w:szCs w:val="20"/>
              </w:rPr>
            </w:pPr>
            <w:r w:rsidRPr="000066B7">
              <w:rPr>
                <w:sz w:val="20"/>
                <w:szCs w:val="20"/>
              </w:rPr>
              <w:t xml:space="preserve">The Victorian Warning Protocol is also being reviewed to ensure it is contemporary, reflects emergency management and public information reforms and that it is applicable to both Class 1 and Class 2 emergencies.  </w:t>
            </w:r>
          </w:p>
          <w:p w:rsidR="00122E2E" w:rsidRDefault="00122E2E" w:rsidP="00326941">
            <w:pPr>
              <w:spacing w:after="120" w:line="270" w:lineRule="atLeast"/>
              <w:rPr>
                <w:sz w:val="20"/>
                <w:szCs w:val="20"/>
              </w:rPr>
            </w:pPr>
            <w:r w:rsidRPr="00392B1B">
              <w:rPr>
                <w:sz w:val="20"/>
                <w:szCs w:val="20"/>
              </w:rPr>
              <w:t xml:space="preserve">DHHS, in partnership with EMV and AV, is developing </w:t>
            </w:r>
            <w:r>
              <w:rPr>
                <w:sz w:val="20"/>
                <w:szCs w:val="20"/>
              </w:rPr>
              <w:t xml:space="preserve">a </w:t>
            </w:r>
            <w:r w:rsidRPr="00392B1B">
              <w:rPr>
                <w:sz w:val="20"/>
                <w:szCs w:val="20"/>
              </w:rPr>
              <w:t xml:space="preserve">public information and warnings business rules and a decision-making guide for issuing health emergency warnings on the </w:t>
            </w:r>
            <w:r w:rsidRPr="00315923">
              <w:rPr>
                <w:sz w:val="20"/>
                <w:szCs w:val="20"/>
              </w:rPr>
              <w:t>Victorian Warnings System</w:t>
            </w:r>
            <w:r>
              <w:rPr>
                <w:sz w:val="20"/>
                <w:szCs w:val="20"/>
              </w:rPr>
              <w:t>.</w:t>
            </w:r>
          </w:p>
          <w:p w:rsidR="00122E2E" w:rsidRPr="000066B7" w:rsidRDefault="00122E2E" w:rsidP="00326941">
            <w:pPr>
              <w:spacing w:after="120" w:line="270" w:lineRule="atLeast"/>
              <w:rPr>
                <w:sz w:val="20"/>
                <w:szCs w:val="20"/>
              </w:rPr>
            </w:pPr>
            <w:r>
              <w:rPr>
                <w:sz w:val="20"/>
                <w:szCs w:val="20"/>
              </w:rPr>
              <w:t xml:space="preserve">The capability is now available within the Victorian Warnings System to issue </w:t>
            </w:r>
            <w:r w:rsidRPr="00392B1B">
              <w:rPr>
                <w:sz w:val="20"/>
                <w:szCs w:val="20"/>
              </w:rPr>
              <w:t>public information and warnings</w:t>
            </w:r>
            <w:r>
              <w:rPr>
                <w:sz w:val="20"/>
                <w:szCs w:val="20"/>
              </w:rPr>
              <w:t xml:space="preserve"> for Class 2 Health Emergencies. </w:t>
            </w:r>
          </w:p>
        </w:tc>
        <w:tc>
          <w:tcPr>
            <w:tcW w:w="6555" w:type="dxa"/>
            <w:tcBorders>
              <w:top w:val="double" w:sz="4" w:space="0" w:color="0070C0"/>
            </w:tcBorders>
          </w:tcPr>
          <w:p w:rsidR="00122E2E" w:rsidRDefault="00122E2E" w:rsidP="00041419">
            <w:pPr>
              <w:rPr>
                <w:sz w:val="20"/>
                <w:szCs w:val="20"/>
              </w:rPr>
            </w:pPr>
            <w:r>
              <w:rPr>
                <w:sz w:val="20"/>
                <w:szCs w:val="20"/>
              </w:rPr>
              <w:t>Establishment of</w:t>
            </w:r>
            <w:r w:rsidRPr="000066B7">
              <w:rPr>
                <w:sz w:val="20"/>
                <w:szCs w:val="20"/>
              </w:rPr>
              <w:t xml:space="preserve"> Thunderstorm Asthma Warnings Protocol</w:t>
            </w:r>
          </w:p>
        </w:tc>
        <w:tc>
          <w:tcPr>
            <w:tcW w:w="1842" w:type="dxa"/>
            <w:tcBorders>
              <w:top w:val="double" w:sz="4" w:space="0" w:color="0070C0"/>
            </w:tcBorders>
          </w:tcPr>
          <w:p w:rsidR="00122E2E" w:rsidRPr="002078C1" w:rsidRDefault="00F35BC6" w:rsidP="00326941">
            <w:pPr>
              <w:rPr>
                <w:sz w:val="20"/>
                <w:szCs w:val="20"/>
              </w:rPr>
            </w:pPr>
            <w:r>
              <w:rPr>
                <w:sz w:val="20"/>
                <w:szCs w:val="20"/>
              </w:rPr>
              <w:t>December 2016</w:t>
            </w:r>
          </w:p>
        </w:tc>
      </w:tr>
      <w:tr w:rsidR="00122E2E" w:rsidRPr="00FB3E85" w:rsidTr="00041419">
        <w:tc>
          <w:tcPr>
            <w:tcW w:w="6912" w:type="dxa"/>
            <w:vMerge/>
          </w:tcPr>
          <w:p w:rsidR="00122E2E" w:rsidRPr="000066B7" w:rsidRDefault="00122E2E" w:rsidP="00326941">
            <w:pPr>
              <w:rPr>
                <w:sz w:val="20"/>
                <w:szCs w:val="20"/>
              </w:rPr>
            </w:pPr>
          </w:p>
        </w:tc>
        <w:tc>
          <w:tcPr>
            <w:tcW w:w="6555" w:type="dxa"/>
          </w:tcPr>
          <w:p w:rsidR="00122E2E" w:rsidRDefault="00122E2E" w:rsidP="00041419">
            <w:pPr>
              <w:rPr>
                <w:sz w:val="20"/>
                <w:szCs w:val="20"/>
              </w:rPr>
            </w:pPr>
            <w:r w:rsidRPr="0068555B">
              <w:rPr>
                <w:sz w:val="20"/>
                <w:szCs w:val="20"/>
              </w:rPr>
              <w:t>Develop Thunderstorm Asthma Warnings Protocol version 2</w:t>
            </w:r>
          </w:p>
        </w:tc>
        <w:tc>
          <w:tcPr>
            <w:tcW w:w="1842" w:type="dxa"/>
          </w:tcPr>
          <w:p w:rsidR="00122E2E" w:rsidRPr="002078C1" w:rsidRDefault="00122E2E" w:rsidP="00326941">
            <w:pPr>
              <w:rPr>
                <w:sz w:val="20"/>
                <w:szCs w:val="20"/>
              </w:rPr>
            </w:pPr>
            <w:r>
              <w:rPr>
                <w:sz w:val="20"/>
                <w:szCs w:val="20"/>
              </w:rPr>
              <w:t>1 October 2017</w:t>
            </w:r>
          </w:p>
        </w:tc>
      </w:tr>
      <w:tr w:rsidR="00122E2E" w:rsidRPr="00FB3E85" w:rsidTr="00041419">
        <w:tc>
          <w:tcPr>
            <w:tcW w:w="6912" w:type="dxa"/>
            <w:vMerge/>
          </w:tcPr>
          <w:p w:rsidR="00122E2E" w:rsidRPr="000066B7" w:rsidRDefault="00122E2E" w:rsidP="00326941">
            <w:pPr>
              <w:rPr>
                <w:sz w:val="20"/>
                <w:szCs w:val="20"/>
              </w:rPr>
            </w:pPr>
          </w:p>
        </w:tc>
        <w:tc>
          <w:tcPr>
            <w:tcW w:w="6555" w:type="dxa"/>
          </w:tcPr>
          <w:p w:rsidR="00122E2E" w:rsidRPr="00392B1B" w:rsidRDefault="00122E2E" w:rsidP="00041419">
            <w:pPr>
              <w:rPr>
                <w:sz w:val="20"/>
                <w:szCs w:val="20"/>
                <w:highlight w:val="yellow"/>
              </w:rPr>
            </w:pPr>
            <w:r>
              <w:rPr>
                <w:sz w:val="20"/>
                <w:szCs w:val="20"/>
              </w:rPr>
              <w:t>R</w:t>
            </w:r>
            <w:r w:rsidRPr="000066B7">
              <w:rPr>
                <w:sz w:val="20"/>
                <w:szCs w:val="20"/>
              </w:rPr>
              <w:t>eview the Victorian Warnings Protocol to ensure it is applicable to both Class 1 and Class 2 emergencies.</w:t>
            </w:r>
          </w:p>
        </w:tc>
        <w:tc>
          <w:tcPr>
            <w:tcW w:w="1842" w:type="dxa"/>
          </w:tcPr>
          <w:p w:rsidR="00122E2E" w:rsidRPr="002078C1" w:rsidRDefault="00122E2E" w:rsidP="00041419">
            <w:pPr>
              <w:rPr>
                <w:sz w:val="20"/>
                <w:szCs w:val="20"/>
              </w:rPr>
            </w:pPr>
            <w:r w:rsidRPr="002078C1">
              <w:rPr>
                <w:sz w:val="20"/>
                <w:szCs w:val="20"/>
              </w:rPr>
              <w:t>1 Dec</w:t>
            </w:r>
            <w:r>
              <w:rPr>
                <w:sz w:val="20"/>
                <w:szCs w:val="20"/>
              </w:rPr>
              <w:t>ember</w:t>
            </w:r>
            <w:r w:rsidRPr="002078C1">
              <w:rPr>
                <w:sz w:val="20"/>
                <w:szCs w:val="20"/>
              </w:rPr>
              <w:t xml:space="preserve"> 2017</w:t>
            </w:r>
          </w:p>
        </w:tc>
      </w:tr>
      <w:tr w:rsidR="00122E2E" w:rsidRPr="00FB3E85" w:rsidTr="00041419">
        <w:tc>
          <w:tcPr>
            <w:tcW w:w="6912" w:type="dxa"/>
            <w:vMerge/>
          </w:tcPr>
          <w:p w:rsidR="00122E2E" w:rsidRPr="000066B7" w:rsidRDefault="00122E2E" w:rsidP="00326941">
            <w:pPr>
              <w:rPr>
                <w:sz w:val="20"/>
                <w:szCs w:val="20"/>
              </w:rPr>
            </w:pPr>
          </w:p>
        </w:tc>
        <w:tc>
          <w:tcPr>
            <w:tcW w:w="6555" w:type="dxa"/>
          </w:tcPr>
          <w:p w:rsidR="00122E2E" w:rsidRPr="00392B1B" w:rsidRDefault="00122E2E" w:rsidP="00041419">
            <w:pPr>
              <w:rPr>
                <w:sz w:val="20"/>
                <w:szCs w:val="20"/>
                <w:highlight w:val="yellow"/>
              </w:rPr>
            </w:pPr>
            <w:r>
              <w:rPr>
                <w:sz w:val="20"/>
                <w:szCs w:val="20"/>
              </w:rPr>
              <w:t>D</w:t>
            </w:r>
            <w:r w:rsidRPr="000066B7">
              <w:rPr>
                <w:sz w:val="20"/>
                <w:szCs w:val="20"/>
              </w:rPr>
              <w:t>evelop</w:t>
            </w:r>
            <w:r>
              <w:rPr>
                <w:sz w:val="20"/>
                <w:szCs w:val="20"/>
              </w:rPr>
              <w:t>ment of</w:t>
            </w:r>
            <w:r w:rsidRPr="000066B7">
              <w:rPr>
                <w:sz w:val="20"/>
                <w:szCs w:val="20"/>
              </w:rPr>
              <w:t xml:space="preserve"> a public information and warning business rules and </w:t>
            </w:r>
            <w:r>
              <w:rPr>
                <w:sz w:val="20"/>
                <w:szCs w:val="20"/>
              </w:rPr>
              <w:t xml:space="preserve">decision-making guide for </w:t>
            </w:r>
            <w:r w:rsidRPr="000066B7">
              <w:rPr>
                <w:sz w:val="20"/>
                <w:szCs w:val="20"/>
              </w:rPr>
              <w:t>issuing public information and warnings in health emergencies</w:t>
            </w:r>
            <w:r>
              <w:rPr>
                <w:sz w:val="20"/>
                <w:szCs w:val="20"/>
              </w:rPr>
              <w:t xml:space="preserve"> in line with the Victorian Warnings Protocol</w:t>
            </w:r>
            <w:r w:rsidRPr="000066B7">
              <w:rPr>
                <w:sz w:val="20"/>
                <w:szCs w:val="20"/>
              </w:rPr>
              <w:t xml:space="preserve">. </w:t>
            </w:r>
          </w:p>
        </w:tc>
        <w:tc>
          <w:tcPr>
            <w:tcW w:w="1842" w:type="dxa"/>
          </w:tcPr>
          <w:p w:rsidR="00122E2E" w:rsidRPr="002078C1" w:rsidRDefault="00122E2E" w:rsidP="00326941">
            <w:pPr>
              <w:rPr>
                <w:sz w:val="20"/>
                <w:szCs w:val="20"/>
              </w:rPr>
            </w:pPr>
            <w:r w:rsidRPr="002078C1">
              <w:rPr>
                <w:sz w:val="20"/>
                <w:szCs w:val="20"/>
              </w:rPr>
              <w:t>30 September 2017</w:t>
            </w:r>
          </w:p>
        </w:tc>
      </w:tr>
      <w:tr w:rsidR="00122E2E" w:rsidRPr="00FB3E85" w:rsidTr="00041419">
        <w:tc>
          <w:tcPr>
            <w:tcW w:w="6912" w:type="dxa"/>
            <w:vMerge/>
          </w:tcPr>
          <w:p w:rsidR="00122E2E" w:rsidRPr="000066B7" w:rsidRDefault="00122E2E" w:rsidP="00326941">
            <w:pPr>
              <w:rPr>
                <w:sz w:val="20"/>
                <w:szCs w:val="20"/>
              </w:rPr>
            </w:pPr>
          </w:p>
        </w:tc>
        <w:tc>
          <w:tcPr>
            <w:tcW w:w="6555" w:type="dxa"/>
          </w:tcPr>
          <w:p w:rsidR="00122E2E" w:rsidRPr="00392B1B" w:rsidRDefault="00122E2E" w:rsidP="00041419">
            <w:pPr>
              <w:rPr>
                <w:sz w:val="20"/>
                <w:szCs w:val="20"/>
                <w:highlight w:val="yellow"/>
              </w:rPr>
            </w:pPr>
            <w:r>
              <w:rPr>
                <w:sz w:val="20"/>
                <w:szCs w:val="20"/>
              </w:rPr>
              <w:t>Ensure Class 2 Health Emergency public information and warnings can be issued via the Victorian Warnings System.</w:t>
            </w:r>
          </w:p>
        </w:tc>
        <w:tc>
          <w:tcPr>
            <w:tcW w:w="1842" w:type="dxa"/>
          </w:tcPr>
          <w:p w:rsidR="00122E2E" w:rsidRPr="002078C1" w:rsidRDefault="00F35BC6" w:rsidP="00041419">
            <w:pPr>
              <w:rPr>
                <w:sz w:val="20"/>
                <w:szCs w:val="20"/>
              </w:rPr>
            </w:pPr>
            <w:r>
              <w:rPr>
                <w:sz w:val="20"/>
                <w:szCs w:val="20"/>
              </w:rPr>
              <w:t>December 2016</w:t>
            </w:r>
          </w:p>
        </w:tc>
      </w:tr>
      <w:tr w:rsidR="00122E2E" w:rsidRPr="00FB3E85" w:rsidTr="00041419">
        <w:tc>
          <w:tcPr>
            <w:tcW w:w="6912" w:type="dxa"/>
            <w:vMerge/>
          </w:tcPr>
          <w:p w:rsidR="00122E2E" w:rsidRPr="000066B7" w:rsidRDefault="00122E2E" w:rsidP="00326941">
            <w:pPr>
              <w:rPr>
                <w:sz w:val="20"/>
                <w:szCs w:val="20"/>
              </w:rPr>
            </w:pPr>
          </w:p>
        </w:tc>
        <w:tc>
          <w:tcPr>
            <w:tcW w:w="6555" w:type="dxa"/>
          </w:tcPr>
          <w:p w:rsidR="00122E2E" w:rsidRPr="0068137D" w:rsidRDefault="00122E2E" w:rsidP="00326941">
            <w:pPr>
              <w:rPr>
                <w:sz w:val="20"/>
                <w:szCs w:val="20"/>
              </w:rPr>
            </w:pPr>
            <w:r w:rsidRPr="0068137D">
              <w:rPr>
                <w:sz w:val="20"/>
                <w:szCs w:val="20"/>
              </w:rPr>
              <w:t xml:space="preserve">Develop </w:t>
            </w:r>
            <w:r>
              <w:rPr>
                <w:sz w:val="20"/>
                <w:szCs w:val="20"/>
              </w:rPr>
              <w:t>public health related</w:t>
            </w:r>
            <w:r w:rsidRPr="0068137D">
              <w:rPr>
                <w:sz w:val="20"/>
                <w:szCs w:val="20"/>
              </w:rPr>
              <w:t xml:space="preserve"> public information and warnings templates for inclusion </w:t>
            </w:r>
            <w:r>
              <w:rPr>
                <w:sz w:val="20"/>
                <w:szCs w:val="20"/>
              </w:rPr>
              <w:t>in the EM-COP warnings platform with priority focus on Thunderstorm asthma.  Further templates to be developed as a matter of priority once identified by DHHS and EMV.</w:t>
            </w:r>
          </w:p>
        </w:tc>
        <w:tc>
          <w:tcPr>
            <w:tcW w:w="1842" w:type="dxa"/>
          </w:tcPr>
          <w:p w:rsidR="00122E2E" w:rsidRPr="002078C1" w:rsidRDefault="00122E2E" w:rsidP="00041419">
            <w:pPr>
              <w:rPr>
                <w:sz w:val="20"/>
                <w:szCs w:val="20"/>
              </w:rPr>
            </w:pPr>
            <w:r w:rsidRPr="002078C1">
              <w:rPr>
                <w:sz w:val="20"/>
                <w:szCs w:val="20"/>
              </w:rPr>
              <w:t>1 Nov</w:t>
            </w:r>
            <w:r>
              <w:rPr>
                <w:sz w:val="20"/>
                <w:szCs w:val="20"/>
              </w:rPr>
              <w:t>ember</w:t>
            </w:r>
            <w:r w:rsidRPr="002078C1">
              <w:rPr>
                <w:sz w:val="20"/>
                <w:szCs w:val="20"/>
              </w:rPr>
              <w:t xml:space="preserve"> 2017</w:t>
            </w:r>
          </w:p>
        </w:tc>
      </w:tr>
    </w:tbl>
    <w:p w:rsidR="00EB504B" w:rsidRDefault="00EB504B" w:rsidP="00326941">
      <w:pPr>
        <w:outlineLvl w:val="0"/>
        <w:rPr>
          <w:sz w:val="28"/>
          <w:szCs w:val="28"/>
        </w:rPr>
      </w:pPr>
    </w:p>
    <w:p w:rsidR="00EB504B" w:rsidRDefault="00EB504B">
      <w:pPr>
        <w:spacing w:after="0" w:line="240" w:lineRule="auto"/>
        <w:rPr>
          <w:sz w:val="28"/>
          <w:szCs w:val="28"/>
        </w:rPr>
      </w:pPr>
      <w:r>
        <w:rPr>
          <w:sz w:val="28"/>
          <w:szCs w:val="28"/>
        </w:rPr>
        <w:br w:type="page"/>
      </w:r>
    </w:p>
    <w:p w:rsidR="00326941" w:rsidRDefault="00326941" w:rsidP="00326941">
      <w:pPr>
        <w:outlineLvl w:val="0"/>
        <w:rPr>
          <w:sz w:val="28"/>
          <w:szCs w:val="28"/>
        </w:rPr>
      </w:pPr>
      <w:r w:rsidRPr="00584192">
        <w:rPr>
          <w:sz w:val="28"/>
          <w:szCs w:val="28"/>
        </w:rPr>
        <w:lastRenderedPageBreak/>
        <w:t xml:space="preserve">Recommendation </w:t>
      </w:r>
      <w:r>
        <w:rPr>
          <w:sz w:val="28"/>
          <w:szCs w:val="28"/>
        </w:rPr>
        <w:t>9</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122E2E" w:rsidRPr="00FB3E85" w:rsidTr="00E94ED1">
        <w:tc>
          <w:tcPr>
            <w:tcW w:w="691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Government response (Lead agency: EMV)</w:t>
            </w:r>
          </w:p>
        </w:tc>
        <w:tc>
          <w:tcPr>
            <w:tcW w:w="6555"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122E2E" w:rsidRPr="00326941" w:rsidRDefault="00122E2E" w:rsidP="00326941">
            <w:pPr>
              <w:rPr>
                <w:b/>
                <w:color w:val="FFFFFF"/>
                <w:sz w:val="20"/>
                <w:szCs w:val="20"/>
              </w:rPr>
            </w:pPr>
            <w:r w:rsidRPr="00326941">
              <w:rPr>
                <w:b/>
                <w:color w:val="FFFFFF"/>
                <w:sz w:val="20"/>
                <w:szCs w:val="20"/>
              </w:rPr>
              <w:t>Completion date</w:t>
            </w:r>
          </w:p>
        </w:tc>
      </w:tr>
      <w:tr w:rsidR="00122E2E" w:rsidRPr="00FB3E85" w:rsidTr="00E94ED1">
        <w:trPr>
          <w:trHeight w:val="1024"/>
        </w:trPr>
        <w:tc>
          <w:tcPr>
            <w:tcW w:w="6912" w:type="dxa"/>
            <w:vMerge w:val="restart"/>
            <w:tcBorders>
              <w:top w:val="double" w:sz="4" w:space="0" w:color="0070C0"/>
            </w:tcBorders>
          </w:tcPr>
          <w:p w:rsidR="00122E2E" w:rsidRPr="009A074B" w:rsidRDefault="00122E2E" w:rsidP="00326941">
            <w:pPr>
              <w:spacing w:after="120" w:line="270" w:lineRule="atLeast"/>
              <w:rPr>
                <w:sz w:val="20"/>
                <w:szCs w:val="20"/>
              </w:rPr>
            </w:pPr>
            <w:r w:rsidRPr="009A074B">
              <w:rPr>
                <w:sz w:val="20"/>
                <w:szCs w:val="20"/>
              </w:rPr>
              <w:t>EMV is working with DHHS and AV to ensure the effective delivery of emergency warnings for rapid onset health events. A thunderstorm asthma warnings protocol, public information and warnings business rules and a decision-making guide for health emergency warnings have been developed.</w:t>
            </w:r>
          </w:p>
          <w:p w:rsidR="00122E2E" w:rsidRDefault="00122E2E" w:rsidP="00326941">
            <w:pPr>
              <w:spacing w:after="120" w:line="270" w:lineRule="atLeast"/>
              <w:rPr>
                <w:sz w:val="20"/>
                <w:szCs w:val="20"/>
              </w:rPr>
            </w:pPr>
            <w:r>
              <w:rPr>
                <w:sz w:val="20"/>
                <w:szCs w:val="20"/>
              </w:rPr>
              <w:t xml:space="preserve">The </w:t>
            </w:r>
            <w:r w:rsidRPr="00FB3E85">
              <w:rPr>
                <w:sz w:val="20"/>
                <w:szCs w:val="20"/>
              </w:rPr>
              <w:t xml:space="preserve">State Health Emergency Response Plan </w:t>
            </w:r>
            <w:r>
              <w:rPr>
                <w:sz w:val="20"/>
                <w:szCs w:val="20"/>
              </w:rPr>
              <w:t>edition</w:t>
            </w:r>
            <w:r w:rsidRPr="00FB3E85">
              <w:rPr>
                <w:sz w:val="20"/>
                <w:szCs w:val="20"/>
              </w:rPr>
              <w:t xml:space="preserve"> 4 (SHERP4)</w:t>
            </w:r>
            <w:r w:rsidRPr="009A074B">
              <w:rPr>
                <w:sz w:val="20"/>
                <w:szCs w:val="20"/>
              </w:rPr>
              <w:t xml:space="preserve"> </w:t>
            </w:r>
            <w:r>
              <w:rPr>
                <w:sz w:val="20"/>
                <w:szCs w:val="20"/>
              </w:rPr>
              <w:t>outlines</w:t>
            </w:r>
            <w:r w:rsidRPr="009A074B">
              <w:rPr>
                <w:sz w:val="20"/>
                <w:szCs w:val="20"/>
              </w:rPr>
              <w:t xml:space="preserve"> the responsibility of DHHS and AV to collaborate and provide </w:t>
            </w:r>
            <w:r w:rsidRPr="00E97F39">
              <w:rPr>
                <w:sz w:val="20"/>
                <w:szCs w:val="20"/>
              </w:rPr>
              <w:t>timely, accurate and relevant public information and warnings for all types of health emergencies.</w:t>
            </w:r>
          </w:p>
          <w:p w:rsidR="00122E2E" w:rsidRDefault="00122E2E" w:rsidP="00326941">
            <w:pPr>
              <w:spacing w:after="120" w:line="270" w:lineRule="atLeast"/>
              <w:rPr>
                <w:sz w:val="20"/>
                <w:szCs w:val="20"/>
              </w:rPr>
            </w:pPr>
            <w:r>
              <w:rPr>
                <w:sz w:val="20"/>
                <w:szCs w:val="20"/>
              </w:rPr>
              <w:t>T</w:t>
            </w:r>
            <w:r w:rsidRPr="009A074B">
              <w:rPr>
                <w:sz w:val="20"/>
                <w:szCs w:val="20"/>
              </w:rPr>
              <w:t>he State Control Centre Public Information Officer or the</w:t>
            </w:r>
            <w:r>
              <w:rPr>
                <w:sz w:val="20"/>
                <w:szCs w:val="20"/>
              </w:rPr>
              <w:t xml:space="preserve"> on-call</w:t>
            </w:r>
            <w:r w:rsidRPr="009A074B">
              <w:rPr>
                <w:sz w:val="20"/>
                <w:szCs w:val="20"/>
              </w:rPr>
              <w:t xml:space="preserve"> </w:t>
            </w:r>
            <w:r>
              <w:rPr>
                <w:sz w:val="20"/>
                <w:szCs w:val="20"/>
              </w:rPr>
              <w:t>W</w:t>
            </w:r>
            <w:r w:rsidRPr="009A074B">
              <w:rPr>
                <w:sz w:val="20"/>
                <w:szCs w:val="20"/>
              </w:rPr>
              <w:t xml:space="preserve">arnings and </w:t>
            </w:r>
            <w:r>
              <w:rPr>
                <w:sz w:val="20"/>
                <w:szCs w:val="20"/>
              </w:rPr>
              <w:t>A</w:t>
            </w:r>
            <w:r w:rsidRPr="009A074B">
              <w:rPr>
                <w:sz w:val="20"/>
                <w:szCs w:val="20"/>
              </w:rPr>
              <w:t xml:space="preserve">dvice </w:t>
            </w:r>
            <w:r>
              <w:rPr>
                <w:sz w:val="20"/>
                <w:szCs w:val="20"/>
              </w:rPr>
              <w:t>D</w:t>
            </w:r>
            <w:r w:rsidRPr="009A074B">
              <w:rPr>
                <w:sz w:val="20"/>
                <w:szCs w:val="20"/>
              </w:rPr>
              <w:t xml:space="preserve">uty </w:t>
            </w:r>
            <w:r>
              <w:rPr>
                <w:sz w:val="20"/>
                <w:szCs w:val="20"/>
              </w:rPr>
              <w:t>O</w:t>
            </w:r>
            <w:r w:rsidRPr="009A074B">
              <w:rPr>
                <w:sz w:val="20"/>
                <w:szCs w:val="20"/>
              </w:rPr>
              <w:t xml:space="preserve">fficer </w:t>
            </w:r>
            <w:r>
              <w:rPr>
                <w:sz w:val="20"/>
                <w:szCs w:val="20"/>
              </w:rPr>
              <w:t xml:space="preserve">is currently able to </w:t>
            </w:r>
            <w:r w:rsidRPr="009A074B">
              <w:rPr>
                <w:sz w:val="20"/>
                <w:szCs w:val="20"/>
              </w:rPr>
              <w:t xml:space="preserve">issue warnings </w:t>
            </w:r>
            <w:r>
              <w:rPr>
                <w:sz w:val="20"/>
                <w:szCs w:val="20"/>
              </w:rPr>
              <w:t xml:space="preserve">on behalf of </w:t>
            </w:r>
            <w:r w:rsidRPr="009A074B">
              <w:rPr>
                <w:sz w:val="20"/>
                <w:szCs w:val="20"/>
              </w:rPr>
              <w:t>DHHS and AV</w:t>
            </w:r>
            <w:r>
              <w:rPr>
                <w:sz w:val="20"/>
                <w:szCs w:val="20"/>
              </w:rPr>
              <w:t xml:space="preserve"> during events such as e</w:t>
            </w:r>
            <w:r w:rsidRPr="009A074B">
              <w:rPr>
                <w:sz w:val="20"/>
                <w:szCs w:val="20"/>
              </w:rPr>
              <w:t xml:space="preserve">pidemic </w:t>
            </w:r>
            <w:r>
              <w:rPr>
                <w:sz w:val="20"/>
                <w:szCs w:val="20"/>
              </w:rPr>
              <w:t>t</w:t>
            </w:r>
            <w:r w:rsidRPr="009A074B">
              <w:rPr>
                <w:sz w:val="20"/>
                <w:szCs w:val="20"/>
              </w:rPr>
              <w:t xml:space="preserve">hunderstorm </w:t>
            </w:r>
            <w:r>
              <w:rPr>
                <w:sz w:val="20"/>
                <w:szCs w:val="20"/>
              </w:rPr>
              <w:t>a</w:t>
            </w:r>
            <w:r w:rsidRPr="009A074B">
              <w:rPr>
                <w:sz w:val="20"/>
                <w:szCs w:val="20"/>
              </w:rPr>
              <w:t>sthma</w:t>
            </w:r>
            <w:r>
              <w:rPr>
                <w:sz w:val="20"/>
                <w:szCs w:val="20"/>
              </w:rPr>
              <w:t xml:space="preserve"> and other rapid-onset health emergencies</w:t>
            </w:r>
            <w:r w:rsidRPr="009A074B">
              <w:rPr>
                <w:sz w:val="20"/>
                <w:szCs w:val="20"/>
              </w:rPr>
              <w:t xml:space="preserve">.  </w:t>
            </w:r>
          </w:p>
          <w:p w:rsidR="00122E2E" w:rsidRPr="00FB3E85" w:rsidRDefault="00122E2E" w:rsidP="00E94ED1">
            <w:pPr>
              <w:spacing w:after="120" w:line="270" w:lineRule="atLeast"/>
              <w:rPr>
                <w:sz w:val="20"/>
                <w:szCs w:val="20"/>
              </w:rPr>
            </w:pPr>
            <w:r w:rsidRPr="009A074B">
              <w:rPr>
                <w:sz w:val="20"/>
                <w:szCs w:val="20"/>
              </w:rPr>
              <w:t>EMV</w:t>
            </w:r>
            <w:r>
              <w:rPr>
                <w:sz w:val="20"/>
                <w:szCs w:val="20"/>
              </w:rPr>
              <w:t>, with DHHS and AV</w:t>
            </w:r>
            <w:r w:rsidRPr="009A074B">
              <w:rPr>
                <w:sz w:val="20"/>
                <w:szCs w:val="20"/>
              </w:rPr>
              <w:t xml:space="preserve"> will </w:t>
            </w:r>
            <w:r>
              <w:rPr>
                <w:sz w:val="20"/>
                <w:szCs w:val="20"/>
              </w:rPr>
              <w:t xml:space="preserve">develop and </w:t>
            </w:r>
            <w:r w:rsidRPr="009A074B">
              <w:rPr>
                <w:sz w:val="20"/>
                <w:szCs w:val="20"/>
              </w:rPr>
              <w:t xml:space="preserve">facilitate access to training for </w:t>
            </w:r>
            <w:r>
              <w:rPr>
                <w:sz w:val="20"/>
                <w:szCs w:val="20"/>
              </w:rPr>
              <w:t xml:space="preserve">AV and DHHS </w:t>
            </w:r>
            <w:r w:rsidRPr="009A074B">
              <w:rPr>
                <w:sz w:val="20"/>
                <w:szCs w:val="20"/>
              </w:rPr>
              <w:t xml:space="preserve">to enable </w:t>
            </w:r>
            <w:r>
              <w:rPr>
                <w:sz w:val="20"/>
                <w:szCs w:val="20"/>
              </w:rPr>
              <w:t>each to disseminate</w:t>
            </w:r>
            <w:r w:rsidRPr="009A074B">
              <w:rPr>
                <w:sz w:val="20"/>
                <w:szCs w:val="20"/>
              </w:rPr>
              <w:t xml:space="preserve"> public information and warnings for rapid onset health e</w:t>
            </w:r>
            <w:r>
              <w:rPr>
                <w:sz w:val="20"/>
                <w:szCs w:val="20"/>
              </w:rPr>
              <w:t>mergencies</w:t>
            </w:r>
            <w:r w:rsidRPr="009A074B">
              <w:rPr>
                <w:sz w:val="20"/>
                <w:szCs w:val="20"/>
              </w:rPr>
              <w:t>.</w:t>
            </w:r>
          </w:p>
        </w:tc>
        <w:tc>
          <w:tcPr>
            <w:tcW w:w="6555" w:type="dxa"/>
            <w:tcBorders>
              <w:top w:val="double" w:sz="4" w:space="0" w:color="0070C0"/>
            </w:tcBorders>
          </w:tcPr>
          <w:p w:rsidR="00122E2E" w:rsidRPr="00E8755E" w:rsidRDefault="00122E2E" w:rsidP="00E94ED1">
            <w:pPr>
              <w:rPr>
                <w:b/>
                <w:sz w:val="20"/>
                <w:szCs w:val="20"/>
              </w:rPr>
            </w:pPr>
            <w:r>
              <w:rPr>
                <w:sz w:val="20"/>
                <w:szCs w:val="20"/>
              </w:rPr>
              <w:t xml:space="preserve">Development of </w:t>
            </w:r>
            <w:r w:rsidRPr="00FB3E85">
              <w:rPr>
                <w:sz w:val="20"/>
                <w:szCs w:val="20"/>
              </w:rPr>
              <w:t xml:space="preserve">SHERP4 </w:t>
            </w:r>
            <w:r>
              <w:rPr>
                <w:sz w:val="20"/>
                <w:szCs w:val="20"/>
              </w:rPr>
              <w:t>to outline</w:t>
            </w:r>
            <w:r w:rsidRPr="009A074B">
              <w:rPr>
                <w:sz w:val="20"/>
                <w:szCs w:val="20"/>
              </w:rPr>
              <w:t xml:space="preserve"> the </w:t>
            </w:r>
            <w:r>
              <w:rPr>
                <w:sz w:val="20"/>
                <w:szCs w:val="20"/>
              </w:rPr>
              <w:t>roles and responsibilities for the provision of</w:t>
            </w:r>
            <w:r w:rsidRPr="009A074B">
              <w:rPr>
                <w:sz w:val="20"/>
                <w:szCs w:val="20"/>
              </w:rPr>
              <w:t xml:space="preserve"> warnings in health emergencies</w:t>
            </w:r>
            <w:r>
              <w:rPr>
                <w:sz w:val="20"/>
                <w:szCs w:val="20"/>
              </w:rPr>
              <w:t>.</w:t>
            </w:r>
          </w:p>
        </w:tc>
        <w:tc>
          <w:tcPr>
            <w:tcW w:w="1842" w:type="dxa"/>
            <w:tcBorders>
              <w:top w:val="double" w:sz="4" w:space="0" w:color="0070C0"/>
            </w:tcBorders>
          </w:tcPr>
          <w:p w:rsidR="00122E2E" w:rsidRPr="00FB3E85" w:rsidRDefault="00122E2E" w:rsidP="00326941">
            <w:pPr>
              <w:rPr>
                <w:sz w:val="20"/>
                <w:szCs w:val="20"/>
              </w:rPr>
            </w:pPr>
            <w:r>
              <w:rPr>
                <w:sz w:val="20"/>
                <w:szCs w:val="20"/>
              </w:rPr>
              <w:t>1 October 2017</w:t>
            </w:r>
          </w:p>
        </w:tc>
      </w:tr>
      <w:tr w:rsidR="00122E2E" w:rsidRPr="00FB3E85" w:rsidTr="00E94ED1">
        <w:trPr>
          <w:trHeight w:val="606"/>
        </w:trPr>
        <w:tc>
          <w:tcPr>
            <w:tcW w:w="6912" w:type="dxa"/>
            <w:vMerge/>
          </w:tcPr>
          <w:p w:rsidR="00122E2E" w:rsidRPr="009A074B" w:rsidRDefault="00122E2E" w:rsidP="00326941">
            <w:pPr>
              <w:spacing w:after="120" w:line="270" w:lineRule="atLeast"/>
              <w:rPr>
                <w:sz w:val="20"/>
                <w:szCs w:val="20"/>
              </w:rPr>
            </w:pPr>
          </w:p>
        </w:tc>
        <w:tc>
          <w:tcPr>
            <w:tcW w:w="6555" w:type="dxa"/>
          </w:tcPr>
          <w:p w:rsidR="00122E2E" w:rsidRPr="002648EB" w:rsidRDefault="00122E2E" w:rsidP="00326941">
            <w:pPr>
              <w:rPr>
                <w:sz w:val="20"/>
                <w:szCs w:val="20"/>
              </w:rPr>
            </w:pPr>
            <w:r w:rsidRPr="002648EB">
              <w:rPr>
                <w:sz w:val="20"/>
                <w:szCs w:val="20"/>
              </w:rPr>
              <w:t>Identification of training needs</w:t>
            </w:r>
          </w:p>
        </w:tc>
        <w:tc>
          <w:tcPr>
            <w:tcW w:w="1842" w:type="dxa"/>
          </w:tcPr>
          <w:p w:rsidR="00122E2E" w:rsidRPr="00051456" w:rsidRDefault="00122E2E" w:rsidP="00326941">
            <w:pPr>
              <w:rPr>
                <w:sz w:val="20"/>
                <w:szCs w:val="20"/>
              </w:rPr>
            </w:pPr>
            <w:r w:rsidRPr="00051456">
              <w:rPr>
                <w:sz w:val="20"/>
                <w:szCs w:val="20"/>
              </w:rPr>
              <w:t>November 2017</w:t>
            </w:r>
          </w:p>
        </w:tc>
      </w:tr>
      <w:tr w:rsidR="00122E2E" w:rsidRPr="00FB3E85" w:rsidTr="00E94ED1">
        <w:trPr>
          <w:trHeight w:val="602"/>
        </w:trPr>
        <w:tc>
          <w:tcPr>
            <w:tcW w:w="6912" w:type="dxa"/>
            <w:vMerge/>
          </w:tcPr>
          <w:p w:rsidR="00122E2E" w:rsidRPr="009A074B" w:rsidRDefault="00122E2E" w:rsidP="00326941">
            <w:pPr>
              <w:spacing w:after="120" w:line="270" w:lineRule="atLeast"/>
              <w:rPr>
                <w:sz w:val="20"/>
                <w:szCs w:val="20"/>
              </w:rPr>
            </w:pPr>
          </w:p>
        </w:tc>
        <w:tc>
          <w:tcPr>
            <w:tcW w:w="6555" w:type="dxa"/>
          </w:tcPr>
          <w:p w:rsidR="00122E2E" w:rsidRPr="002648EB" w:rsidRDefault="00122E2E" w:rsidP="00326941">
            <w:pPr>
              <w:rPr>
                <w:sz w:val="20"/>
                <w:szCs w:val="20"/>
              </w:rPr>
            </w:pPr>
            <w:r w:rsidRPr="002648EB">
              <w:rPr>
                <w:sz w:val="20"/>
                <w:szCs w:val="20"/>
              </w:rPr>
              <w:t>Development of training package</w:t>
            </w:r>
          </w:p>
        </w:tc>
        <w:tc>
          <w:tcPr>
            <w:tcW w:w="1842" w:type="dxa"/>
          </w:tcPr>
          <w:p w:rsidR="00122E2E" w:rsidRPr="00051456" w:rsidRDefault="00122E2E" w:rsidP="00326941">
            <w:pPr>
              <w:rPr>
                <w:sz w:val="20"/>
                <w:szCs w:val="20"/>
              </w:rPr>
            </w:pPr>
            <w:r w:rsidRPr="00051456">
              <w:rPr>
                <w:sz w:val="20"/>
                <w:szCs w:val="20"/>
              </w:rPr>
              <w:t>March 2018</w:t>
            </w:r>
          </w:p>
        </w:tc>
      </w:tr>
      <w:tr w:rsidR="00122E2E" w:rsidRPr="00FB3E85" w:rsidTr="00E94ED1">
        <w:trPr>
          <w:trHeight w:val="1827"/>
        </w:trPr>
        <w:tc>
          <w:tcPr>
            <w:tcW w:w="6912" w:type="dxa"/>
            <w:vMerge/>
          </w:tcPr>
          <w:p w:rsidR="00122E2E" w:rsidRPr="009A074B" w:rsidRDefault="00122E2E" w:rsidP="00326941">
            <w:pPr>
              <w:spacing w:after="120" w:line="270" w:lineRule="atLeast"/>
              <w:rPr>
                <w:sz w:val="20"/>
                <w:szCs w:val="20"/>
              </w:rPr>
            </w:pPr>
          </w:p>
        </w:tc>
        <w:tc>
          <w:tcPr>
            <w:tcW w:w="6555" w:type="dxa"/>
          </w:tcPr>
          <w:p w:rsidR="00122E2E" w:rsidRPr="002648EB" w:rsidRDefault="00122E2E" w:rsidP="00326941">
            <w:pPr>
              <w:rPr>
                <w:sz w:val="20"/>
                <w:szCs w:val="20"/>
              </w:rPr>
            </w:pPr>
            <w:r w:rsidRPr="002648EB">
              <w:rPr>
                <w:sz w:val="20"/>
                <w:szCs w:val="20"/>
              </w:rPr>
              <w:t xml:space="preserve">Disseminate training/provide access </w:t>
            </w:r>
          </w:p>
        </w:tc>
        <w:tc>
          <w:tcPr>
            <w:tcW w:w="1842" w:type="dxa"/>
          </w:tcPr>
          <w:p w:rsidR="00122E2E" w:rsidRPr="00051456" w:rsidRDefault="00122E2E" w:rsidP="00326941">
            <w:pPr>
              <w:rPr>
                <w:sz w:val="20"/>
                <w:szCs w:val="20"/>
              </w:rPr>
            </w:pPr>
            <w:r w:rsidRPr="00051456">
              <w:rPr>
                <w:sz w:val="20"/>
                <w:szCs w:val="20"/>
              </w:rPr>
              <w:t>March – June 2018</w:t>
            </w:r>
          </w:p>
        </w:tc>
      </w:tr>
    </w:tbl>
    <w:p w:rsidR="00326941" w:rsidRDefault="00326941" w:rsidP="00326941">
      <w:pPr>
        <w:rPr>
          <w:sz w:val="28"/>
          <w:szCs w:val="28"/>
        </w:rPr>
      </w:pPr>
    </w:p>
    <w:p w:rsidR="00EB504B" w:rsidRDefault="00EB504B">
      <w:pPr>
        <w:spacing w:after="0" w:line="240" w:lineRule="auto"/>
        <w:rPr>
          <w:sz w:val="28"/>
          <w:szCs w:val="28"/>
        </w:rPr>
      </w:pPr>
      <w:r>
        <w:rPr>
          <w:sz w:val="28"/>
          <w:szCs w:val="28"/>
        </w:rPr>
        <w:br w:type="page"/>
      </w:r>
    </w:p>
    <w:p w:rsidR="00326941" w:rsidRDefault="00326941" w:rsidP="00326941">
      <w:pPr>
        <w:outlineLvl w:val="0"/>
        <w:rPr>
          <w:sz w:val="28"/>
          <w:szCs w:val="28"/>
        </w:rPr>
      </w:pPr>
      <w:r w:rsidRPr="00584192">
        <w:rPr>
          <w:sz w:val="28"/>
          <w:szCs w:val="28"/>
        </w:rPr>
        <w:lastRenderedPageBreak/>
        <w:t xml:space="preserve">Recommendation </w:t>
      </w:r>
      <w:r>
        <w:rPr>
          <w:sz w:val="28"/>
          <w:szCs w:val="28"/>
        </w:rPr>
        <w:t xml:space="preserve">10 </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8C1A6E" w:rsidRPr="00FB3E85" w:rsidTr="00E94ED1">
        <w:tc>
          <w:tcPr>
            <w:tcW w:w="691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Government response (Lead agency: EMV)</w:t>
            </w:r>
          </w:p>
        </w:tc>
        <w:tc>
          <w:tcPr>
            <w:tcW w:w="6555"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Completion date</w:t>
            </w:r>
          </w:p>
        </w:tc>
      </w:tr>
      <w:tr w:rsidR="008C1A6E" w:rsidRPr="00FB3E85" w:rsidTr="00E94ED1">
        <w:tc>
          <w:tcPr>
            <w:tcW w:w="6912" w:type="dxa"/>
            <w:tcBorders>
              <w:top w:val="double" w:sz="4" w:space="0" w:color="0070C0"/>
            </w:tcBorders>
          </w:tcPr>
          <w:p w:rsidR="008C1A6E" w:rsidRPr="00E35223" w:rsidRDefault="008C1A6E" w:rsidP="00326941">
            <w:pPr>
              <w:spacing w:after="120" w:line="270" w:lineRule="atLeast"/>
              <w:rPr>
                <w:sz w:val="20"/>
                <w:szCs w:val="20"/>
              </w:rPr>
            </w:pPr>
            <w:r w:rsidRPr="00E35223">
              <w:rPr>
                <w:sz w:val="20"/>
                <w:szCs w:val="20"/>
              </w:rPr>
              <w:t xml:space="preserve">The government recognises the importance of efficient capture, use and dissemination of data or other intelligence to ensure an efficient, coordinated and effective response to future rapid-onset health emergencies.  </w:t>
            </w:r>
          </w:p>
          <w:p w:rsidR="008C1A6E" w:rsidRPr="00E35223" w:rsidRDefault="008C1A6E" w:rsidP="00326941">
            <w:pPr>
              <w:spacing w:after="120" w:line="270" w:lineRule="atLeast"/>
              <w:rPr>
                <w:sz w:val="20"/>
                <w:szCs w:val="20"/>
              </w:rPr>
            </w:pPr>
            <w:r w:rsidRPr="00E35223">
              <w:rPr>
                <w:sz w:val="20"/>
                <w:szCs w:val="20"/>
              </w:rPr>
              <w:t>ESTA has implemented a real-time dashboard to support timely decision making, such as enacting the Critical Incident Response Plan. This will support greater situational awareness during a rapid-onset emergency.</w:t>
            </w:r>
          </w:p>
          <w:p w:rsidR="008C1A6E" w:rsidRPr="00E35223" w:rsidRDefault="008C1A6E" w:rsidP="00326941">
            <w:pPr>
              <w:spacing w:after="120" w:line="270" w:lineRule="atLeast"/>
              <w:rPr>
                <w:sz w:val="20"/>
                <w:szCs w:val="20"/>
              </w:rPr>
            </w:pPr>
            <w:r w:rsidRPr="00E35223">
              <w:rPr>
                <w:sz w:val="20"/>
                <w:szCs w:val="20"/>
              </w:rPr>
              <w:t xml:space="preserve">EMV is working with DHHS and other emergency management sector partners to continuously improve the interoperability and integration of systems, including the use of EM-COP.  </w:t>
            </w:r>
          </w:p>
          <w:p w:rsidR="008C1A6E" w:rsidRPr="00FB3E85" w:rsidRDefault="008C1A6E" w:rsidP="00326941">
            <w:pPr>
              <w:spacing w:after="120" w:line="270" w:lineRule="atLeast"/>
              <w:rPr>
                <w:sz w:val="20"/>
                <w:szCs w:val="20"/>
              </w:rPr>
            </w:pPr>
            <w:r w:rsidRPr="00E35223">
              <w:rPr>
                <w:sz w:val="20"/>
                <w:szCs w:val="20"/>
              </w:rPr>
              <w:t>Scoping will be undertaken to inform the development of a business case for a solution to integrate data from, and across a range of sources and agencies to a single accessible platform to inform decision making, public information and warnings, and consequence management.</w:t>
            </w:r>
          </w:p>
        </w:tc>
        <w:tc>
          <w:tcPr>
            <w:tcW w:w="6555" w:type="dxa"/>
            <w:tcBorders>
              <w:top w:val="double" w:sz="4" w:space="0" w:color="0070C0"/>
            </w:tcBorders>
          </w:tcPr>
          <w:p w:rsidR="008C1A6E" w:rsidRPr="00E8755E" w:rsidRDefault="008C1A6E" w:rsidP="00E94ED1">
            <w:pPr>
              <w:rPr>
                <w:b/>
                <w:sz w:val="20"/>
                <w:szCs w:val="20"/>
              </w:rPr>
            </w:pPr>
            <w:r>
              <w:rPr>
                <w:sz w:val="20"/>
                <w:szCs w:val="20"/>
              </w:rPr>
              <w:t xml:space="preserve">Scope the work required to develop a business intelligence system that would integrate into an existing system such as EM-COP for inclusion into a business case. </w:t>
            </w:r>
          </w:p>
        </w:tc>
        <w:tc>
          <w:tcPr>
            <w:tcW w:w="1842" w:type="dxa"/>
            <w:tcBorders>
              <w:top w:val="double" w:sz="4" w:space="0" w:color="0070C0"/>
            </w:tcBorders>
          </w:tcPr>
          <w:p w:rsidR="008C1A6E" w:rsidRPr="00FB3E85" w:rsidRDefault="008C1A6E" w:rsidP="00326941">
            <w:pPr>
              <w:rPr>
                <w:sz w:val="20"/>
                <w:szCs w:val="20"/>
              </w:rPr>
            </w:pPr>
            <w:r>
              <w:rPr>
                <w:sz w:val="20"/>
                <w:szCs w:val="20"/>
              </w:rPr>
              <w:t>30 June 2018</w:t>
            </w:r>
          </w:p>
        </w:tc>
      </w:tr>
    </w:tbl>
    <w:p w:rsidR="00EB504B" w:rsidRDefault="00EB504B" w:rsidP="00326941">
      <w:pPr>
        <w:outlineLvl w:val="0"/>
        <w:rPr>
          <w:sz w:val="28"/>
          <w:szCs w:val="28"/>
        </w:rPr>
      </w:pPr>
    </w:p>
    <w:p w:rsidR="00EB504B" w:rsidRDefault="00EB504B">
      <w:pPr>
        <w:spacing w:after="0" w:line="240" w:lineRule="auto"/>
        <w:rPr>
          <w:sz w:val="28"/>
          <w:szCs w:val="28"/>
        </w:rPr>
      </w:pPr>
      <w:r>
        <w:rPr>
          <w:sz w:val="28"/>
          <w:szCs w:val="28"/>
        </w:rPr>
        <w:br w:type="page"/>
      </w:r>
    </w:p>
    <w:p w:rsidR="00326941" w:rsidRPr="00584192" w:rsidRDefault="00326941" w:rsidP="00326941">
      <w:pPr>
        <w:outlineLvl w:val="0"/>
        <w:rPr>
          <w:sz w:val="28"/>
          <w:szCs w:val="28"/>
        </w:rPr>
      </w:pPr>
      <w:r w:rsidRPr="00584192">
        <w:rPr>
          <w:sz w:val="28"/>
          <w:szCs w:val="28"/>
        </w:rPr>
        <w:lastRenderedPageBreak/>
        <w:t xml:space="preserve">Recommendation </w:t>
      </w:r>
      <w:r>
        <w:rPr>
          <w:sz w:val="28"/>
          <w:szCs w:val="28"/>
        </w:rPr>
        <w:t xml:space="preserve">11 </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8C1A6E" w:rsidRPr="00FB3E85" w:rsidTr="00E94ED1">
        <w:tc>
          <w:tcPr>
            <w:tcW w:w="691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Government response (Lead agency: DHHS)</w:t>
            </w:r>
          </w:p>
        </w:tc>
        <w:tc>
          <w:tcPr>
            <w:tcW w:w="6555"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Completion date</w:t>
            </w:r>
          </w:p>
        </w:tc>
      </w:tr>
      <w:tr w:rsidR="008C1A6E" w:rsidRPr="00FB3E85" w:rsidTr="00E94ED1">
        <w:trPr>
          <w:trHeight w:val="340"/>
        </w:trPr>
        <w:tc>
          <w:tcPr>
            <w:tcW w:w="6912" w:type="dxa"/>
            <w:vMerge w:val="restart"/>
            <w:tcBorders>
              <w:top w:val="double" w:sz="4" w:space="0" w:color="0070C0"/>
            </w:tcBorders>
          </w:tcPr>
          <w:p w:rsidR="008C1A6E" w:rsidRDefault="008C1A6E" w:rsidP="00326941">
            <w:pPr>
              <w:spacing w:after="120" w:line="270" w:lineRule="atLeast"/>
              <w:rPr>
                <w:sz w:val="20"/>
                <w:szCs w:val="20"/>
              </w:rPr>
            </w:pPr>
            <w:r w:rsidRPr="00EB7280">
              <w:rPr>
                <w:sz w:val="20"/>
                <w:szCs w:val="20"/>
              </w:rPr>
              <w:t xml:space="preserve">The government acknowledges there are significant opportunities to better understand and </w:t>
            </w:r>
            <w:r>
              <w:rPr>
                <w:sz w:val="20"/>
                <w:szCs w:val="20"/>
              </w:rPr>
              <w:t>forecast potential epidemic</w:t>
            </w:r>
            <w:r w:rsidRPr="00EB7280">
              <w:rPr>
                <w:sz w:val="20"/>
                <w:szCs w:val="20"/>
              </w:rPr>
              <w:t xml:space="preserve"> thunderstorm asthma </w:t>
            </w:r>
            <w:r>
              <w:rPr>
                <w:sz w:val="20"/>
                <w:szCs w:val="20"/>
              </w:rPr>
              <w:t xml:space="preserve">events </w:t>
            </w:r>
            <w:r w:rsidRPr="00EB7280">
              <w:rPr>
                <w:sz w:val="20"/>
                <w:szCs w:val="20"/>
              </w:rPr>
              <w:t xml:space="preserve">so that Victorians can receive adequate information, warning and advice in the future. </w:t>
            </w:r>
          </w:p>
          <w:p w:rsidR="008C1A6E" w:rsidRPr="00EB7280" w:rsidRDefault="008C1A6E" w:rsidP="00326941">
            <w:pPr>
              <w:spacing w:after="120" w:line="270" w:lineRule="atLeast"/>
              <w:rPr>
                <w:sz w:val="20"/>
                <w:szCs w:val="20"/>
              </w:rPr>
            </w:pPr>
            <w:r>
              <w:rPr>
                <w:sz w:val="20"/>
                <w:szCs w:val="20"/>
              </w:rPr>
              <w:t>Building on the interim forecasting system which was put in place following the November 2016 event, DHHS</w:t>
            </w:r>
            <w:r w:rsidRPr="00EB7280">
              <w:rPr>
                <w:sz w:val="20"/>
                <w:szCs w:val="20"/>
              </w:rPr>
              <w:t xml:space="preserve"> has partnered with relevant agencies to develop and implement a</w:t>
            </w:r>
            <w:r>
              <w:rPr>
                <w:sz w:val="20"/>
                <w:szCs w:val="20"/>
              </w:rPr>
              <w:t>n enhanced</w:t>
            </w:r>
            <w:r w:rsidRPr="00EB7280">
              <w:rPr>
                <w:sz w:val="20"/>
                <w:szCs w:val="20"/>
              </w:rPr>
              <w:t xml:space="preserve"> epidemic thunderstorm asthma forecasting system</w:t>
            </w:r>
            <w:r>
              <w:rPr>
                <w:sz w:val="20"/>
                <w:szCs w:val="20"/>
              </w:rPr>
              <w:t xml:space="preserve">. The system includes an expanded Victorian </w:t>
            </w:r>
            <w:r w:rsidRPr="00EB7280">
              <w:rPr>
                <w:sz w:val="20"/>
                <w:szCs w:val="20"/>
              </w:rPr>
              <w:t>pollen monitoring network</w:t>
            </w:r>
            <w:r>
              <w:rPr>
                <w:sz w:val="20"/>
                <w:szCs w:val="20"/>
              </w:rPr>
              <w:t xml:space="preserve"> with 5 additional monitoring sites. A</w:t>
            </w:r>
            <w:r w:rsidRPr="00EB7280">
              <w:rPr>
                <w:sz w:val="20"/>
                <w:szCs w:val="20"/>
              </w:rPr>
              <w:t xml:space="preserve"> standardised pollen and fungal monitoring protocol</w:t>
            </w:r>
            <w:r>
              <w:rPr>
                <w:sz w:val="20"/>
                <w:szCs w:val="20"/>
              </w:rPr>
              <w:t xml:space="preserve"> will be developed to ensure consistency across these sites.</w:t>
            </w:r>
            <w:r w:rsidRPr="00EB7280">
              <w:rPr>
                <w:sz w:val="20"/>
                <w:szCs w:val="20"/>
              </w:rPr>
              <w:t xml:space="preserve"> </w:t>
            </w:r>
            <w:r>
              <w:rPr>
                <w:sz w:val="20"/>
                <w:szCs w:val="20"/>
              </w:rPr>
              <w:t>Pollen information, along with various meteorological elements, will be fed into an algorithm</w:t>
            </w:r>
            <w:r w:rsidRPr="00846B60">
              <w:rPr>
                <w:sz w:val="20"/>
                <w:szCs w:val="20"/>
              </w:rPr>
              <w:t xml:space="preserve"> to produce the epidemic thunderstorm asthma forecast.</w:t>
            </w:r>
          </w:p>
          <w:p w:rsidR="008C1A6E" w:rsidRPr="00326941" w:rsidRDefault="008C1A6E" w:rsidP="00326941">
            <w:pPr>
              <w:spacing w:after="120" w:line="270" w:lineRule="atLeast"/>
              <w:rPr>
                <w:color w:val="000000"/>
                <w:sz w:val="20"/>
                <w:szCs w:val="20"/>
              </w:rPr>
            </w:pPr>
            <w:r>
              <w:rPr>
                <w:sz w:val="20"/>
                <w:szCs w:val="20"/>
              </w:rPr>
              <w:t>The f</w:t>
            </w:r>
            <w:r w:rsidRPr="00EB7280">
              <w:rPr>
                <w:sz w:val="20"/>
                <w:szCs w:val="20"/>
              </w:rPr>
              <w:t xml:space="preserve">orecasting system </w:t>
            </w:r>
            <w:r>
              <w:rPr>
                <w:sz w:val="20"/>
                <w:szCs w:val="20"/>
              </w:rPr>
              <w:t>is being</w:t>
            </w:r>
            <w:r w:rsidRPr="00EB7280">
              <w:rPr>
                <w:sz w:val="20"/>
                <w:szCs w:val="20"/>
              </w:rPr>
              <w:t xml:space="preserve"> informed by local, national and international research and expert </w:t>
            </w:r>
            <w:r w:rsidRPr="00326941">
              <w:rPr>
                <w:color w:val="000000"/>
                <w:sz w:val="20"/>
                <w:szCs w:val="20"/>
              </w:rPr>
              <w:t xml:space="preserve">input. DHHS is investing in research to enable improved understanding of the mechanisms involved in epidemic thunderstorm asthma and in future progressive improvements in forecasting capability through improved mathematical modelling of inputs. </w:t>
            </w:r>
          </w:p>
          <w:p w:rsidR="008C1A6E" w:rsidRPr="00EB7280" w:rsidRDefault="008C1A6E" w:rsidP="00326941">
            <w:pPr>
              <w:spacing w:after="120" w:line="270" w:lineRule="atLeast"/>
              <w:rPr>
                <w:sz w:val="20"/>
                <w:szCs w:val="20"/>
              </w:rPr>
            </w:pPr>
            <w:r>
              <w:rPr>
                <w:sz w:val="20"/>
                <w:szCs w:val="20"/>
              </w:rPr>
              <w:t>Forecasts delivered by the system</w:t>
            </w:r>
            <w:r w:rsidRPr="00EB7280">
              <w:rPr>
                <w:sz w:val="20"/>
                <w:szCs w:val="20"/>
              </w:rPr>
              <w:t xml:space="preserve"> will allow DHHS to </w:t>
            </w:r>
            <w:r>
              <w:rPr>
                <w:sz w:val="20"/>
                <w:szCs w:val="20"/>
              </w:rPr>
              <w:t xml:space="preserve">provide advice to </w:t>
            </w:r>
            <w:r w:rsidRPr="00EB7280">
              <w:rPr>
                <w:sz w:val="20"/>
                <w:szCs w:val="20"/>
              </w:rPr>
              <w:t xml:space="preserve">health services </w:t>
            </w:r>
            <w:r>
              <w:rPr>
                <w:sz w:val="20"/>
                <w:szCs w:val="20"/>
              </w:rPr>
              <w:t xml:space="preserve">and the community about the possibility of any future epidemic thunderstorm asthma events. </w:t>
            </w:r>
            <w:r w:rsidRPr="00EB7280">
              <w:rPr>
                <w:sz w:val="20"/>
                <w:szCs w:val="20"/>
              </w:rPr>
              <w:t xml:space="preserve">DHHS will use forecasts delivered by the system to trigger public </w:t>
            </w:r>
            <w:r>
              <w:rPr>
                <w:sz w:val="20"/>
                <w:szCs w:val="20"/>
              </w:rPr>
              <w:t>advice</w:t>
            </w:r>
            <w:r w:rsidRPr="00EB7280">
              <w:rPr>
                <w:sz w:val="20"/>
                <w:szCs w:val="20"/>
              </w:rPr>
              <w:t xml:space="preserve"> and warnings on the Victorian warnings system</w:t>
            </w:r>
            <w:r>
              <w:rPr>
                <w:sz w:val="20"/>
                <w:szCs w:val="20"/>
              </w:rPr>
              <w:t xml:space="preserve"> (VicEmergency), and f</w:t>
            </w:r>
            <w:r w:rsidRPr="00EB7280">
              <w:rPr>
                <w:sz w:val="20"/>
                <w:szCs w:val="20"/>
              </w:rPr>
              <w:t xml:space="preserve">orecasts will be made publicly available during the </w:t>
            </w:r>
            <w:r>
              <w:rPr>
                <w:sz w:val="20"/>
                <w:szCs w:val="20"/>
              </w:rPr>
              <w:t xml:space="preserve">grass </w:t>
            </w:r>
            <w:r w:rsidRPr="00EB7280">
              <w:rPr>
                <w:sz w:val="20"/>
                <w:szCs w:val="20"/>
              </w:rPr>
              <w:t>pollen season</w:t>
            </w:r>
            <w:r>
              <w:rPr>
                <w:sz w:val="20"/>
                <w:szCs w:val="20"/>
              </w:rPr>
              <w:t xml:space="preserve">. </w:t>
            </w:r>
          </w:p>
        </w:tc>
        <w:tc>
          <w:tcPr>
            <w:tcW w:w="6555" w:type="dxa"/>
            <w:tcBorders>
              <w:top w:val="double" w:sz="4" w:space="0" w:color="0070C0"/>
            </w:tcBorders>
          </w:tcPr>
          <w:p w:rsidR="008C1A6E" w:rsidRDefault="008C1A6E" w:rsidP="00326941">
            <w:pPr>
              <w:spacing w:after="120" w:line="270" w:lineRule="atLeast"/>
              <w:rPr>
                <w:sz w:val="20"/>
                <w:szCs w:val="20"/>
              </w:rPr>
            </w:pPr>
            <w:r>
              <w:rPr>
                <w:sz w:val="20"/>
                <w:szCs w:val="20"/>
              </w:rPr>
              <w:t>Hold an epidemic thunderstorm asthma symposium to gather expert input.</w:t>
            </w:r>
          </w:p>
        </w:tc>
        <w:tc>
          <w:tcPr>
            <w:tcW w:w="1842" w:type="dxa"/>
            <w:tcBorders>
              <w:top w:val="double" w:sz="4" w:space="0" w:color="0070C0"/>
            </w:tcBorders>
          </w:tcPr>
          <w:p w:rsidR="008C1A6E" w:rsidRDefault="00F35BC6" w:rsidP="00326941">
            <w:pPr>
              <w:rPr>
                <w:sz w:val="20"/>
                <w:szCs w:val="20"/>
              </w:rPr>
            </w:pPr>
            <w:r>
              <w:rPr>
                <w:sz w:val="20"/>
                <w:szCs w:val="20"/>
              </w:rPr>
              <w:t>17-18 March 2017</w:t>
            </w:r>
          </w:p>
        </w:tc>
      </w:tr>
      <w:tr w:rsidR="008C1A6E" w:rsidRPr="00FB3E85" w:rsidTr="00E94ED1">
        <w:trPr>
          <w:trHeight w:val="340"/>
        </w:trPr>
        <w:tc>
          <w:tcPr>
            <w:tcW w:w="6912" w:type="dxa"/>
            <w:vMerge/>
          </w:tcPr>
          <w:p w:rsidR="008C1A6E" w:rsidRPr="00EB7280" w:rsidRDefault="008C1A6E" w:rsidP="00326941">
            <w:pPr>
              <w:rPr>
                <w:sz w:val="20"/>
                <w:szCs w:val="20"/>
              </w:rPr>
            </w:pPr>
          </w:p>
        </w:tc>
        <w:tc>
          <w:tcPr>
            <w:tcW w:w="6555" w:type="dxa"/>
          </w:tcPr>
          <w:p w:rsidR="008C1A6E" w:rsidRDefault="008C1A6E" w:rsidP="00326941">
            <w:pPr>
              <w:spacing w:after="120" w:line="270" w:lineRule="atLeast"/>
              <w:rPr>
                <w:sz w:val="20"/>
                <w:szCs w:val="20"/>
              </w:rPr>
            </w:pPr>
            <w:r>
              <w:rPr>
                <w:sz w:val="20"/>
                <w:szCs w:val="20"/>
              </w:rPr>
              <w:t>Publish a literature review on epidemic thunderstorm asthma</w:t>
            </w:r>
            <w:r w:rsidRPr="001B13FF">
              <w:rPr>
                <w:sz w:val="20"/>
                <w:szCs w:val="20"/>
              </w:rPr>
              <w:t xml:space="preserve"> and its Implications for Public Health Advice</w:t>
            </w:r>
            <w:r>
              <w:rPr>
                <w:sz w:val="20"/>
                <w:szCs w:val="20"/>
              </w:rPr>
              <w:t>.</w:t>
            </w:r>
          </w:p>
        </w:tc>
        <w:tc>
          <w:tcPr>
            <w:tcW w:w="1842" w:type="dxa"/>
          </w:tcPr>
          <w:p w:rsidR="008C1A6E" w:rsidRDefault="00F35BC6" w:rsidP="00E94ED1">
            <w:pPr>
              <w:rPr>
                <w:sz w:val="20"/>
                <w:szCs w:val="20"/>
              </w:rPr>
            </w:pPr>
            <w:r>
              <w:rPr>
                <w:sz w:val="20"/>
                <w:szCs w:val="20"/>
              </w:rPr>
              <w:t>May 2017</w:t>
            </w:r>
          </w:p>
        </w:tc>
      </w:tr>
      <w:tr w:rsidR="008C1A6E" w:rsidRPr="00FB3E85" w:rsidTr="00E94ED1">
        <w:trPr>
          <w:trHeight w:val="340"/>
        </w:trPr>
        <w:tc>
          <w:tcPr>
            <w:tcW w:w="6912" w:type="dxa"/>
            <w:vMerge/>
          </w:tcPr>
          <w:p w:rsidR="008C1A6E" w:rsidRPr="00EB7280" w:rsidRDefault="008C1A6E" w:rsidP="00326941">
            <w:pPr>
              <w:rPr>
                <w:sz w:val="20"/>
                <w:szCs w:val="20"/>
              </w:rPr>
            </w:pPr>
          </w:p>
        </w:tc>
        <w:tc>
          <w:tcPr>
            <w:tcW w:w="6555" w:type="dxa"/>
          </w:tcPr>
          <w:p w:rsidR="008C1A6E" w:rsidRDefault="008C1A6E" w:rsidP="00326941">
            <w:pPr>
              <w:spacing w:after="120" w:line="270" w:lineRule="atLeast"/>
              <w:rPr>
                <w:sz w:val="20"/>
                <w:szCs w:val="20"/>
              </w:rPr>
            </w:pPr>
            <w:r w:rsidRPr="00EB7280">
              <w:rPr>
                <w:sz w:val="20"/>
                <w:szCs w:val="20"/>
              </w:rPr>
              <w:t>Develop a standardised pollen and fungal monitoring protocol</w:t>
            </w:r>
            <w:r>
              <w:rPr>
                <w:sz w:val="20"/>
                <w:szCs w:val="20"/>
              </w:rPr>
              <w:t xml:space="preserve"> for Victoria.</w:t>
            </w:r>
          </w:p>
        </w:tc>
        <w:tc>
          <w:tcPr>
            <w:tcW w:w="1842" w:type="dxa"/>
          </w:tcPr>
          <w:p w:rsidR="008C1A6E" w:rsidRDefault="008C1A6E" w:rsidP="00326941">
            <w:pPr>
              <w:rPr>
                <w:sz w:val="20"/>
                <w:szCs w:val="20"/>
              </w:rPr>
            </w:pPr>
            <w:r>
              <w:rPr>
                <w:sz w:val="20"/>
                <w:szCs w:val="20"/>
              </w:rPr>
              <w:t>1</w:t>
            </w:r>
            <w:r w:rsidRPr="00EB7280">
              <w:rPr>
                <w:sz w:val="20"/>
                <w:szCs w:val="20"/>
              </w:rPr>
              <w:t xml:space="preserve"> </w:t>
            </w:r>
            <w:r>
              <w:rPr>
                <w:sz w:val="20"/>
                <w:szCs w:val="20"/>
              </w:rPr>
              <w:t>October</w:t>
            </w:r>
            <w:r w:rsidRPr="00EB7280">
              <w:rPr>
                <w:sz w:val="20"/>
                <w:szCs w:val="20"/>
              </w:rPr>
              <w:t xml:space="preserve"> 2017</w:t>
            </w:r>
          </w:p>
        </w:tc>
      </w:tr>
      <w:tr w:rsidR="008C1A6E" w:rsidRPr="00FB3E85" w:rsidTr="00E94ED1">
        <w:trPr>
          <w:trHeight w:val="340"/>
        </w:trPr>
        <w:tc>
          <w:tcPr>
            <w:tcW w:w="6912" w:type="dxa"/>
            <w:vMerge/>
          </w:tcPr>
          <w:p w:rsidR="008C1A6E" w:rsidRPr="00EB7280" w:rsidRDefault="008C1A6E" w:rsidP="00326941">
            <w:pPr>
              <w:rPr>
                <w:sz w:val="20"/>
                <w:szCs w:val="20"/>
              </w:rPr>
            </w:pPr>
          </w:p>
        </w:tc>
        <w:tc>
          <w:tcPr>
            <w:tcW w:w="6555" w:type="dxa"/>
          </w:tcPr>
          <w:p w:rsidR="008C1A6E" w:rsidRDefault="008C1A6E" w:rsidP="00326941">
            <w:pPr>
              <w:spacing w:after="120" w:line="270" w:lineRule="atLeast"/>
              <w:rPr>
                <w:sz w:val="20"/>
                <w:szCs w:val="20"/>
              </w:rPr>
            </w:pPr>
            <w:r w:rsidRPr="00EB7280">
              <w:rPr>
                <w:sz w:val="20"/>
                <w:szCs w:val="20"/>
              </w:rPr>
              <w:t xml:space="preserve">Expand the pollen </w:t>
            </w:r>
            <w:r>
              <w:rPr>
                <w:sz w:val="20"/>
                <w:szCs w:val="20"/>
              </w:rPr>
              <w:t xml:space="preserve">monitoring </w:t>
            </w:r>
            <w:r w:rsidRPr="00EB7280">
              <w:rPr>
                <w:sz w:val="20"/>
                <w:szCs w:val="20"/>
              </w:rPr>
              <w:t>network to appropriate sites across Victoria</w:t>
            </w:r>
            <w:r>
              <w:rPr>
                <w:sz w:val="20"/>
                <w:szCs w:val="20"/>
              </w:rPr>
              <w:t>.</w:t>
            </w:r>
          </w:p>
        </w:tc>
        <w:tc>
          <w:tcPr>
            <w:tcW w:w="1842" w:type="dxa"/>
          </w:tcPr>
          <w:p w:rsidR="008C1A6E" w:rsidRDefault="008C1A6E" w:rsidP="00E94ED1">
            <w:pPr>
              <w:spacing w:after="120" w:line="270" w:lineRule="atLeast"/>
              <w:rPr>
                <w:sz w:val="20"/>
                <w:szCs w:val="20"/>
              </w:rPr>
            </w:pPr>
            <w:r w:rsidRPr="00EB7280">
              <w:rPr>
                <w:sz w:val="20"/>
                <w:szCs w:val="20"/>
              </w:rPr>
              <w:t>1 October 2017</w:t>
            </w:r>
          </w:p>
        </w:tc>
      </w:tr>
      <w:tr w:rsidR="008C1A6E" w:rsidRPr="00FB3E85" w:rsidTr="00E94ED1">
        <w:trPr>
          <w:trHeight w:val="340"/>
        </w:trPr>
        <w:tc>
          <w:tcPr>
            <w:tcW w:w="6912" w:type="dxa"/>
            <w:vMerge/>
          </w:tcPr>
          <w:p w:rsidR="008C1A6E" w:rsidRPr="00EB7280" w:rsidRDefault="008C1A6E" w:rsidP="00326941">
            <w:pPr>
              <w:rPr>
                <w:sz w:val="20"/>
                <w:szCs w:val="20"/>
              </w:rPr>
            </w:pPr>
          </w:p>
        </w:tc>
        <w:tc>
          <w:tcPr>
            <w:tcW w:w="6555" w:type="dxa"/>
          </w:tcPr>
          <w:p w:rsidR="008C1A6E" w:rsidRDefault="008C1A6E" w:rsidP="00326941">
            <w:pPr>
              <w:rPr>
                <w:sz w:val="20"/>
                <w:szCs w:val="20"/>
              </w:rPr>
            </w:pPr>
            <w:r w:rsidRPr="0068555B">
              <w:rPr>
                <w:sz w:val="20"/>
                <w:szCs w:val="20"/>
              </w:rPr>
              <w:t>Deliver the enhanced epidemic thunderstorm asthma forecasting system</w:t>
            </w:r>
            <w:r>
              <w:rPr>
                <w:sz w:val="20"/>
                <w:szCs w:val="20"/>
              </w:rPr>
              <w:t>.</w:t>
            </w:r>
            <w:r w:rsidRPr="0068555B">
              <w:rPr>
                <w:sz w:val="20"/>
                <w:szCs w:val="20"/>
              </w:rPr>
              <w:t xml:space="preserve"> </w:t>
            </w:r>
          </w:p>
        </w:tc>
        <w:tc>
          <w:tcPr>
            <w:tcW w:w="1842" w:type="dxa"/>
          </w:tcPr>
          <w:p w:rsidR="008C1A6E" w:rsidRDefault="008C1A6E" w:rsidP="00326941">
            <w:pPr>
              <w:rPr>
                <w:sz w:val="20"/>
                <w:szCs w:val="20"/>
              </w:rPr>
            </w:pPr>
            <w:r>
              <w:rPr>
                <w:sz w:val="20"/>
                <w:szCs w:val="20"/>
              </w:rPr>
              <w:t xml:space="preserve">From </w:t>
            </w:r>
            <w:r w:rsidRPr="00EB7280">
              <w:rPr>
                <w:sz w:val="20"/>
                <w:szCs w:val="20"/>
              </w:rPr>
              <w:t>1 October 2017</w:t>
            </w:r>
          </w:p>
        </w:tc>
      </w:tr>
      <w:tr w:rsidR="008C1A6E" w:rsidRPr="00FB3E85" w:rsidTr="00E94ED1">
        <w:trPr>
          <w:trHeight w:val="340"/>
        </w:trPr>
        <w:tc>
          <w:tcPr>
            <w:tcW w:w="6912" w:type="dxa"/>
            <w:vMerge/>
          </w:tcPr>
          <w:p w:rsidR="008C1A6E" w:rsidRPr="00EB7280" w:rsidRDefault="008C1A6E" w:rsidP="00326941">
            <w:pPr>
              <w:rPr>
                <w:sz w:val="20"/>
                <w:szCs w:val="20"/>
              </w:rPr>
            </w:pPr>
          </w:p>
        </w:tc>
        <w:tc>
          <w:tcPr>
            <w:tcW w:w="6555" w:type="dxa"/>
          </w:tcPr>
          <w:p w:rsidR="008C1A6E" w:rsidRPr="00326941" w:rsidRDefault="008C1A6E" w:rsidP="00326941">
            <w:pPr>
              <w:rPr>
                <w:color w:val="000000"/>
                <w:sz w:val="20"/>
                <w:szCs w:val="20"/>
              </w:rPr>
            </w:pPr>
            <w:r w:rsidRPr="00326941">
              <w:rPr>
                <w:color w:val="000000"/>
                <w:sz w:val="20"/>
                <w:szCs w:val="20"/>
              </w:rPr>
              <w:t>Forecasts made publically available and linked to strategic communications actions and provision of advice.</w:t>
            </w:r>
          </w:p>
        </w:tc>
        <w:tc>
          <w:tcPr>
            <w:tcW w:w="1842" w:type="dxa"/>
          </w:tcPr>
          <w:p w:rsidR="008C1A6E" w:rsidRDefault="008C1A6E" w:rsidP="00326941">
            <w:pPr>
              <w:rPr>
                <w:sz w:val="20"/>
                <w:szCs w:val="20"/>
              </w:rPr>
            </w:pPr>
            <w:r w:rsidRPr="00EB7280">
              <w:rPr>
                <w:sz w:val="20"/>
                <w:szCs w:val="20"/>
              </w:rPr>
              <w:t>1 October 2017</w:t>
            </w:r>
          </w:p>
        </w:tc>
      </w:tr>
    </w:tbl>
    <w:p w:rsidR="00EB504B" w:rsidRDefault="00EB504B" w:rsidP="00326941">
      <w:pPr>
        <w:outlineLvl w:val="0"/>
        <w:rPr>
          <w:sz w:val="28"/>
          <w:szCs w:val="28"/>
        </w:rPr>
      </w:pPr>
    </w:p>
    <w:p w:rsidR="00EB504B" w:rsidRDefault="00EB504B">
      <w:pPr>
        <w:spacing w:after="0" w:line="240" w:lineRule="auto"/>
        <w:rPr>
          <w:sz w:val="28"/>
          <w:szCs w:val="28"/>
        </w:rPr>
      </w:pPr>
      <w:r>
        <w:rPr>
          <w:sz w:val="28"/>
          <w:szCs w:val="28"/>
        </w:rPr>
        <w:br w:type="page"/>
      </w:r>
    </w:p>
    <w:p w:rsidR="00326941" w:rsidRPr="00584192" w:rsidRDefault="00326941" w:rsidP="00326941">
      <w:pPr>
        <w:outlineLvl w:val="0"/>
        <w:rPr>
          <w:sz w:val="28"/>
          <w:szCs w:val="28"/>
        </w:rPr>
      </w:pPr>
      <w:r w:rsidRPr="00584192">
        <w:rPr>
          <w:sz w:val="28"/>
          <w:szCs w:val="28"/>
        </w:rPr>
        <w:lastRenderedPageBreak/>
        <w:t xml:space="preserve">Recommendation </w:t>
      </w:r>
      <w:r>
        <w:rPr>
          <w:sz w:val="28"/>
          <w:szCs w:val="28"/>
        </w:rPr>
        <w:t xml:space="preserve">12 </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8C1A6E" w:rsidRPr="008831A1" w:rsidTr="00E94ED1">
        <w:tc>
          <w:tcPr>
            <w:tcW w:w="691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Government response (Lead agency: DHHS)</w:t>
            </w:r>
          </w:p>
        </w:tc>
        <w:tc>
          <w:tcPr>
            <w:tcW w:w="6555"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Completion date</w:t>
            </w:r>
          </w:p>
        </w:tc>
      </w:tr>
      <w:tr w:rsidR="008C1A6E" w:rsidRPr="00FB3E85" w:rsidTr="00E94ED1">
        <w:tc>
          <w:tcPr>
            <w:tcW w:w="6912" w:type="dxa"/>
            <w:vMerge w:val="restart"/>
            <w:tcBorders>
              <w:top w:val="double" w:sz="4" w:space="0" w:color="0070C0"/>
            </w:tcBorders>
          </w:tcPr>
          <w:p w:rsidR="008C1A6E" w:rsidRPr="00EB7280" w:rsidRDefault="008C1A6E" w:rsidP="00326941">
            <w:pPr>
              <w:spacing w:after="120" w:line="270" w:lineRule="atLeast"/>
              <w:rPr>
                <w:sz w:val="20"/>
                <w:szCs w:val="20"/>
              </w:rPr>
            </w:pPr>
            <w:r w:rsidRPr="00EB7280">
              <w:rPr>
                <w:sz w:val="20"/>
                <w:szCs w:val="20"/>
              </w:rPr>
              <w:t xml:space="preserve">DHHS is developing a comprehensive </w:t>
            </w:r>
            <w:r>
              <w:rPr>
                <w:sz w:val="20"/>
                <w:szCs w:val="20"/>
              </w:rPr>
              <w:t xml:space="preserve">public health communication, engagement and education program </w:t>
            </w:r>
            <w:r w:rsidRPr="00EB7280">
              <w:rPr>
                <w:sz w:val="20"/>
                <w:szCs w:val="20"/>
              </w:rPr>
              <w:t xml:space="preserve">to promote effective asthma </w:t>
            </w:r>
            <w:r>
              <w:rPr>
                <w:sz w:val="20"/>
                <w:szCs w:val="20"/>
              </w:rPr>
              <w:t xml:space="preserve">and hay fever </w:t>
            </w:r>
            <w:r w:rsidRPr="00EB7280">
              <w:rPr>
                <w:sz w:val="20"/>
                <w:szCs w:val="20"/>
              </w:rPr>
              <w:t xml:space="preserve">management and community resilience. </w:t>
            </w:r>
          </w:p>
          <w:p w:rsidR="008C1A6E" w:rsidRPr="00EB7280" w:rsidRDefault="008C1A6E" w:rsidP="00326941">
            <w:pPr>
              <w:spacing w:after="120" w:line="270" w:lineRule="atLeast"/>
              <w:rPr>
                <w:sz w:val="20"/>
                <w:szCs w:val="20"/>
              </w:rPr>
            </w:pPr>
            <w:r w:rsidRPr="00EB7280">
              <w:rPr>
                <w:sz w:val="20"/>
                <w:szCs w:val="20"/>
              </w:rPr>
              <w:t xml:space="preserve">The </w:t>
            </w:r>
            <w:r>
              <w:rPr>
                <w:sz w:val="20"/>
                <w:szCs w:val="20"/>
              </w:rPr>
              <w:t xml:space="preserve">program includes an awareness and education campaign for </w:t>
            </w:r>
            <w:r w:rsidRPr="00EB7280">
              <w:rPr>
                <w:sz w:val="20"/>
                <w:szCs w:val="20"/>
              </w:rPr>
              <w:t xml:space="preserve">the public and health providers </w:t>
            </w:r>
            <w:r>
              <w:rPr>
                <w:sz w:val="20"/>
                <w:szCs w:val="20"/>
              </w:rPr>
              <w:t xml:space="preserve">which will focus on what </w:t>
            </w:r>
            <w:r w:rsidRPr="00EB7280">
              <w:rPr>
                <w:sz w:val="20"/>
                <w:szCs w:val="20"/>
              </w:rPr>
              <w:t xml:space="preserve">epidemic thunderstorm asthma </w:t>
            </w:r>
            <w:r>
              <w:rPr>
                <w:sz w:val="20"/>
                <w:szCs w:val="20"/>
              </w:rPr>
              <w:t xml:space="preserve">is, who may be at risk, and what actions can be taken to manage the risk. </w:t>
            </w:r>
          </w:p>
          <w:p w:rsidR="008C1A6E" w:rsidRPr="00EB7280" w:rsidRDefault="008C1A6E" w:rsidP="00326941">
            <w:pPr>
              <w:spacing w:after="120" w:line="270" w:lineRule="atLeast"/>
              <w:rPr>
                <w:sz w:val="20"/>
                <w:szCs w:val="20"/>
              </w:rPr>
            </w:pPr>
            <w:r w:rsidRPr="00EB7280">
              <w:rPr>
                <w:sz w:val="20"/>
                <w:szCs w:val="20"/>
              </w:rPr>
              <w:t xml:space="preserve">The program </w:t>
            </w:r>
            <w:r>
              <w:rPr>
                <w:sz w:val="20"/>
                <w:szCs w:val="20"/>
              </w:rPr>
              <w:t>is being</w:t>
            </w:r>
            <w:r w:rsidRPr="00EB7280">
              <w:rPr>
                <w:sz w:val="20"/>
                <w:szCs w:val="20"/>
              </w:rPr>
              <w:t xml:space="preserve"> developed and undertaken with key partners</w:t>
            </w:r>
            <w:r>
              <w:rPr>
                <w:sz w:val="20"/>
                <w:szCs w:val="20"/>
              </w:rPr>
              <w:t>,</w:t>
            </w:r>
            <w:r w:rsidRPr="00EB7280">
              <w:rPr>
                <w:sz w:val="20"/>
                <w:szCs w:val="20"/>
              </w:rPr>
              <w:t xml:space="preserve"> including </w:t>
            </w:r>
            <w:r>
              <w:rPr>
                <w:sz w:val="20"/>
                <w:szCs w:val="20"/>
              </w:rPr>
              <w:t xml:space="preserve">the </w:t>
            </w:r>
            <w:r w:rsidRPr="00EB7280">
              <w:rPr>
                <w:sz w:val="20"/>
                <w:szCs w:val="20"/>
              </w:rPr>
              <w:t>National Asthma Council Australia</w:t>
            </w:r>
            <w:r>
              <w:rPr>
                <w:sz w:val="20"/>
                <w:szCs w:val="20"/>
              </w:rPr>
              <w:t xml:space="preserve">, </w:t>
            </w:r>
            <w:r w:rsidRPr="00EB7280">
              <w:rPr>
                <w:sz w:val="20"/>
                <w:szCs w:val="20"/>
              </w:rPr>
              <w:t>Asthma Australia</w:t>
            </w:r>
            <w:r>
              <w:rPr>
                <w:sz w:val="20"/>
                <w:szCs w:val="20"/>
              </w:rPr>
              <w:t xml:space="preserve"> and </w:t>
            </w:r>
            <w:r w:rsidRPr="00EB7280">
              <w:rPr>
                <w:sz w:val="20"/>
                <w:szCs w:val="20"/>
              </w:rPr>
              <w:t xml:space="preserve">the Murrumbidgee Local Health District. The program will also be informed by key national and international frameworks, including the Ottawa Charter for Health Promotion. </w:t>
            </w:r>
          </w:p>
          <w:p w:rsidR="008C1A6E" w:rsidRPr="00EB7280" w:rsidRDefault="008C1A6E" w:rsidP="00E94ED1">
            <w:pPr>
              <w:spacing w:after="120" w:line="270" w:lineRule="atLeast"/>
              <w:rPr>
                <w:sz w:val="20"/>
                <w:szCs w:val="20"/>
              </w:rPr>
            </w:pPr>
            <w:r w:rsidRPr="00EB7280">
              <w:rPr>
                <w:sz w:val="20"/>
                <w:szCs w:val="20"/>
              </w:rPr>
              <w:t xml:space="preserve">Attention on epidemic thunderstorm asthma allows a renewed focus on the management of asthma and hay fever generally. Both conditions are common in the Victorian community and optimising their control will bring overall health improvements, beyond epidemic thunderstorm asthma.  </w:t>
            </w:r>
          </w:p>
        </w:tc>
        <w:tc>
          <w:tcPr>
            <w:tcW w:w="6555" w:type="dxa"/>
            <w:tcBorders>
              <w:top w:val="double" w:sz="4" w:space="0" w:color="0070C0"/>
            </w:tcBorders>
          </w:tcPr>
          <w:p w:rsidR="008C1A6E" w:rsidRPr="00EB7280" w:rsidRDefault="008C1A6E" w:rsidP="00326941">
            <w:pPr>
              <w:rPr>
                <w:sz w:val="20"/>
                <w:szCs w:val="20"/>
              </w:rPr>
            </w:pPr>
            <w:r>
              <w:rPr>
                <w:sz w:val="20"/>
                <w:szCs w:val="20"/>
              </w:rPr>
              <w:t>L</w:t>
            </w:r>
            <w:r w:rsidRPr="00092B7C">
              <w:rPr>
                <w:sz w:val="20"/>
                <w:szCs w:val="20"/>
              </w:rPr>
              <w:t xml:space="preserve">aunch of </w:t>
            </w:r>
            <w:r>
              <w:rPr>
                <w:sz w:val="20"/>
                <w:szCs w:val="20"/>
              </w:rPr>
              <w:t xml:space="preserve">epidemic </w:t>
            </w:r>
            <w:r w:rsidRPr="00092B7C">
              <w:rPr>
                <w:sz w:val="20"/>
                <w:szCs w:val="20"/>
              </w:rPr>
              <w:t xml:space="preserve">thunderstorm asthma </w:t>
            </w:r>
            <w:r>
              <w:rPr>
                <w:sz w:val="20"/>
                <w:szCs w:val="20"/>
              </w:rPr>
              <w:t xml:space="preserve">public health </w:t>
            </w:r>
            <w:r w:rsidRPr="00092B7C">
              <w:rPr>
                <w:sz w:val="20"/>
                <w:szCs w:val="20"/>
              </w:rPr>
              <w:t>campaign</w:t>
            </w:r>
            <w:r>
              <w:rPr>
                <w:sz w:val="20"/>
                <w:szCs w:val="20"/>
              </w:rPr>
              <w:t>, including publication of new and updated resources</w:t>
            </w:r>
            <w:r w:rsidRPr="00092B7C">
              <w:rPr>
                <w:sz w:val="20"/>
                <w:szCs w:val="20"/>
              </w:rPr>
              <w:t xml:space="preserve"> on the Better Health Channel </w:t>
            </w:r>
            <w:r>
              <w:rPr>
                <w:sz w:val="20"/>
                <w:szCs w:val="20"/>
              </w:rPr>
              <w:t xml:space="preserve">and Health.Vic </w:t>
            </w:r>
            <w:r w:rsidRPr="00EB7280">
              <w:rPr>
                <w:sz w:val="20"/>
                <w:szCs w:val="20"/>
              </w:rPr>
              <w:t>for the com</w:t>
            </w:r>
            <w:r>
              <w:rPr>
                <w:sz w:val="20"/>
                <w:szCs w:val="20"/>
              </w:rPr>
              <w:t>munity and health professionals.</w:t>
            </w:r>
          </w:p>
        </w:tc>
        <w:tc>
          <w:tcPr>
            <w:tcW w:w="1842" w:type="dxa"/>
            <w:tcBorders>
              <w:top w:val="double" w:sz="4" w:space="0" w:color="0070C0"/>
            </w:tcBorders>
          </w:tcPr>
          <w:p w:rsidR="008C1A6E" w:rsidRPr="00FB3E85" w:rsidRDefault="00F35BC6" w:rsidP="00E94ED1">
            <w:pPr>
              <w:rPr>
                <w:sz w:val="20"/>
                <w:szCs w:val="20"/>
              </w:rPr>
            </w:pPr>
            <w:r>
              <w:rPr>
                <w:sz w:val="20"/>
                <w:szCs w:val="20"/>
              </w:rPr>
              <w:t>31 August 2017</w:t>
            </w:r>
          </w:p>
        </w:tc>
      </w:tr>
      <w:tr w:rsidR="008C1A6E" w:rsidRPr="00FB3E85" w:rsidTr="00E94ED1">
        <w:tc>
          <w:tcPr>
            <w:tcW w:w="6912" w:type="dxa"/>
            <w:vMerge/>
          </w:tcPr>
          <w:p w:rsidR="008C1A6E" w:rsidRPr="00FB3E85" w:rsidRDefault="008C1A6E" w:rsidP="00326941">
            <w:pPr>
              <w:spacing w:after="120" w:line="270" w:lineRule="atLeast"/>
              <w:rPr>
                <w:sz w:val="20"/>
                <w:szCs w:val="20"/>
              </w:rPr>
            </w:pPr>
          </w:p>
        </w:tc>
        <w:tc>
          <w:tcPr>
            <w:tcW w:w="6555" w:type="dxa"/>
          </w:tcPr>
          <w:p w:rsidR="008C1A6E" w:rsidRPr="00EB7280" w:rsidRDefault="008C1A6E" w:rsidP="00326941">
            <w:pPr>
              <w:rPr>
                <w:sz w:val="20"/>
                <w:szCs w:val="20"/>
              </w:rPr>
            </w:pPr>
            <w:r>
              <w:rPr>
                <w:sz w:val="20"/>
                <w:szCs w:val="20"/>
              </w:rPr>
              <w:t>Create new online epidemic thunderstorm asthma training modules for health professionals.</w:t>
            </w:r>
          </w:p>
        </w:tc>
        <w:tc>
          <w:tcPr>
            <w:tcW w:w="1842" w:type="dxa"/>
          </w:tcPr>
          <w:p w:rsidR="008C1A6E" w:rsidRDefault="008C1A6E" w:rsidP="00326941">
            <w:pPr>
              <w:rPr>
                <w:sz w:val="20"/>
                <w:szCs w:val="20"/>
              </w:rPr>
            </w:pPr>
            <w:r>
              <w:rPr>
                <w:sz w:val="20"/>
                <w:szCs w:val="20"/>
              </w:rPr>
              <w:t>30 September 2017</w:t>
            </w:r>
          </w:p>
        </w:tc>
      </w:tr>
      <w:tr w:rsidR="008C1A6E" w:rsidRPr="00FB3E85" w:rsidTr="00E94ED1">
        <w:tc>
          <w:tcPr>
            <w:tcW w:w="6912" w:type="dxa"/>
            <w:vMerge/>
          </w:tcPr>
          <w:p w:rsidR="008C1A6E" w:rsidRPr="00FB3E85" w:rsidRDefault="008C1A6E" w:rsidP="00326941">
            <w:pPr>
              <w:spacing w:after="120" w:line="270" w:lineRule="atLeast"/>
              <w:rPr>
                <w:sz w:val="20"/>
                <w:szCs w:val="20"/>
              </w:rPr>
            </w:pPr>
          </w:p>
        </w:tc>
        <w:tc>
          <w:tcPr>
            <w:tcW w:w="6555" w:type="dxa"/>
          </w:tcPr>
          <w:p w:rsidR="008C1A6E" w:rsidRPr="00EB7280" w:rsidRDefault="008C1A6E" w:rsidP="00326941">
            <w:pPr>
              <w:rPr>
                <w:sz w:val="20"/>
                <w:szCs w:val="20"/>
              </w:rPr>
            </w:pPr>
            <w:r w:rsidRPr="00EB7280">
              <w:rPr>
                <w:sz w:val="20"/>
                <w:szCs w:val="20"/>
              </w:rPr>
              <w:t>Update existing asthma</w:t>
            </w:r>
            <w:r>
              <w:rPr>
                <w:sz w:val="20"/>
                <w:szCs w:val="20"/>
              </w:rPr>
              <w:t>-</w:t>
            </w:r>
            <w:r w:rsidRPr="00EB7280">
              <w:rPr>
                <w:sz w:val="20"/>
                <w:szCs w:val="20"/>
              </w:rPr>
              <w:t xml:space="preserve">related online training </w:t>
            </w:r>
            <w:r>
              <w:rPr>
                <w:sz w:val="20"/>
                <w:szCs w:val="20"/>
              </w:rPr>
              <w:t>modules</w:t>
            </w:r>
            <w:r w:rsidRPr="00EB7280">
              <w:rPr>
                <w:sz w:val="20"/>
                <w:szCs w:val="20"/>
              </w:rPr>
              <w:t xml:space="preserve"> for schools and early childhood facilities, sports and recreation groups and workplaces to include epidemic thunderstorm asthma information</w:t>
            </w:r>
            <w:r>
              <w:rPr>
                <w:sz w:val="20"/>
                <w:szCs w:val="20"/>
              </w:rPr>
              <w:t>.</w:t>
            </w:r>
          </w:p>
        </w:tc>
        <w:tc>
          <w:tcPr>
            <w:tcW w:w="1842" w:type="dxa"/>
          </w:tcPr>
          <w:p w:rsidR="008C1A6E" w:rsidRDefault="008C1A6E" w:rsidP="00326941">
            <w:pPr>
              <w:rPr>
                <w:sz w:val="20"/>
                <w:szCs w:val="20"/>
              </w:rPr>
            </w:pPr>
            <w:r>
              <w:rPr>
                <w:sz w:val="20"/>
                <w:szCs w:val="20"/>
              </w:rPr>
              <w:t xml:space="preserve">1 October </w:t>
            </w:r>
            <w:r w:rsidRPr="00EB7280">
              <w:rPr>
                <w:sz w:val="20"/>
                <w:szCs w:val="20"/>
              </w:rPr>
              <w:t>2017</w:t>
            </w:r>
          </w:p>
        </w:tc>
      </w:tr>
      <w:tr w:rsidR="008C1A6E" w:rsidRPr="00FB3E85" w:rsidTr="00E94ED1">
        <w:tc>
          <w:tcPr>
            <w:tcW w:w="6912" w:type="dxa"/>
            <w:vMerge/>
          </w:tcPr>
          <w:p w:rsidR="008C1A6E" w:rsidRPr="00FB3E85" w:rsidRDefault="008C1A6E" w:rsidP="00326941">
            <w:pPr>
              <w:spacing w:after="120" w:line="270" w:lineRule="atLeast"/>
              <w:rPr>
                <w:sz w:val="20"/>
                <w:szCs w:val="20"/>
              </w:rPr>
            </w:pPr>
          </w:p>
        </w:tc>
        <w:tc>
          <w:tcPr>
            <w:tcW w:w="6555" w:type="dxa"/>
          </w:tcPr>
          <w:p w:rsidR="008C1A6E" w:rsidRPr="00EB7280" w:rsidRDefault="008C1A6E" w:rsidP="00E94ED1">
            <w:pPr>
              <w:rPr>
                <w:sz w:val="20"/>
                <w:szCs w:val="20"/>
              </w:rPr>
            </w:pPr>
            <w:r w:rsidRPr="00EB7280">
              <w:rPr>
                <w:sz w:val="20"/>
                <w:szCs w:val="20"/>
              </w:rPr>
              <w:t>Hold face-to-face epidemic thunderstorm asthma</w:t>
            </w:r>
            <w:r w:rsidR="00E94ED1">
              <w:rPr>
                <w:sz w:val="20"/>
                <w:szCs w:val="20"/>
              </w:rPr>
              <w:t xml:space="preserve"> </w:t>
            </w:r>
            <w:r w:rsidRPr="00EB7280">
              <w:rPr>
                <w:sz w:val="20"/>
                <w:szCs w:val="20"/>
              </w:rPr>
              <w:t xml:space="preserve">training sessions across Victoria </w:t>
            </w:r>
            <w:r>
              <w:rPr>
                <w:sz w:val="20"/>
                <w:szCs w:val="20"/>
              </w:rPr>
              <w:t xml:space="preserve">for </w:t>
            </w:r>
            <w:r w:rsidRPr="00EB7280">
              <w:rPr>
                <w:sz w:val="20"/>
                <w:szCs w:val="20"/>
              </w:rPr>
              <w:t>health professionals</w:t>
            </w:r>
            <w:r>
              <w:rPr>
                <w:sz w:val="20"/>
                <w:szCs w:val="20"/>
              </w:rPr>
              <w:t>.</w:t>
            </w:r>
          </w:p>
        </w:tc>
        <w:tc>
          <w:tcPr>
            <w:tcW w:w="1842" w:type="dxa"/>
          </w:tcPr>
          <w:p w:rsidR="008C1A6E" w:rsidRDefault="008C1A6E" w:rsidP="00E94ED1">
            <w:pPr>
              <w:rPr>
                <w:sz w:val="20"/>
                <w:szCs w:val="20"/>
              </w:rPr>
            </w:pPr>
            <w:r>
              <w:rPr>
                <w:sz w:val="20"/>
                <w:szCs w:val="20"/>
              </w:rPr>
              <w:t>30</w:t>
            </w:r>
            <w:r w:rsidRPr="00EB7280">
              <w:rPr>
                <w:sz w:val="20"/>
                <w:szCs w:val="20"/>
              </w:rPr>
              <w:t xml:space="preserve"> </w:t>
            </w:r>
            <w:r>
              <w:rPr>
                <w:sz w:val="20"/>
                <w:szCs w:val="20"/>
              </w:rPr>
              <w:t>October</w:t>
            </w:r>
            <w:r w:rsidRPr="00EB7280">
              <w:rPr>
                <w:sz w:val="20"/>
                <w:szCs w:val="20"/>
              </w:rPr>
              <w:t xml:space="preserve"> 2017</w:t>
            </w:r>
          </w:p>
        </w:tc>
      </w:tr>
      <w:tr w:rsidR="008C1A6E" w:rsidRPr="00FB3E85" w:rsidTr="00E94ED1">
        <w:tc>
          <w:tcPr>
            <w:tcW w:w="6912" w:type="dxa"/>
            <w:vMerge/>
          </w:tcPr>
          <w:p w:rsidR="008C1A6E" w:rsidRPr="00FB3E85" w:rsidRDefault="008C1A6E" w:rsidP="00326941">
            <w:pPr>
              <w:spacing w:after="120" w:line="270" w:lineRule="atLeast"/>
              <w:rPr>
                <w:sz w:val="20"/>
                <w:szCs w:val="20"/>
              </w:rPr>
            </w:pPr>
          </w:p>
        </w:tc>
        <w:tc>
          <w:tcPr>
            <w:tcW w:w="6555" w:type="dxa"/>
          </w:tcPr>
          <w:p w:rsidR="008C1A6E" w:rsidRPr="00EB7280" w:rsidRDefault="008C1A6E" w:rsidP="00E94ED1">
            <w:pPr>
              <w:rPr>
                <w:sz w:val="20"/>
                <w:szCs w:val="20"/>
              </w:rPr>
            </w:pPr>
            <w:r w:rsidRPr="00EB7280">
              <w:rPr>
                <w:sz w:val="20"/>
                <w:szCs w:val="20"/>
              </w:rPr>
              <w:t>Hold face-to-face epidemic thunderstorm asthma</w:t>
            </w:r>
            <w:r w:rsidR="00E94ED1">
              <w:rPr>
                <w:sz w:val="20"/>
                <w:szCs w:val="20"/>
              </w:rPr>
              <w:t xml:space="preserve"> </w:t>
            </w:r>
            <w:r w:rsidRPr="00EB7280">
              <w:rPr>
                <w:sz w:val="20"/>
                <w:szCs w:val="20"/>
              </w:rPr>
              <w:t>training sessions across Victoria</w:t>
            </w:r>
            <w:r>
              <w:rPr>
                <w:sz w:val="20"/>
                <w:szCs w:val="20"/>
              </w:rPr>
              <w:t xml:space="preserve"> for</w:t>
            </w:r>
            <w:r w:rsidRPr="00EB7280">
              <w:rPr>
                <w:sz w:val="20"/>
                <w:szCs w:val="20"/>
              </w:rPr>
              <w:t xml:space="preserve"> </w:t>
            </w:r>
            <w:r>
              <w:rPr>
                <w:sz w:val="20"/>
                <w:szCs w:val="20"/>
              </w:rPr>
              <w:t>the community.</w:t>
            </w:r>
          </w:p>
        </w:tc>
        <w:tc>
          <w:tcPr>
            <w:tcW w:w="1842" w:type="dxa"/>
          </w:tcPr>
          <w:p w:rsidR="008C1A6E" w:rsidRDefault="008C1A6E" w:rsidP="00326941">
            <w:pPr>
              <w:rPr>
                <w:sz w:val="20"/>
                <w:szCs w:val="20"/>
              </w:rPr>
            </w:pPr>
            <w:r>
              <w:rPr>
                <w:sz w:val="20"/>
                <w:szCs w:val="20"/>
              </w:rPr>
              <w:t>31 December 2017</w:t>
            </w:r>
          </w:p>
        </w:tc>
      </w:tr>
    </w:tbl>
    <w:p w:rsidR="00326941" w:rsidRDefault="00326941" w:rsidP="00326941"/>
    <w:p w:rsidR="00EB504B" w:rsidRDefault="00EB504B">
      <w:pPr>
        <w:spacing w:after="0" w:line="240" w:lineRule="auto"/>
        <w:rPr>
          <w:sz w:val="28"/>
          <w:szCs w:val="28"/>
        </w:rPr>
      </w:pPr>
      <w:r>
        <w:rPr>
          <w:sz w:val="28"/>
          <w:szCs w:val="28"/>
        </w:rPr>
        <w:br w:type="page"/>
      </w:r>
    </w:p>
    <w:p w:rsidR="00326941" w:rsidRPr="00584192" w:rsidRDefault="00326941" w:rsidP="00326941">
      <w:pPr>
        <w:outlineLvl w:val="0"/>
        <w:rPr>
          <w:sz w:val="28"/>
          <w:szCs w:val="28"/>
        </w:rPr>
      </w:pPr>
      <w:r w:rsidRPr="00584192">
        <w:rPr>
          <w:sz w:val="28"/>
          <w:szCs w:val="28"/>
        </w:rPr>
        <w:lastRenderedPageBreak/>
        <w:t xml:space="preserve">Recommendation </w:t>
      </w:r>
      <w:r>
        <w:rPr>
          <w:sz w:val="28"/>
          <w:szCs w:val="28"/>
        </w:rPr>
        <w:t>13</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8C1A6E" w:rsidRPr="008831A1" w:rsidTr="00E94ED1">
        <w:tc>
          <w:tcPr>
            <w:tcW w:w="691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Government response (Lead agency: DHHS)</w:t>
            </w:r>
          </w:p>
        </w:tc>
        <w:tc>
          <w:tcPr>
            <w:tcW w:w="6555"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Completion date</w:t>
            </w:r>
          </w:p>
        </w:tc>
      </w:tr>
      <w:tr w:rsidR="008C1A6E" w:rsidRPr="00FB3E85" w:rsidTr="00E94ED1">
        <w:tc>
          <w:tcPr>
            <w:tcW w:w="6912" w:type="dxa"/>
            <w:tcBorders>
              <w:top w:val="double" w:sz="4" w:space="0" w:color="0070C0"/>
            </w:tcBorders>
          </w:tcPr>
          <w:p w:rsidR="008C1A6E" w:rsidRDefault="008C1A6E" w:rsidP="00326941">
            <w:pPr>
              <w:spacing w:after="120" w:line="270" w:lineRule="atLeast"/>
              <w:rPr>
                <w:sz w:val="20"/>
                <w:szCs w:val="20"/>
              </w:rPr>
            </w:pPr>
            <w:r>
              <w:rPr>
                <w:sz w:val="20"/>
                <w:szCs w:val="20"/>
              </w:rPr>
              <w:t xml:space="preserve">DHHS and </w:t>
            </w:r>
            <w:r w:rsidRPr="003A1422">
              <w:rPr>
                <w:sz w:val="20"/>
                <w:szCs w:val="20"/>
              </w:rPr>
              <w:t xml:space="preserve">EMV </w:t>
            </w:r>
            <w:r>
              <w:rPr>
                <w:sz w:val="20"/>
                <w:szCs w:val="20"/>
              </w:rPr>
              <w:t>will explore the</w:t>
            </w:r>
            <w:r w:rsidRPr="003A1422">
              <w:rPr>
                <w:sz w:val="20"/>
                <w:szCs w:val="20"/>
              </w:rPr>
              <w:t xml:space="preserve"> potential application of </w:t>
            </w:r>
            <w:r>
              <w:rPr>
                <w:sz w:val="20"/>
                <w:szCs w:val="20"/>
              </w:rPr>
              <w:t xml:space="preserve">emergency management </w:t>
            </w:r>
            <w:r w:rsidRPr="003A1422">
              <w:rPr>
                <w:sz w:val="20"/>
                <w:szCs w:val="20"/>
              </w:rPr>
              <w:t xml:space="preserve">sector wide performance standards </w:t>
            </w:r>
            <w:r>
              <w:rPr>
                <w:sz w:val="20"/>
                <w:szCs w:val="20"/>
              </w:rPr>
              <w:t>for system integration and intelligence sharing.</w:t>
            </w:r>
          </w:p>
          <w:p w:rsidR="008C1A6E" w:rsidRDefault="008C1A6E" w:rsidP="00326941">
            <w:pPr>
              <w:spacing w:after="120" w:line="270" w:lineRule="atLeast"/>
              <w:rPr>
                <w:sz w:val="20"/>
                <w:szCs w:val="20"/>
              </w:rPr>
            </w:pPr>
            <w:r w:rsidRPr="003A1422">
              <w:rPr>
                <w:sz w:val="20"/>
                <w:szCs w:val="20"/>
              </w:rPr>
              <w:t xml:space="preserve">DHHS </w:t>
            </w:r>
            <w:r>
              <w:rPr>
                <w:sz w:val="20"/>
                <w:szCs w:val="20"/>
              </w:rPr>
              <w:t xml:space="preserve">and EMV will also develop and adopt outcome measures and source appropriate data </w:t>
            </w:r>
            <w:r w:rsidRPr="00257398">
              <w:rPr>
                <w:sz w:val="20"/>
                <w:szCs w:val="20"/>
              </w:rPr>
              <w:t>for monitoring and evaluation of the ongoing effectiveness of system integration; intelligence sharing; community information; emergency warnings and health advice</w:t>
            </w:r>
            <w:r>
              <w:rPr>
                <w:sz w:val="20"/>
                <w:szCs w:val="20"/>
              </w:rPr>
              <w:t xml:space="preserve">. </w:t>
            </w:r>
          </w:p>
          <w:p w:rsidR="008C1A6E" w:rsidRPr="00FB3E85" w:rsidRDefault="008C1A6E" w:rsidP="00E94ED1">
            <w:pPr>
              <w:spacing w:after="120" w:line="270" w:lineRule="atLeast"/>
              <w:rPr>
                <w:sz w:val="20"/>
                <w:szCs w:val="20"/>
              </w:rPr>
            </w:pPr>
            <w:r>
              <w:rPr>
                <w:sz w:val="20"/>
                <w:szCs w:val="20"/>
              </w:rPr>
              <w:t xml:space="preserve">DHHS will use appropriate frameworks, including the </w:t>
            </w:r>
            <w:r w:rsidRPr="003A1422">
              <w:rPr>
                <w:sz w:val="20"/>
                <w:szCs w:val="20"/>
              </w:rPr>
              <w:t>Victorian Public Information Evaluation Framework</w:t>
            </w:r>
            <w:r>
              <w:rPr>
                <w:sz w:val="20"/>
                <w:szCs w:val="20"/>
              </w:rPr>
              <w:t>,</w:t>
            </w:r>
            <w:r w:rsidRPr="003A1422">
              <w:rPr>
                <w:sz w:val="20"/>
                <w:szCs w:val="20"/>
              </w:rPr>
              <w:t xml:space="preserve"> </w:t>
            </w:r>
            <w:r>
              <w:rPr>
                <w:sz w:val="20"/>
                <w:szCs w:val="20"/>
              </w:rPr>
              <w:t>to inform this work</w:t>
            </w:r>
            <w:r w:rsidRPr="003A1422">
              <w:rPr>
                <w:sz w:val="20"/>
                <w:szCs w:val="20"/>
              </w:rPr>
              <w:t>.</w:t>
            </w:r>
            <w:r>
              <w:rPr>
                <w:sz w:val="20"/>
                <w:szCs w:val="20"/>
              </w:rPr>
              <w:t xml:space="preserve"> </w:t>
            </w:r>
          </w:p>
        </w:tc>
        <w:tc>
          <w:tcPr>
            <w:tcW w:w="6555" w:type="dxa"/>
            <w:tcBorders>
              <w:top w:val="double" w:sz="4" w:space="0" w:color="0070C0"/>
            </w:tcBorders>
          </w:tcPr>
          <w:p w:rsidR="008C1A6E" w:rsidRPr="001E45E7" w:rsidRDefault="008C1A6E" w:rsidP="00326941">
            <w:pPr>
              <w:rPr>
                <w:b/>
                <w:sz w:val="20"/>
                <w:szCs w:val="20"/>
                <w:highlight w:val="yellow"/>
              </w:rPr>
            </w:pPr>
            <w:r w:rsidRPr="001B13FF">
              <w:rPr>
                <w:sz w:val="20"/>
                <w:szCs w:val="20"/>
              </w:rPr>
              <w:t>Develop and adopt outcome measures and source appropriate data for monitoring and evaluation of the ongoing effectiveness of system integration; intelligence sharing; community information; emergency warnings and health advice</w:t>
            </w:r>
            <w:r>
              <w:rPr>
                <w:sz w:val="20"/>
                <w:szCs w:val="20"/>
              </w:rPr>
              <w:t xml:space="preserve">. </w:t>
            </w:r>
          </w:p>
        </w:tc>
        <w:tc>
          <w:tcPr>
            <w:tcW w:w="1842" w:type="dxa"/>
            <w:tcBorders>
              <w:top w:val="double" w:sz="4" w:space="0" w:color="0070C0"/>
            </w:tcBorders>
          </w:tcPr>
          <w:p w:rsidR="008C1A6E" w:rsidRPr="001B13FF" w:rsidRDefault="008C1A6E" w:rsidP="00E94ED1">
            <w:pPr>
              <w:rPr>
                <w:sz w:val="20"/>
                <w:szCs w:val="20"/>
              </w:rPr>
            </w:pPr>
            <w:r w:rsidRPr="001B13FF">
              <w:rPr>
                <w:sz w:val="20"/>
                <w:szCs w:val="20"/>
              </w:rPr>
              <w:t>30 September 2018</w:t>
            </w:r>
          </w:p>
        </w:tc>
      </w:tr>
    </w:tbl>
    <w:p w:rsidR="00EB504B" w:rsidRDefault="00EB504B">
      <w:pPr>
        <w:spacing w:after="0" w:line="240" w:lineRule="auto"/>
        <w:rPr>
          <w:sz w:val="28"/>
          <w:szCs w:val="28"/>
        </w:rPr>
      </w:pPr>
      <w:r>
        <w:rPr>
          <w:sz w:val="28"/>
          <w:szCs w:val="28"/>
        </w:rPr>
        <w:br w:type="page"/>
      </w:r>
    </w:p>
    <w:p w:rsidR="00326941" w:rsidRPr="00584192" w:rsidRDefault="00326941" w:rsidP="00326941">
      <w:pPr>
        <w:outlineLvl w:val="0"/>
        <w:rPr>
          <w:sz w:val="28"/>
          <w:szCs w:val="28"/>
        </w:rPr>
      </w:pPr>
      <w:r>
        <w:rPr>
          <w:sz w:val="28"/>
          <w:szCs w:val="28"/>
        </w:rPr>
        <w:lastRenderedPageBreak/>
        <w:t>R</w:t>
      </w:r>
      <w:r w:rsidRPr="00584192">
        <w:rPr>
          <w:sz w:val="28"/>
          <w:szCs w:val="28"/>
        </w:rPr>
        <w:t xml:space="preserve">ecommendation </w:t>
      </w:r>
      <w:r>
        <w:rPr>
          <w:sz w:val="28"/>
          <w:szCs w:val="28"/>
        </w:rPr>
        <w:t xml:space="preserve">14 </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8C1A6E" w:rsidRPr="008831A1" w:rsidTr="00E94ED1">
        <w:tc>
          <w:tcPr>
            <w:tcW w:w="691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Government response (Lead agency: EMV)</w:t>
            </w:r>
          </w:p>
        </w:tc>
        <w:tc>
          <w:tcPr>
            <w:tcW w:w="6555"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Completion date</w:t>
            </w:r>
          </w:p>
        </w:tc>
      </w:tr>
      <w:tr w:rsidR="008C1A6E" w:rsidRPr="00FB3E85" w:rsidTr="00E94ED1">
        <w:tc>
          <w:tcPr>
            <w:tcW w:w="6912" w:type="dxa"/>
            <w:vMerge w:val="restart"/>
            <w:tcBorders>
              <w:top w:val="double" w:sz="4" w:space="0" w:color="0070C0"/>
            </w:tcBorders>
          </w:tcPr>
          <w:p w:rsidR="008C1A6E" w:rsidRDefault="008C1A6E" w:rsidP="00326941">
            <w:pPr>
              <w:spacing w:after="120" w:line="270" w:lineRule="atLeast"/>
              <w:rPr>
                <w:sz w:val="20"/>
                <w:szCs w:val="20"/>
              </w:rPr>
            </w:pPr>
            <w:r w:rsidRPr="003A1422">
              <w:rPr>
                <w:sz w:val="20"/>
                <w:szCs w:val="20"/>
              </w:rPr>
              <w:t>The government has an ongoing focus on continuous improvement to better position Victoria’s emergency management system to prepare for and respond to all emergency management events.</w:t>
            </w:r>
          </w:p>
          <w:p w:rsidR="008C1A6E" w:rsidRPr="008A1758" w:rsidRDefault="008C1A6E" w:rsidP="00326941">
            <w:pPr>
              <w:pStyle w:val="ListParagraph"/>
              <w:numPr>
                <w:ilvl w:val="0"/>
                <w:numId w:val="20"/>
              </w:numPr>
              <w:spacing w:after="120" w:line="270" w:lineRule="atLeast"/>
              <w:rPr>
                <w:sz w:val="20"/>
                <w:szCs w:val="20"/>
              </w:rPr>
            </w:pPr>
            <w:r w:rsidRPr="008A1758">
              <w:rPr>
                <w:sz w:val="20"/>
                <w:szCs w:val="20"/>
              </w:rPr>
              <w:t>Scoping work has been undertaken by EMV with relevant agencies to determine the needs of the ‘Next Generation State Control Centre’ in order to ensure facilitation of increased information sharing between EMV, DHHS, AV and the broader EM sector.</w:t>
            </w:r>
          </w:p>
          <w:p w:rsidR="008C1A6E" w:rsidRPr="008A1758" w:rsidRDefault="008C1A6E" w:rsidP="00326941">
            <w:pPr>
              <w:pStyle w:val="ListParagraph"/>
              <w:numPr>
                <w:ilvl w:val="0"/>
                <w:numId w:val="20"/>
              </w:numPr>
              <w:spacing w:after="120" w:line="270" w:lineRule="atLeast"/>
              <w:rPr>
                <w:sz w:val="20"/>
                <w:szCs w:val="20"/>
              </w:rPr>
            </w:pPr>
            <w:r w:rsidRPr="008A1758">
              <w:rPr>
                <w:sz w:val="20"/>
                <w:szCs w:val="20"/>
              </w:rPr>
              <w:t xml:space="preserve">DHHS is also developing guidance that outlines the process for DHHS to activate the State Control Centre (SCC) should it </w:t>
            </w:r>
            <w:r>
              <w:rPr>
                <w:sz w:val="20"/>
                <w:szCs w:val="20"/>
              </w:rPr>
              <w:t>be determined that</w:t>
            </w:r>
            <w:r w:rsidRPr="008A1758">
              <w:rPr>
                <w:sz w:val="20"/>
                <w:szCs w:val="20"/>
              </w:rPr>
              <w:t xml:space="preserve"> use of that facility is appropriate. </w:t>
            </w:r>
          </w:p>
          <w:p w:rsidR="008C1A6E" w:rsidRPr="008A1758" w:rsidRDefault="008C1A6E" w:rsidP="00326941">
            <w:pPr>
              <w:pStyle w:val="ListParagraph"/>
              <w:numPr>
                <w:ilvl w:val="0"/>
                <w:numId w:val="20"/>
              </w:numPr>
              <w:spacing w:after="120" w:line="270" w:lineRule="atLeast"/>
              <w:rPr>
                <w:sz w:val="20"/>
                <w:szCs w:val="20"/>
              </w:rPr>
            </w:pPr>
            <w:r w:rsidRPr="008A1758">
              <w:rPr>
                <w:rFonts w:cs="Helv"/>
                <w:color w:val="000000"/>
                <w:sz w:val="20"/>
                <w:szCs w:val="20"/>
              </w:rPr>
              <w:t xml:space="preserve">The State Control Centre (SCC) will be provided with a web-based view of the </w:t>
            </w:r>
            <w:r>
              <w:rPr>
                <w:rFonts w:cs="Helv"/>
                <w:color w:val="000000"/>
                <w:sz w:val="20"/>
                <w:szCs w:val="20"/>
              </w:rPr>
              <w:t xml:space="preserve">REDITS </w:t>
            </w:r>
            <w:r w:rsidRPr="008A1758">
              <w:rPr>
                <w:rFonts w:cs="Helv"/>
                <w:color w:val="000000"/>
                <w:sz w:val="20"/>
                <w:szCs w:val="20"/>
              </w:rPr>
              <w:t xml:space="preserve">Geospatial dashboard to display the location of all emergency departments and </w:t>
            </w:r>
            <w:r>
              <w:rPr>
                <w:rFonts w:cs="Helv"/>
                <w:color w:val="000000"/>
                <w:sz w:val="20"/>
                <w:szCs w:val="20"/>
              </w:rPr>
              <w:t xml:space="preserve">which </w:t>
            </w:r>
            <w:r w:rsidRPr="008A1758">
              <w:rPr>
                <w:rFonts w:cs="Helv"/>
                <w:color w:val="000000"/>
                <w:sz w:val="20"/>
                <w:szCs w:val="20"/>
              </w:rPr>
              <w:t>visibly indicate</w:t>
            </w:r>
            <w:r>
              <w:rPr>
                <w:rFonts w:cs="Helv"/>
                <w:color w:val="000000"/>
                <w:sz w:val="20"/>
                <w:szCs w:val="20"/>
              </w:rPr>
              <w:t>s</w:t>
            </w:r>
            <w:r w:rsidRPr="008A1758">
              <w:rPr>
                <w:rFonts w:cs="Helv"/>
                <w:color w:val="000000"/>
                <w:sz w:val="20"/>
                <w:szCs w:val="20"/>
              </w:rPr>
              <w:t xml:space="preserve"> when emergency departments breach certain thresholds.</w:t>
            </w:r>
          </w:p>
        </w:tc>
        <w:tc>
          <w:tcPr>
            <w:tcW w:w="6555" w:type="dxa"/>
            <w:tcBorders>
              <w:top w:val="double" w:sz="4" w:space="0" w:color="0070C0"/>
            </w:tcBorders>
          </w:tcPr>
          <w:p w:rsidR="008C1A6E" w:rsidRPr="00B82847" w:rsidRDefault="008C1A6E" w:rsidP="00326941">
            <w:pPr>
              <w:spacing w:after="120" w:line="270" w:lineRule="atLeast"/>
              <w:rPr>
                <w:sz w:val="20"/>
                <w:szCs w:val="20"/>
              </w:rPr>
            </w:pPr>
            <w:r w:rsidRPr="00B82847">
              <w:rPr>
                <w:sz w:val="20"/>
                <w:szCs w:val="20"/>
              </w:rPr>
              <w:t xml:space="preserve">The Next Generation State Control Centre (NGSCC) project </w:t>
            </w:r>
            <w:r>
              <w:rPr>
                <w:sz w:val="20"/>
                <w:szCs w:val="20"/>
              </w:rPr>
              <w:t xml:space="preserve">to identify </w:t>
            </w:r>
            <w:r w:rsidRPr="00B82847">
              <w:rPr>
                <w:sz w:val="20"/>
                <w:szCs w:val="20"/>
              </w:rPr>
              <w:t xml:space="preserve">opportunities to better integrate both class 1 and 2 emergencies and also support class 3 emergencies, </w:t>
            </w:r>
            <w:r>
              <w:rPr>
                <w:sz w:val="20"/>
                <w:szCs w:val="20"/>
              </w:rPr>
              <w:t>including</w:t>
            </w:r>
            <w:r w:rsidRPr="00B82847">
              <w:rPr>
                <w:sz w:val="20"/>
                <w:szCs w:val="20"/>
              </w:rPr>
              <w:t xml:space="preserve"> the integration of early relief and recovery.</w:t>
            </w:r>
          </w:p>
        </w:tc>
        <w:tc>
          <w:tcPr>
            <w:tcW w:w="1842" w:type="dxa"/>
            <w:tcBorders>
              <w:top w:val="double" w:sz="4" w:space="0" w:color="0070C0"/>
            </w:tcBorders>
          </w:tcPr>
          <w:p w:rsidR="008C1A6E" w:rsidRPr="00B82847" w:rsidRDefault="00F35BC6" w:rsidP="00E94ED1">
            <w:pPr>
              <w:rPr>
                <w:sz w:val="20"/>
                <w:szCs w:val="20"/>
              </w:rPr>
            </w:pPr>
            <w:r>
              <w:rPr>
                <w:sz w:val="20"/>
                <w:szCs w:val="20"/>
              </w:rPr>
              <w:t>December 2016</w:t>
            </w:r>
          </w:p>
        </w:tc>
      </w:tr>
      <w:tr w:rsidR="008C1A6E" w:rsidRPr="00FB3E85" w:rsidTr="00E94ED1">
        <w:tc>
          <w:tcPr>
            <w:tcW w:w="6912" w:type="dxa"/>
            <w:vMerge/>
          </w:tcPr>
          <w:p w:rsidR="008C1A6E" w:rsidRPr="003A1422" w:rsidRDefault="008C1A6E" w:rsidP="00326941">
            <w:pPr>
              <w:spacing w:after="120" w:line="270" w:lineRule="atLeast"/>
              <w:rPr>
                <w:sz w:val="20"/>
                <w:szCs w:val="20"/>
              </w:rPr>
            </w:pPr>
          </w:p>
        </w:tc>
        <w:tc>
          <w:tcPr>
            <w:tcW w:w="6555" w:type="dxa"/>
          </w:tcPr>
          <w:p w:rsidR="008C1A6E" w:rsidRPr="008A1758" w:rsidRDefault="008C1A6E" w:rsidP="00326941">
            <w:pPr>
              <w:spacing w:after="120" w:line="270" w:lineRule="atLeast"/>
              <w:rPr>
                <w:sz w:val="20"/>
                <w:szCs w:val="20"/>
              </w:rPr>
            </w:pPr>
            <w:r w:rsidRPr="008A1758">
              <w:rPr>
                <w:sz w:val="20"/>
                <w:szCs w:val="20"/>
              </w:rPr>
              <w:t>Guidance for arrangements to activate SCC</w:t>
            </w:r>
            <w:r>
              <w:rPr>
                <w:sz w:val="20"/>
                <w:szCs w:val="20"/>
              </w:rPr>
              <w:t>.</w:t>
            </w:r>
          </w:p>
        </w:tc>
        <w:tc>
          <w:tcPr>
            <w:tcW w:w="1842" w:type="dxa"/>
          </w:tcPr>
          <w:p w:rsidR="008C1A6E" w:rsidRPr="008A1758" w:rsidRDefault="008C1A6E" w:rsidP="00326941">
            <w:pPr>
              <w:rPr>
                <w:sz w:val="20"/>
                <w:szCs w:val="20"/>
              </w:rPr>
            </w:pPr>
            <w:r w:rsidRPr="008A1758">
              <w:rPr>
                <w:sz w:val="20"/>
                <w:szCs w:val="20"/>
              </w:rPr>
              <w:t>1 October 2017</w:t>
            </w:r>
          </w:p>
        </w:tc>
      </w:tr>
      <w:tr w:rsidR="008C1A6E" w:rsidRPr="00FB3E85" w:rsidTr="00E94ED1">
        <w:tc>
          <w:tcPr>
            <w:tcW w:w="6912" w:type="dxa"/>
            <w:vMerge/>
          </w:tcPr>
          <w:p w:rsidR="008C1A6E" w:rsidRPr="003A1422" w:rsidRDefault="008C1A6E" w:rsidP="00326941">
            <w:pPr>
              <w:spacing w:after="120" w:line="270" w:lineRule="atLeast"/>
              <w:rPr>
                <w:sz w:val="20"/>
                <w:szCs w:val="20"/>
              </w:rPr>
            </w:pPr>
          </w:p>
        </w:tc>
        <w:tc>
          <w:tcPr>
            <w:tcW w:w="6555" w:type="dxa"/>
          </w:tcPr>
          <w:p w:rsidR="008C1A6E" w:rsidRPr="008A1758" w:rsidRDefault="008C1A6E" w:rsidP="00326941">
            <w:pPr>
              <w:spacing w:after="120" w:line="270" w:lineRule="atLeast"/>
              <w:rPr>
                <w:sz w:val="20"/>
                <w:szCs w:val="20"/>
              </w:rPr>
            </w:pPr>
            <w:r>
              <w:rPr>
                <w:rFonts w:cs="Helv"/>
                <w:color w:val="000000"/>
                <w:sz w:val="20"/>
                <w:szCs w:val="20"/>
              </w:rPr>
              <w:t>Provision of</w:t>
            </w:r>
            <w:r w:rsidRPr="008A1758">
              <w:rPr>
                <w:rFonts w:cs="Helv"/>
                <w:color w:val="000000"/>
                <w:sz w:val="20"/>
                <w:szCs w:val="20"/>
              </w:rPr>
              <w:t xml:space="preserve"> a web-based view of the </w:t>
            </w:r>
            <w:r>
              <w:rPr>
                <w:rFonts w:cs="Helv"/>
                <w:color w:val="000000"/>
                <w:sz w:val="20"/>
                <w:szCs w:val="20"/>
              </w:rPr>
              <w:t>REDITS g</w:t>
            </w:r>
            <w:r w:rsidRPr="008A1758">
              <w:rPr>
                <w:rFonts w:cs="Helv"/>
                <w:color w:val="000000"/>
                <w:sz w:val="20"/>
                <w:szCs w:val="20"/>
              </w:rPr>
              <w:t xml:space="preserve">eospatial dashboard </w:t>
            </w:r>
            <w:r>
              <w:rPr>
                <w:rFonts w:cs="Helv"/>
                <w:color w:val="000000"/>
                <w:sz w:val="20"/>
                <w:szCs w:val="20"/>
              </w:rPr>
              <w:t xml:space="preserve">to the SCC </w:t>
            </w:r>
          </w:p>
        </w:tc>
        <w:tc>
          <w:tcPr>
            <w:tcW w:w="1842" w:type="dxa"/>
          </w:tcPr>
          <w:p w:rsidR="008C1A6E" w:rsidRPr="008A1758" w:rsidRDefault="008C1A6E" w:rsidP="00326941">
            <w:pPr>
              <w:rPr>
                <w:sz w:val="20"/>
                <w:szCs w:val="20"/>
              </w:rPr>
            </w:pPr>
            <w:r>
              <w:rPr>
                <w:sz w:val="20"/>
                <w:szCs w:val="20"/>
              </w:rPr>
              <w:t>30 November 2017</w:t>
            </w:r>
          </w:p>
        </w:tc>
      </w:tr>
      <w:tr w:rsidR="008C1A6E" w:rsidRPr="00FB3E85" w:rsidTr="00E94ED1">
        <w:tc>
          <w:tcPr>
            <w:tcW w:w="6912" w:type="dxa"/>
            <w:vMerge/>
          </w:tcPr>
          <w:p w:rsidR="008C1A6E" w:rsidRPr="003A1422" w:rsidRDefault="008C1A6E" w:rsidP="00326941">
            <w:pPr>
              <w:spacing w:after="120" w:line="270" w:lineRule="atLeast"/>
              <w:rPr>
                <w:sz w:val="20"/>
                <w:szCs w:val="20"/>
              </w:rPr>
            </w:pPr>
          </w:p>
        </w:tc>
        <w:tc>
          <w:tcPr>
            <w:tcW w:w="6555" w:type="dxa"/>
          </w:tcPr>
          <w:p w:rsidR="008C1A6E" w:rsidRPr="00B82847" w:rsidRDefault="008C1A6E" w:rsidP="00326941">
            <w:pPr>
              <w:spacing w:after="120" w:line="270" w:lineRule="atLeast"/>
              <w:rPr>
                <w:sz w:val="20"/>
                <w:szCs w:val="20"/>
              </w:rPr>
            </w:pPr>
            <w:r>
              <w:rPr>
                <w:sz w:val="20"/>
                <w:szCs w:val="20"/>
              </w:rPr>
              <w:t>S</w:t>
            </w:r>
            <w:r w:rsidRPr="00B82847">
              <w:rPr>
                <w:sz w:val="20"/>
                <w:szCs w:val="20"/>
              </w:rPr>
              <w:t>coping work to facilitate  information sharing between EMV and DHHS/AV before, during and after major health emergencies and during recovery operations.</w:t>
            </w:r>
          </w:p>
        </w:tc>
        <w:tc>
          <w:tcPr>
            <w:tcW w:w="1842" w:type="dxa"/>
          </w:tcPr>
          <w:p w:rsidR="008C1A6E" w:rsidRPr="00B82847" w:rsidRDefault="008C1A6E" w:rsidP="00E94ED1">
            <w:pPr>
              <w:rPr>
                <w:sz w:val="20"/>
                <w:szCs w:val="20"/>
              </w:rPr>
            </w:pPr>
            <w:r w:rsidRPr="00B82847">
              <w:rPr>
                <w:sz w:val="20"/>
                <w:szCs w:val="20"/>
              </w:rPr>
              <w:t>1 Dec</w:t>
            </w:r>
            <w:r>
              <w:rPr>
                <w:sz w:val="20"/>
                <w:szCs w:val="20"/>
              </w:rPr>
              <w:t>ember</w:t>
            </w:r>
            <w:r w:rsidRPr="00B82847">
              <w:rPr>
                <w:sz w:val="20"/>
                <w:szCs w:val="20"/>
              </w:rPr>
              <w:t xml:space="preserve"> 2017</w:t>
            </w:r>
          </w:p>
        </w:tc>
      </w:tr>
      <w:tr w:rsidR="008C1A6E" w:rsidRPr="00FB3E85" w:rsidTr="00E94ED1">
        <w:trPr>
          <w:trHeight w:val="505"/>
        </w:trPr>
        <w:tc>
          <w:tcPr>
            <w:tcW w:w="6912" w:type="dxa"/>
            <w:vMerge/>
          </w:tcPr>
          <w:p w:rsidR="008C1A6E" w:rsidRPr="00487309" w:rsidRDefault="008C1A6E" w:rsidP="00326941">
            <w:pPr>
              <w:spacing w:after="120" w:line="270" w:lineRule="atLeast"/>
              <w:rPr>
                <w:color w:val="FF0000"/>
                <w:sz w:val="20"/>
                <w:szCs w:val="20"/>
              </w:rPr>
            </w:pPr>
          </w:p>
        </w:tc>
        <w:tc>
          <w:tcPr>
            <w:tcW w:w="6555" w:type="dxa"/>
          </w:tcPr>
          <w:p w:rsidR="008C1A6E" w:rsidRPr="00B82847" w:rsidRDefault="008C1A6E" w:rsidP="00326941">
            <w:pPr>
              <w:spacing w:after="120" w:line="270" w:lineRule="atLeast"/>
              <w:rPr>
                <w:sz w:val="20"/>
                <w:szCs w:val="20"/>
              </w:rPr>
            </w:pPr>
            <w:r w:rsidRPr="00B82847">
              <w:rPr>
                <w:sz w:val="20"/>
                <w:szCs w:val="20"/>
              </w:rPr>
              <w:t>Identification of key data and systems to be incorporated into the SCC and EM-COP to improve situational awareness of health emergencies.</w:t>
            </w:r>
          </w:p>
        </w:tc>
        <w:tc>
          <w:tcPr>
            <w:tcW w:w="1842" w:type="dxa"/>
          </w:tcPr>
          <w:p w:rsidR="008C1A6E" w:rsidRPr="00B82847" w:rsidRDefault="008C1A6E" w:rsidP="00E94ED1">
            <w:pPr>
              <w:rPr>
                <w:sz w:val="20"/>
                <w:szCs w:val="20"/>
              </w:rPr>
            </w:pPr>
            <w:r w:rsidRPr="00B82847">
              <w:rPr>
                <w:sz w:val="20"/>
                <w:szCs w:val="20"/>
              </w:rPr>
              <w:t>30 June 2018</w:t>
            </w:r>
          </w:p>
        </w:tc>
      </w:tr>
      <w:tr w:rsidR="008C1A6E" w:rsidRPr="00FB3E85" w:rsidTr="00E94ED1">
        <w:trPr>
          <w:trHeight w:val="505"/>
        </w:trPr>
        <w:tc>
          <w:tcPr>
            <w:tcW w:w="6912" w:type="dxa"/>
            <w:vMerge/>
          </w:tcPr>
          <w:p w:rsidR="008C1A6E" w:rsidRPr="00B82847" w:rsidRDefault="008C1A6E" w:rsidP="00326941">
            <w:pPr>
              <w:spacing w:after="120" w:line="270" w:lineRule="atLeast"/>
              <w:rPr>
                <w:b/>
                <w:sz w:val="20"/>
                <w:szCs w:val="20"/>
              </w:rPr>
            </w:pPr>
          </w:p>
        </w:tc>
        <w:tc>
          <w:tcPr>
            <w:tcW w:w="6555" w:type="dxa"/>
          </w:tcPr>
          <w:p w:rsidR="008C1A6E" w:rsidRPr="00B82847" w:rsidRDefault="008C1A6E" w:rsidP="00326941">
            <w:pPr>
              <w:rPr>
                <w:sz w:val="20"/>
                <w:szCs w:val="20"/>
              </w:rPr>
            </w:pPr>
            <w:r w:rsidRPr="00B82847">
              <w:rPr>
                <w:sz w:val="20"/>
                <w:szCs w:val="20"/>
              </w:rPr>
              <w:t xml:space="preserve">Review </w:t>
            </w:r>
            <w:r>
              <w:rPr>
                <w:sz w:val="20"/>
                <w:szCs w:val="20"/>
              </w:rPr>
              <w:t>MOU</w:t>
            </w:r>
            <w:r w:rsidRPr="00B82847">
              <w:rPr>
                <w:sz w:val="20"/>
                <w:szCs w:val="20"/>
              </w:rPr>
              <w:t xml:space="preserve"> for use of SCC resources </w:t>
            </w:r>
            <w:r>
              <w:rPr>
                <w:sz w:val="20"/>
                <w:szCs w:val="20"/>
              </w:rPr>
              <w:t>and</w:t>
            </w:r>
            <w:r w:rsidRPr="00B82847">
              <w:rPr>
                <w:sz w:val="20"/>
                <w:szCs w:val="20"/>
              </w:rPr>
              <w:t xml:space="preserve"> consider appropriateness for inclusion of DHHS and AV.</w:t>
            </w:r>
          </w:p>
        </w:tc>
        <w:tc>
          <w:tcPr>
            <w:tcW w:w="1842" w:type="dxa"/>
          </w:tcPr>
          <w:p w:rsidR="008C1A6E" w:rsidRPr="00FB3E85" w:rsidRDefault="008C1A6E" w:rsidP="00326941">
            <w:pPr>
              <w:rPr>
                <w:sz w:val="20"/>
                <w:szCs w:val="20"/>
              </w:rPr>
            </w:pPr>
            <w:r>
              <w:rPr>
                <w:sz w:val="20"/>
                <w:szCs w:val="20"/>
              </w:rPr>
              <w:t>30 June 2018.</w:t>
            </w:r>
          </w:p>
        </w:tc>
      </w:tr>
    </w:tbl>
    <w:p w:rsidR="00355FD7" w:rsidRDefault="00355FD7" w:rsidP="00326941">
      <w:pPr>
        <w:outlineLvl w:val="0"/>
        <w:rPr>
          <w:sz w:val="28"/>
          <w:szCs w:val="28"/>
        </w:rPr>
      </w:pPr>
    </w:p>
    <w:p w:rsidR="00355FD7" w:rsidRDefault="00355FD7">
      <w:pPr>
        <w:spacing w:after="0" w:line="240" w:lineRule="auto"/>
        <w:rPr>
          <w:sz w:val="28"/>
          <w:szCs w:val="28"/>
        </w:rPr>
      </w:pPr>
      <w:r>
        <w:rPr>
          <w:sz w:val="28"/>
          <w:szCs w:val="28"/>
        </w:rPr>
        <w:br w:type="page"/>
      </w:r>
    </w:p>
    <w:p w:rsidR="00326941" w:rsidRPr="00584192" w:rsidRDefault="00326941" w:rsidP="00326941">
      <w:pPr>
        <w:outlineLvl w:val="0"/>
        <w:rPr>
          <w:sz w:val="28"/>
          <w:szCs w:val="28"/>
        </w:rPr>
      </w:pPr>
      <w:r w:rsidRPr="00584192">
        <w:rPr>
          <w:sz w:val="28"/>
          <w:szCs w:val="28"/>
        </w:rPr>
        <w:lastRenderedPageBreak/>
        <w:t xml:space="preserve">Recommendation </w:t>
      </w:r>
      <w:r>
        <w:rPr>
          <w:sz w:val="28"/>
          <w:szCs w:val="28"/>
        </w:rPr>
        <w:t xml:space="preserve">15 </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8C1A6E" w:rsidRPr="008831A1" w:rsidTr="00E94ED1">
        <w:tc>
          <w:tcPr>
            <w:tcW w:w="691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Government response (Lead agency: EMV)</w:t>
            </w:r>
          </w:p>
        </w:tc>
        <w:tc>
          <w:tcPr>
            <w:tcW w:w="6555"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Completion date</w:t>
            </w:r>
          </w:p>
        </w:tc>
      </w:tr>
      <w:tr w:rsidR="008C1A6E" w:rsidRPr="00FB3E85" w:rsidTr="00355FD7">
        <w:trPr>
          <w:trHeight w:val="2328"/>
        </w:trPr>
        <w:tc>
          <w:tcPr>
            <w:tcW w:w="6912" w:type="dxa"/>
            <w:tcBorders>
              <w:top w:val="double" w:sz="4" w:space="0" w:color="0070C0"/>
            </w:tcBorders>
          </w:tcPr>
          <w:p w:rsidR="008C1A6E" w:rsidRDefault="008C1A6E" w:rsidP="00326941">
            <w:pPr>
              <w:spacing w:after="120" w:line="270" w:lineRule="atLeast"/>
              <w:rPr>
                <w:sz w:val="20"/>
                <w:szCs w:val="20"/>
              </w:rPr>
            </w:pPr>
            <w:r w:rsidRPr="00641E1F">
              <w:rPr>
                <w:sz w:val="20"/>
                <w:szCs w:val="20"/>
              </w:rPr>
              <w:t xml:space="preserve">The government strongly encourages all responding agencies ‘working as one’ before, during and after emergencies to improve the emergency management sector’s capability and capacity. </w:t>
            </w:r>
          </w:p>
          <w:p w:rsidR="008C1A6E" w:rsidRPr="00641E1F" w:rsidRDefault="008C1A6E" w:rsidP="00E94ED1">
            <w:pPr>
              <w:spacing w:after="120" w:line="270" w:lineRule="atLeast"/>
              <w:rPr>
                <w:sz w:val="20"/>
                <w:szCs w:val="20"/>
              </w:rPr>
            </w:pPr>
            <w:r w:rsidRPr="00641E1F">
              <w:rPr>
                <w:sz w:val="20"/>
                <w:szCs w:val="20"/>
              </w:rPr>
              <w:t>The joint activities of responding agencies that occurred during thunderstorm asthma has been discussed by heads of agencies at the State Control Team.  It was agreed in principle that these activities should form part of any future response to rapid-onset, large scale events. This will be formally recognised through an exchange of letters between heads of agencies.</w:t>
            </w:r>
          </w:p>
        </w:tc>
        <w:tc>
          <w:tcPr>
            <w:tcW w:w="6555" w:type="dxa"/>
            <w:tcBorders>
              <w:top w:val="double" w:sz="4" w:space="0" w:color="0070C0"/>
            </w:tcBorders>
          </w:tcPr>
          <w:p w:rsidR="008C1A6E" w:rsidRDefault="008C1A6E" w:rsidP="00E94ED1">
            <w:pPr>
              <w:rPr>
                <w:sz w:val="20"/>
                <w:szCs w:val="20"/>
              </w:rPr>
            </w:pPr>
            <w:r>
              <w:rPr>
                <w:sz w:val="20"/>
                <w:szCs w:val="20"/>
              </w:rPr>
              <w:t>Ambulance Victoria to formally write to Emergency Management Victoria, Victoria Police, the Metropolitan Fire Brigade and the Country Fire Authority.</w:t>
            </w:r>
          </w:p>
        </w:tc>
        <w:tc>
          <w:tcPr>
            <w:tcW w:w="1842" w:type="dxa"/>
            <w:tcBorders>
              <w:top w:val="double" w:sz="4" w:space="0" w:color="0070C0"/>
            </w:tcBorders>
          </w:tcPr>
          <w:p w:rsidR="008C1A6E" w:rsidRDefault="008C1A6E" w:rsidP="00326941">
            <w:pPr>
              <w:rPr>
                <w:sz w:val="20"/>
                <w:szCs w:val="20"/>
              </w:rPr>
            </w:pPr>
            <w:r>
              <w:rPr>
                <w:sz w:val="20"/>
                <w:szCs w:val="20"/>
              </w:rPr>
              <w:t>1 November 2017</w:t>
            </w:r>
          </w:p>
        </w:tc>
      </w:tr>
    </w:tbl>
    <w:p w:rsidR="00326941" w:rsidRDefault="00326941" w:rsidP="00326941"/>
    <w:p w:rsidR="00EB504B" w:rsidRDefault="00EB504B">
      <w:pPr>
        <w:spacing w:after="0" w:line="240" w:lineRule="auto"/>
        <w:rPr>
          <w:sz w:val="28"/>
          <w:szCs w:val="28"/>
        </w:rPr>
      </w:pPr>
      <w:r>
        <w:rPr>
          <w:sz w:val="28"/>
          <w:szCs w:val="28"/>
        </w:rPr>
        <w:br w:type="page"/>
      </w:r>
    </w:p>
    <w:p w:rsidR="00326941" w:rsidRPr="00584192" w:rsidRDefault="00326941" w:rsidP="00326941">
      <w:pPr>
        <w:outlineLvl w:val="0"/>
        <w:rPr>
          <w:sz w:val="28"/>
          <w:szCs w:val="28"/>
        </w:rPr>
      </w:pPr>
      <w:r w:rsidRPr="00584192">
        <w:rPr>
          <w:sz w:val="28"/>
          <w:szCs w:val="28"/>
        </w:rPr>
        <w:lastRenderedPageBreak/>
        <w:t xml:space="preserve">Recommendation </w:t>
      </w:r>
      <w:r>
        <w:rPr>
          <w:sz w:val="28"/>
          <w:szCs w:val="28"/>
        </w:rPr>
        <w:t>16</w:t>
      </w:r>
    </w:p>
    <w:tbl>
      <w:tblPr>
        <w:tblStyle w:val="TableGrid"/>
        <w:tblW w:w="15309" w:type="dxa"/>
        <w:tblCellMar>
          <w:top w:w="113" w:type="dxa"/>
        </w:tblCellMar>
        <w:tblLook w:val="04A0" w:firstRow="1" w:lastRow="0" w:firstColumn="1" w:lastColumn="0" w:noHBand="0" w:noVBand="1"/>
      </w:tblPr>
      <w:tblGrid>
        <w:gridCol w:w="6912"/>
        <w:gridCol w:w="6555"/>
        <w:gridCol w:w="1842"/>
      </w:tblGrid>
      <w:tr w:rsidR="008C1A6E" w:rsidRPr="008831A1" w:rsidTr="00E94ED1">
        <w:tc>
          <w:tcPr>
            <w:tcW w:w="691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Government response (Lead agency: DHHS)</w:t>
            </w:r>
          </w:p>
        </w:tc>
        <w:tc>
          <w:tcPr>
            <w:tcW w:w="6555"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Actions/Deliverables</w:t>
            </w:r>
          </w:p>
        </w:tc>
        <w:tc>
          <w:tcPr>
            <w:tcW w:w="1842" w:type="dxa"/>
            <w:tcBorders>
              <w:top w:val="double" w:sz="4" w:space="0" w:color="0070C0"/>
              <w:left w:val="nil"/>
              <w:bottom w:val="double" w:sz="4" w:space="0" w:color="0070C0"/>
              <w:right w:val="nil"/>
            </w:tcBorders>
            <w:shd w:val="clear" w:color="auto" w:fill="548DD4"/>
          </w:tcPr>
          <w:p w:rsidR="008C1A6E" w:rsidRPr="00326941" w:rsidRDefault="008C1A6E" w:rsidP="00326941">
            <w:pPr>
              <w:rPr>
                <w:b/>
                <w:color w:val="FFFFFF"/>
                <w:sz w:val="20"/>
                <w:szCs w:val="20"/>
              </w:rPr>
            </w:pPr>
            <w:r w:rsidRPr="00326941">
              <w:rPr>
                <w:b/>
                <w:color w:val="FFFFFF"/>
                <w:sz w:val="20"/>
                <w:szCs w:val="20"/>
              </w:rPr>
              <w:t>Completion date</w:t>
            </w:r>
          </w:p>
        </w:tc>
      </w:tr>
      <w:tr w:rsidR="008C1A6E" w:rsidRPr="00FB3E85" w:rsidTr="00E94ED1">
        <w:tc>
          <w:tcPr>
            <w:tcW w:w="6912" w:type="dxa"/>
            <w:vMerge w:val="restart"/>
            <w:tcBorders>
              <w:top w:val="double" w:sz="4" w:space="0" w:color="0070C0"/>
            </w:tcBorders>
          </w:tcPr>
          <w:p w:rsidR="008C1A6E" w:rsidRPr="00B82847" w:rsidRDefault="008C1A6E" w:rsidP="00326941">
            <w:pPr>
              <w:spacing w:after="120" w:line="270" w:lineRule="atLeast"/>
              <w:rPr>
                <w:sz w:val="20"/>
                <w:szCs w:val="20"/>
              </w:rPr>
            </w:pPr>
            <w:r w:rsidRPr="00B82847">
              <w:rPr>
                <w:sz w:val="20"/>
                <w:szCs w:val="20"/>
              </w:rPr>
              <w:t>The government supports the sharing of timely information between relevant departments and agencies before, during and after emergencies to drive effective outcomes.</w:t>
            </w:r>
          </w:p>
          <w:p w:rsidR="008C1A6E" w:rsidRPr="00B82847" w:rsidRDefault="008C1A6E" w:rsidP="00326941">
            <w:pPr>
              <w:spacing w:after="120" w:line="270" w:lineRule="atLeast"/>
              <w:rPr>
                <w:sz w:val="20"/>
                <w:szCs w:val="20"/>
              </w:rPr>
            </w:pPr>
            <w:r w:rsidRPr="00B82847">
              <w:rPr>
                <w:sz w:val="20"/>
                <w:szCs w:val="20"/>
              </w:rPr>
              <w:t>EMV will develop a business case to scope the resources required to review existing information sharing processes and policies to identify any gaps that may inhibit information' sharing practices of response agencies.</w:t>
            </w:r>
          </w:p>
          <w:p w:rsidR="008C1A6E" w:rsidRPr="00B82847" w:rsidRDefault="008C1A6E" w:rsidP="00326941">
            <w:pPr>
              <w:spacing w:after="120" w:line="270" w:lineRule="atLeast"/>
              <w:rPr>
                <w:sz w:val="20"/>
                <w:szCs w:val="20"/>
              </w:rPr>
            </w:pPr>
            <w:r w:rsidRPr="00B82847">
              <w:rPr>
                <w:sz w:val="20"/>
                <w:szCs w:val="20"/>
              </w:rPr>
              <w:t>DHHS has developed and implemented an Emergency Incident Casualty Data Collection Protocol in February 2017.  This protocol details the procedures for the sharing of emergency incident information (casualty information) between health services and DHHS in the management of an emergency.</w:t>
            </w:r>
          </w:p>
          <w:p w:rsidR="008C1A6E" w:rsidRPr="00B82847" w:rsidRDefault="008C1A6E" w:rsidP="00326941">
            <w:pPr>
              <w:spacing w:after="120" w:line="270" w:lineRule="atLeast"/>
              <w:rPr>
                <w:sz w:val="20"/>
                <w:szCs w:val="20"/>
              </w:rPr>
            </w:pPr>
            <w:r w:rsidRPr="00B82847">
              <w:rPr>
                <w:sz w:val="20"/>
                <w:szCs w:val="20"/>
              </w:rPr>
              <w:t xml:space="preserve">The protocol applies to all Victorian private and public health services with an Emergency Department or Urgent Care Centre. It is activated by DHHS in an emergency, for example a Level 2 or Level 3 event under the State Health Emergency Response Plan </w:t>
            </w:r>
            <w:r>
              <w:rPr>
                <w:sz w:val="20"/>
                <w:szCs w:val="20"/>
              </w:rPr>
              <w:t>edition</w:t>
            </w:r>
            <w:r w:rsidRPr="00B82847">
              <w:rPr>
                <w:sz w:val="20"/>
                <w:szCs w:val="20"/>
              </w:rPr>
              <w:t xml:space="preserve"> 4 (SHERP4).</w:t>
            </w:r>
          </w:p>
          <w:p w:rsidR="008C1A6E" w:rsidRPr="00B82847" w:rsidRDefault="008C1A6E" w:rsidP="00326941">
            <w:pPr>
              <w:spacing w:after="120" w:line="270" w:lineRule="atLeast"/>
              <w:rPr>
                <w:sz w:val="20"/>
                <w:szCs w:val="20"/>
              </w:rPr>
            </w:pPr>
            <w:r w:rsidRPr="00B82847">
              <w:rPr>
                <w:sz w:val="20"/>
                <w:szCs w:val="20"/>
              </w:rPr>
              <w:t>The objectives of the protocol are to collate reliable, accurate, timely and consistent information on presentations to health services resulting from an emergency incident, in order for DHHS to:</w:t>
            </w:r>
          </w:p>
          <w:p w:rsidR="008C1A6E" w:rsidRPr="00B82847" w:rsidRDefault="008C1A6E" w:rsidP="00326941">
            <w:pPr>
              <w:spacing w:after="120" w:line="270" w:lineRule="atLeast"/>
              <w:rPr>
                <w:sz w:val="20"/>
                <w:szCs w:val="20"/>
              </w:rPr>
            </w:pPr>
            <w:r w:rsidRPr="00B82847">
              <w:rPr>
                <w:sz w:val="20"/>
                <w:szCs w:val="20"/>
              </w:rPr>
              <w:t>• facilitate information s</w:t>
            </w:r>
            <w:r>
              <w:rPr>
                <w:sz w:val="20"/>
                <w:szCs w:val="20"/>
              </w:rPr>
              <w:t>haring between key stakeholders</w:t>
            </w:r>
          </w:p>
          <w:p w:rsidR="008C1A6E" w:rsidRPr="00B82847" w:rsidRDefault="008C1A6E" w:rsidP="00326941">
            <w:pPr>
              <w:spacing w:after="120" w:line="270" w:lineRule="atLeast"/>
              <w:rPr>
                <w:sz w:val="20"/>
                <w:szCs w:val="20"/>
              </w:rPr>
            </w:pPr>
            <w:r w:rsidRPr="00B82847">
              <w:rPr>
                <w:sz w:val="20"/>
                <w:szCs w:val="20"/>
              </w:rPr>
              <w:t>• meet its respons</w:t>
            </w:r>
            <w:r>
              <w:rPr>
                <w:sz w:val="20"/>
                <w:szCs w:val="20"/>
              </w:rPr>
              <w:t>ibilities under the SHERP4</w:t>
            </w:r>
          </w:p>
          <w:p w:rsidR="008C1A6E" w:rsidRPr="00B82847" w:rsidRDefault="008C1A6E" w:rsidP="00326941">
            <w:pPr>
              <w:spacing w:after="120" w:line="270" w:lineRule="atLeast"/>
              <w:rPr>
                <w:sz w:val="20"/>
                <w:szCs w:val="20"/>
              </w:rPr>
            </w:pPr>
            <w:r w:rsidRPr="00B82847">
              <w:rPr>
                <w:sz w:val="20"/>
                <w:szCs w:val="20"/>
              </w:rPr>
              <w:t>• provide information to Victoria Police for law enforcement purposes.</w:t>
            </w:r>
          </w:p>
        </w:tc>
        <w:tc>
          <w:tcPr>
            <w:tcW w:w="6555" w:type="dxa"/>
            <w:tcBorders>
              <w:top w:val="double" w:sz="4" w:space="0" w:color="0070C0"/>
            </w:tcBorders>
          </w:tcPr>
          <w:p w:rsidR="008C1A6E" w:rsidRPr="00B82847" w:rsidRDefault="008C1A6E" w:rsidP="00E94ED1">
            <w:pPr>
              <w:spacing w:after="120" w:line="270" w:lineRule="atLeast"/>
              <w:rPr>
                <w:b/>
                <w:sz w:val="20"/>
                <w:szCs w:val="20"/>
              </w:rPr>
            </w:pPr>
            <w:r w:rsidRPr="00B82847">
              <w:rPr>
                <w:sz w:val="20"/>
                <w:szCs w:val="20"/>
              </w:rPr>
              <w:t>Emergency Incident Casualty Data Collection Protocol and Standard Operating Procedure</w:t>
            </w:r>
            <w:r>
              <w:rPr>
                <w:sz w:val="20"/>
                <w:szCs w:val="20"/>
              </w:rPr>
              <w:t>.</w:t>
            </w:r>
          </w:p>
        </w:tc>
        <w:tc>
          <w:tcPr>
            <w:tcW w:w="1842" w:type="dxa"/>
            <w:tcBorders>
              <w:top w:val="double" w:sz="4" w:space="0" w:color="0070C0"/>
            </w:tcBorders>
          </w:tcPr>
          <w:p w:rsidR="008C1A6E" w:rsidRPr="00233FBA" w:rsidRDefault="008C1A6E" w:rsidP="00E94ED1">
            <w:pPr>
              <w:rPr>
                <w:sz w:val="20"/>
                <w:szCs w:val="20"/>
              </w:rPr>
            </w:pPr>
            <w:r>
              <w:rPr>
                <w:sz w:val="20"/>
                <w:szCs w:val="20"/>
              </w:rPr>
              <w:t>February 2017</w:t>
            </w:r>
          </w:p>
        </w:tc>
      </w:tr>
      <w:tr w:rsidR="008C1A6E" w:rsidRPr="00FB3E85" w:rsidTr="00E94ED1">
        <w:tc>
          <w:tcPr>
            <w:tcW w:w="6912" w:type="dxa"/>
            <w:vMerge/>
          </w:tcPr>
          <w:p w:rsidR="008C1A6E" w:rsidRPr="00B82847" w:rsidRDefault="008C1A6E" w:rsidP="00326941">
            <w:pPr>
              <w:spacing w:after="120" w:line="270" w:lineRule="atLeast"/>
              <w:rPr>
                <w:sz w:val="20"/>
                <w:szCs w:val="20"/>
              </w:rPr>
            </w:pPr>
          </w:p>
        </w:tc>
        <w:tc>
          <w:tcPr>
            <w:tcW w:w="6555" w:type="dxa"/>
          </w:tcPr>
          <w:p w:rsidR="008C1A6E" w:rsidRPr="00B82847" w:rsidRDefault="008C1A6E" w:rsidP="00E94ED1">
            <w:pPr>
              <w:spacing w:after="120" w:line="270" w:lineRule="atLeast"/>
              <w:rPr>
                <w:sz w:val="20"/>
                <w:szCs w:val="20"/>
              </w:rPr>
            </w:pPr>
            <w:r w:rsidRPr="00B82847">
              <w:rPr>
                <w:sz w:val="20"/>
                <w:szCs w:val="20"/>
              </w:rPr>
              <w:t>Development of a business case to scope the resources required to review existing information sharing processes and policies to identify any gaps that may inhibit information' sharing practices</w:t>
            </w:r>
            <w:r>
              <w:rPr>
                <w:sz w:val="20"/>
                <w:szCs w:val="20"/>
              </w:rPr>
              <w:t>.</w:t>
            </w:r>
          </w:p>
        </w:tc>
        <w:tc>
          <w:tcPr>
            <w:tcW w:w="1842" w:type="dxa"/>
          </w:tcPr>
          <w:p w:rsidR="008C1A6E" w:rsidRPr="00B82847" w:rsidRDefault="008C1A6E" w:rsidP="00E94ED1">
            <w:pPr>
              <w:rPr>
                <w:sz w:val="20"/>
                <w:szCs w:val="20"/>
              </w:rPr>
            </w:pPr>
            <w:r w:rsidRPr="00B82847">
              <w:rPr>
                <w:sz w:val="20"/>
                <w:szCs w:val="20"/>
              </w:rPr>
              <w:t>30 June 2018</w:t>
            </w:r>
          </w:p>
        </w:tc>
      </w:tr>
    </w:tbl>
    <w:p w:rsidR="00326941" w:rsidRDefault="00326941" w:rsidP="00EB504B"/>
    <w:sectPr w:rsidR="00326941" w:rsidSect="00326941">
      <w:type w:val="continuous"/>
      <w:pgSz w:w="16838" w:h="11906" w:orient="landscape"/>
      <w:pgMar w:top="851" w:right="851" w:bottom="851" w:left="851" w:header="567"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2E" w:rsidRDefault="00122E2E">
      <w:r>
        <w:separator/>
      </w:r>
    </w:p>
  </w:endnote>
  <w:endnote w:type="continuationSeparator" w:id="0">
    <w:p w:rsidR="00122E2E" w:rsidRDefault="0012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2E" w:rsidRPr="00F65AA9" w:rsidRDefault="00122E2E" w:rsidP="007034E7">
    <w:pPr>
      <w:pStyle w:val="DHHSfooter"/>
    </w:pPr>
    <w:r>
      <w:rPr>
        <w:noProof/>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6769100</wp:posOffset>
          </wp:positionV>
          <wp:extent cx="10691495" cy="791210"/>
          <wp:effectExtent l="0" t="0" r="0" b="8890"/>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2E" w:rsidRPr="00A11421" w:rsidRDefault="00122E2E" w:rsidP="007034E7">
    <w:pPr>
      <w:pStyle w:val="DHHSfooter"/>
    </w:pPr>
    <w:r>
      <w:t>Government response to IGEM thunderstorm asthma event</w:t>
    </w:r>
    <w:r w:rsidR="00DD7B6A">
      <w:t xml:space="preserve"> (22 September 2017)</w:t>
    </w:r>
    <w:r w:rsidRPr="00A11421">
      <w:tab/>
    </w:r>
    <w:r w:rsidRPr="00A11421">
      <w:fldChar w:fldCharType="begin"/>
    </w:r>
    <w:r w:rsidRPr="00A11421">
      <w:instrText xml:space="preserve"> PAGE </w:instrText>
    </w:r>
    <w:r w:rsidRPr="00A11421">
      <w:fldChar w:fldCharType="separate"/>
    </w:r>
    <w:r w:rsidR="003B2A63">
      <w:rPr>
        <w:noProof/>
      </w:rPr>
      <w:t>17</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2E" w:rsidRDefault="00122E2E" w:rsidP="002862F1">
      <w:pPr>
        <w:spacing w:before="120"/>
      </w:pPr>
      <w:r>
        <w:separator/>
      </w:r>
    </w:p>
  </w:footnote>
  <w:footnote w:type="continuationSeparator" w:id="0">
    <w:p w:rsidR="00122E2E" w:rsidRDefault="00122E2E">
      <w:r>
        <w:continuationSeparator/>
      </w:r>
    </w:p>
  </w:footnote>
  <w:footnote w:id="1">
    <w:p w:rsidR="00122E2E" w:rsidRDefault="00122E2E">
      <w:pPr>
        <w:pStyle w:val="FootnoteText"/>
      </w:pPr>
      <w:r>
        <w:rPr>
          <w:rStyle w:val="FootnoteReference"/>
        </w:rPr>
        <w:footnoteRef/>
      </w:r>
      <w:r>
        <w:t xml:space="preserve"> </w:t>
      </w:r>
      <w:r w:rsidRPr="00326941">
        <w:rPr>
          <w:sz w:val="14"/>
          <w:szCs w:val="14"/>
        </w:rPr>
        <w:t>http://www.igem.vic.gov.au/home/our+work/reviews/review+of+the+thunderstorm+asthma+event+2016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2E" w:rsidRPr="008D2F4B" w:rsidRDefault="00122E2E" w:rsidP="008D2F4B">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F8846C"/>
    <w:lvl w:ilvl="0">
      <w:numFmt w:val="bullet"/>
      <w:lvlText w:val="*"/>
      <w:lvlJc w:val="left"/>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2506324"/>
    <w:multiLevelType w:val="hybridMultilevel"/>
    <w:tmpl w:val="4E7C74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8D43DB"/>
    <w:multiLevelType w:val="multilevel"/>
    <w:tmpl w:val="4B4E7622"/>
    <w:numStyleLink w:val="ZZNumbers"/>
  </w:abstractNum>
  <w:abstractNum w:abstractNumId="5">
    <w:nsid w:val="2B370F66"/>
    <w:multiLevelType w:val="multilevel"/>
    <w:tmpl w:val="4B4E7622"/>
    <w:numStyleLink w:val="ZZNumbers"/>
  </w:abstractNum>
  <w:abstractNum w:abstractNumId="6">
    <w:nsid w:val="2D4A31BE"/>
    <w:multiLevelType w:val="hybridMultilevel"/>
    <w:tmpl w:val="F27E6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6494DC6"/>
    <w:multiLevelType w:val="hybridMultilevel"/>
    <w:tmpl w:val="F0406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41481880"/>
    <w:multiLevelType w:val="hybridMultilevel"/>
    <w:tmpl w:val="4CD02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48B1FE8"/>
    <w:multiLevelType w:val="hybridMultilevel"/>
    <w:tmpl w:val="61125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65355DD4"/>
    <w:multiLevelType w:val="hybridMultilevel"/>
    <w:tmpl w:val="D21C1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AA09F8"/>
    <w:multiLevelType w:val="hybridMultilevel"/>
    <w:tmpl w:val="5B705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B16C31"/>
    <w:multiLevelType w:val="hybridMultilevel"/>
    <w:tmpl w:val="5B007AC6"/>
    <w:lvl w:ilvl="0" w:tplc="9B7C7914">
      <w:start w:val="30"/>
      <w:numFmt w:val="bullet"/>
      <w:lvlText w:val="-"/>
      <w:lvlJc w:val="left"/>
      <w:pPr>
        <w:ind w:left="360" w:firstLine="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3D73E3F"/>
    <w:multiLevelType w:val="hybridMultilevel"/>
    <w:tmpl w:val="0F629BDC"/>
    <w:lvl w:ilvl="0" w:tplc="93C69A96">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7B40231"/>
    <w:multiLevelType w:val="hybridMultilevel"/>
    <w:tmpl w:val="D1761B4A"/>
    <w:lvl w:ilvl="0" w:tplc="7E66972A">
      <w:start w:val="3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5158D5"/>
    <w:multiLevelType w:val="hybridMultilevel"/>
    <w:tmpl w:val="3F4A5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3"/>
  </w:num>
  <w:num w:numId="18">
    <w:abstractNumId w:val="6"/>
  </w:num>
  <w:num w:numId="19">
    <w:abstractNumId w:val="10"/>
  </w:num>
  <w:num w:numId="20">
    <w:abstractNumId w:val="15"/>
  </w:num>
  <w:num w:numId="21">
    <w:abstractNumId w:val="17"/>
  </w:num>
  <w:num w:numId="22">
    <w:abstractNumId w:val="12"/>
  </w:num>
  <w:num w:numId="23">
    <w:abstractNumId w:val="9"/>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16"/>
  </w:num>
  <w:num w:numId="2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41"/>
    <w:rsid w:val="000072B6"/>
    <w:rsid w:val="0001021B"/>
    <w:rsid w:val="00011D89"/>
    <w:rsid w:val="000135E3"/>
    <w:rsid w:val="00024D89"/>
    <w:rsid w:val="000273E3"/>
    <w:rsid w:val="00033D81"/>
    <w:rsid w:val="00041419"/>
    <w:rsid w:val="00041BF0"/>
    <w:rsid w:val="0004326C"/>
    <w:rsid w:val="0004536B"/>
    <w:rsid w:val="00046B68"/>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05E4"/>
    <w:rsid w:val="0010392D"/>
    <w:rsid w:val="00104FE3"/>
    <w:rsid w:val="00120BD3"/>
    <w:rsid w:val="00122E2E"/>
    <w:rsid w:val="00122FEA"/>
    <w:rsid w:val="001232BD"/>
    <w:rsid w:val="00124ED5"/>
    <w:rsid w:val="001447B3"/>
    <w:rsid w:val="00152073"/>
    <w:rsid w:val="00161939"/>
    <w:rsid w:val="00161AA0"/>
    <w:rsid w:val="00162093"/>
    <w:rsid w:val="001645B1"/>
    <w:rsid w:val="001666C9"/>
    <w:rsid w:val="001771DD"/>
    <w:rsid w:val="00177995"/>
    <w:rsid w:val="00177A8C"/>
    <w:rsid w:val="00186B33"/>
    <w:rsid w:val="00187F13"/>
    <w:rsid w:val="00192F9D"/>
    <w:rsid w:val="00196EB8"/>
    <w:rsid w:val="001979FF"/>
    <w:rsid w:val="00197B17"/>
    <w:rsid w:val="001A3ACE"/>
    <w:rsid w:val="001C2A72"/>
    <w:rsid w:val="001D0B75"/>
    <w:rsid w:val="001D3C09"/>
    <w:rsid w:val="001D44E8"/>
    <w:rsid w:val="001D60EC"/>
    <w:rsid w:val="001D6476"/>
    <w:rsid w:val="001E44DF"/>
    <w:rsid w:val="001E68A5"/>
    <w:rsid w:val="001E73EF"/>
    <w:rsid w:val="001F3826"/>
    <w:rsid w:val="001F6E46"/>
    <w:rsid w:val="001F7C91"/>
    <w:rsid w:val="00206463"/>
    <w:rsid w:val="00206F2F"/>
    <w:rsid w:val="0021053D"/>
    <w:rsid w:val="00210A92"/>
    <w:rsid w:val="002131E2"/>
    <w:rsid w:val="002143BD"/>
    <w:rsid w:val="00216C03"/>
    <w:rsid w:val="002206B2"/>
    <w:rsid w:val="00220C04"/>
    <w:rsid w:val="0022701F"/>
    <w:rsid w:val="002333F5"/>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213D"/>
    <w:rsid w:val="002862F1"/>
    <w:rsid w:val="00291373"/>
    <w:rsid w:val="0029597D"/>
    <w:rsid w:val="002962C3"/>
    <w:rsid w:val="002A483C"/>
    <w:rsid w:val="002B1729"/>
    <w:rsid w:val="002B4DD4"/>
    <w:rsid w:val="002B5277"/>
    <w:rsid w:val="002B77C1"/>
    <w:rsid w:val="002C2728"/>
    <w:rsid w:val="002D5006"/>
    <w:rsid w:val="002E01D0"/>
    <w:rsid w:val="002E161D"/>
    <w:rsid w:val="002E6C95"/>
    <w:rsid w:val="002E7C36"/>
    <w:rsid w:val="002F5F31"/>
    <w:rsid w:val="002F7F61"/>
    <w:rsid w:val="00302216"/>
    <w:rsid w:val="00303E53"/>
    <w:rsid w:val="003041C3"/>
    <w:rsid w:val="00305D25"/>
    <w:rsid w:val="00306E5F"/>
    <w:rsid w:val="00307E14"/>
    <w:rsid w:val="00310351"/>
    <w:rsid w:val="00314054"/>
    <w:rsid w:val="00316F27"/>
    <w:rsid w:val="00326941"/>
    <w:rsid w:val="00327870"/>
    <w:rsid w:val="0033259D"/>
    <w:rsid w:val="00335B2C"/>
    <w:rsid w:val="003406C6"/>
    <w:rsid w:val="003418CC"/>
    <w:rsid w:val="00344EBE"/>
    <w:rsid w:val="003459BD"/>
    <w:rsid w:val="00350D38"/>
    <w:rsid w:val="00355FD7"/>
    <w:rsid w:val="0036022F"/>
    <w:rsid w:val="003613F9"/>
    <w:rsid w:val="0037290E"/>
    <w:rsid w:val="003744CF"/>
    <w:rsid w:val="00374717"/>
    <w:rsid w:val="0037676C"/>
    <w:rsid w:val="003829E5"/>
    <w:rsid w:val="003956CC"/>
    <w:rsid w:val="00395C9A"/>
    <w:rsid w:val="003A3438"/>
    <w:rsid w:val="003A6B67"/>
    <w:rsid w:val="003B15E6"/>
    <w:rsid w:val="003B2A63"/>
    <w:rsid w:val="003C2045"/>
    <w:rsid w:val="003C2440"/>
    <w:rsid w:val="003C43A1"/>
    <w:rsid w:val="003C4FC0"/>
    <w:rsid w:val="003C55F4"/>
    <w:rsid w:val="003C7A3F"/>
    <w:rsid w:val="003D3E8F"/>
    <w:rsid w:val="003D6475"/>
    <w:rsid w:val="003E2E5F"/>
    <w:rsid w:val="003F0445"/>
    <w:rsid w:val="003F0CF0"/>
    <w:rsid w:val="003F3289"/>
    <w:rsid w:val="00401FCF"/>
    <w:rsid w:val="00406285"/>
    <w:rsid w:val="004148F9"/>
    <w:rsid w:val="0042084E"/>
    <w:rsid w:val="0042175D"/>
    <w:rsid w:val="00421EEF"/>
    <w:rsid w:val="00424D65"/>
    <w:rsid w:val="004367B3"/>
    <w:rsid w:val="00442C6C"/>
    <w:rsid w:val="00443CBE"/>
    <w:rsid w:val="00443E8A"/>
    <w:rsid w:val="004441BC"/>
    <w:rsid w:val="0045230A"/>
    <w:rsid w:val="00457337"/>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7DBA"/>
    <w:rsid w:val="004F00DD"/>
    <w:rsid w:val="004F2133"/>
    <w:rsid w:val="004F55F1"/>
    <w:rsid w:val="004F6936"/>
    <w:rsid w:val="005027C0"/>
    <w:rsid w:val="00503DC6"/>
    <w:rsid w:val="00506F5D"/>
    <w:rsid w:val="005126D0"/>
    <w:rsid w:val="0051568D"/>
    <w:rsid w:val="00526C15"/>
    <w:rsid w:val="005273B4"/>
    <w:rsid w:val="00536499"/>
    <w:rsid w:val="00541ADB"/>
    <w:rsid w:val="00543903"/>
    <w:rsid w:val="00547A95"/>
    <w:rsid w:val="00557E03"/>
    <w:rsid w:val="00572031"/>
    <w:rsid w:val="00576E84"/>
    <w:rsid w:val="00582B8C"/>
    <w:rsid w:val="0058757E"/>
    <w:rsid w:val="00596A4B"/>
    <w:rsid w:val="00597507"/>
    <w:rsid w:val="005B21B6"/>
    <w:rsid w:val="005B3A08"/>
    <w:rsid w:val="005B7A63"/>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58B4"/>
    <w:rsid w:val="006419AA"/>
    <w:rsid w:val="006447F0"/>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D2A3F"/>
    <w:rsid w:val="006E138B"/>
    <w:rsid w:val="006F1FDC"/>
    <w:rsid w:val="007013EF"/>
    <w:rsid w:val="007034E7"/>
    <w:rsid w:val="007216AA"/>
    <w:rsid w:val="00721AB5"/>
    <w:rsid w:val="00721DEF"/>
    <w:rsid w:val="00724A43"/>
    <w:rsid w:val="007346E4"/>
    <w:rsid w:val="00740F22"/>
    <w:rsid w:val="00741F1A"/>
    <w:rsid w:val="007450F8"/>
    <w:rsid w:val="007463DD"/>
    <w:rsid w:val="0074696E"/>
    <w:rsid w:val="00750135"/>
    <w:rsid w:val="00752B28"/>
    <w:rsid w:val="00754E36"/>
    <w:rsid w:val="00763139"/>
    <w:rsid w:val="00770F37"/>
    <w:rsid w:val="00772D5E"/>
    <w:rsid w:val="00776928"/>
    <w:rsid w:val="00786F16"/>
    <w:rsid w:val="00796E20"/>
    <w:rsid w:val="00797C32"/>
    <w:rsid w:val="007B0914"/>
    <w:rsid w:val="007B1374"/>
    <w:rsid w:val="007B589F"/>
    <w:rsid w:val="007B6186"/>
    <w:rsid w:val="007C14D9"/>
    <w:rsid w:val="007C7301"/>
    <w:rsid w:val="007C7859"/>
    <w:rsid w:val="007D2BDE"/>
    <w:rsid w:val="007D2FB6"/>
    <w:rsid w:val="007E0DE2"/>
    <w:rsid w:val="007F31B6"/>
    <w:rsid w:val="007F546C"/>
    <w:rsid w:val="007F665E"/>
    <w:rsid w:val="00800412"/>
    <w:rsid w:val="0080587B"/>
    <w:rsid w:val="00806468"/>
    <w:rsid w:val="008155F0"/>
    <w:rsid w:val="00816735"/>
    <w:rsid w:val="00820141"/>
    <w:rsid w:val="008204A8"/>
    <w:rsid w:val="00820E0C"/>
    <w:rsid w:val="008338A2"/>
    <w:rsid w:val="00840DF3"/>
    <w:rsid w:val="0084417C"/>
    <w:rsid w:val="00853EE4"/>
    <w:rsid w:val="00855535"/>
    <w:rsid w:val="00856385"/>
    <w:rsid w:val="008633F0"/>
    <w:rsid w:val="00867D9D"/>
    <w:rsid w:val="00872E0A"/>
    <w:rsid w:val="00875285"/>
    <w:rsid w:val="00884B62"/>
    <w:rsid w:val="0088529C"/>
    <w:rsid w:val="00887903"/>
    <w:rsid w:val="0089270A"/>
    <w:rsid w:val="00893AF6"/>
    <w:rsid w:val="00894BC4"/>
    <w:rsid w:val="008B2EE4"/>
    <w:rsid w:val="008B2F9E"/>
    <w:rsid w:val="008B4D3D"/>
    <w:rsid w:val="008B57C7"/>
    <w:rsid w:val="008C1A6E"/>
    <w:rsid w:val="008C2F92"/>
    <w:rsid w:val="008C65EB"/>
    <w:rsid w:val="008D2F4B"/>
    <w:rsid w:val="008D4236"/>
    <w:rsid w:val="008D462F"/>
    <w:rsid w:val="008E4376"/>
    <w:rsid w:val="008E7A0A"/>
    <w:rsid w:val="00900615"/>
    <w:rsid w:val="00900719"/>
    <w:rsid w:val="009017AC"/>
    <w:rsid w:val="00905030"/>
    <w:rsid w:val="00906490"/>
    <w:rsid w:val="009111B2"/>
    <w:rsid w:val="00924AE1"/>
    <w:rsid w:val="009269B1"/>
    <w:rsid w:val="0092724D"/>
    <w:rsid w:val="00937BD9"/>
    <w:rsid w:val="00950E2C"/>
    <w:rsid w:val="00951D50"/>
    <w:rsid w:val="009525EB"/>
    <w:rsid w:val="0095645E"/>
    <w:rsid w:val="00961400"/>
    <w:rsid w:val="00963646"/>
    <w:rsid w:val="009853E1"/>
    <w:rsid w:val="00986E6B"/>
    <w:rsid w:val="00991769"/>
    <w:rsid w:val="00994386"/>
    <w:rsid w:val="009A13D8"/>
    <w:rsid w:val="009A279E"/>
    <w:rsid w:val="009B0A6F"/>
    <w:rsid w:val="009B59E9"/>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44882"/>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5141"/>
    <w:rsid w:val="00B5273A"/>
    <w:rsid w:val="00B62B50"/>
    <w:rsid w:val="00B635B7"/>
    <w:rsid w:val="00B63AE8"/>
    <w:rsid w:val="00B65950"/>
    <w:rsid w:val="00B672C0"/>
    <w:rsid w:val="00B75646"/>
    <w:rsid w:val="00B85654"/>
    <w:rsid w:val="00B90729"/>
    <w:rsid w:val="00B907DA"/>
    <w:rsid w:val="00B950BC"/>
    <w:rsid w:val="00B9714C"/>
    <w:rsid w:val="00BA3F8D"/>
    <w:rsid w:val="00BA4845"/>
    <w:rsid w:val="00BB7A10"/>
    <w:rsid w:val="00BC7D4F"/>
    <w:rsid w:val="00BC7ED7"/>
    <w:rsid w:val="00BD2850"/>
    <w:rsid w:val="00BE28D2"/>
    <w:rsid w:val="00BF5F6F"/>
    <w:rsid w:val="00BF7F58"/>
    <w:rsid w:val="00C01381"/>
    <w:rsid w:val="00C079B8"/>
    <w:rsid w:val="00C07C0F"/>
    <w:rsid w:val="00C123EA"/>
    <w:rsid w:val="00C125E4"/>
    <w:rsid w:val="00C12A49"/>
    <w:rsid w:val="00C133EE"/>
    <w:rsid w:val="00C27DE9"/>
    <w:rsid w:val="00C33388"/>
    <w:rsid w:val="00C4173A"/>
    <w:rsid w:val="00C602FF"/>
    <w:rsid w:val="00C61174"/>
    <w:rsid w:val="00C6148F"/>
    <w:rsid w:val="00C62F7A"/>
    <w:rsid w:val="00C63B9C"/>
    <w:rsid w:val="00C6430F"/>
    <w:rsid w:val="00C6682F"/>
    <w:rsid w:val="00C7275E"/>
    <w:rsid w:val="00C74C5D"/>
    <w:rsid w:val="00C863C4"/>
    <w:rsid w:val="00C93C3E"/>
    <w:rsid w:val="00CA12E3"/>
    <w:rsid w:val="00CA6611"/>
    <w:rsid w:val="00CA6B58"/>
    <w:rsid w:val="00CC0C72"/>
    <w:rsid w:val="00CC2BFD"/>
    <w:rsid w:val="00CD3476"/>
    <w:rsid w:val="00CD64DF"/>
    <w:rsid w:val="00CF2F50"/>
    <w:rsid w:val="00CF41DA"/>
    <w:rsid w:val="00D02919"/>
    <w:rsid w:val="00D04C61"/>
    <w:rsid w:val="00D0539B"/>
    <w:rsid w:val="00D05B8D"/>
    <w:rsid w:val="00D065A2"/>
    <w:rsid w:val="00D07F00"/>
    <w:rsid w:val="00D1790F"/>
    <w:rsid w:val="00D33E72"/>
    <w:rsid w:val="00D35BD6"/>
    <w:rsid w:val="00D361B5"/>
    <w:rsid w:val="00D411A2"/>
    <w:rsid w:val="00D50B9C"/>
    <w:rsid w:val="00D52D73"/>
    <w:rsid w:val="00D52E58"/>
    <w:rsid w:val="00D714CC"/>
    <w:rsid w:val="00D75EA7"/>
    <w:rsid w:val="00D81F21"/>
    <w:rsid w:val="00D95470"/>
    <w:rsid w:val="00DA2619"/>
    <w:rsid w:val="00DA4239"/>
    <w:rsid w:val="00DB0B61"/>
    <w:rsid w:val="00DC090B"/>
    <w:rsid w:val="00DC2CF1"/>
    <w:rsid w:val="00DC4FCF"/>
    <w:rsid w:val="00DC50E0"/>
    <w:rsid w:val="00DC6386"/>
    <w:rsid w:val="00DD1130"/>
    <w:rsid w:val="00DD1951"/>
    <w:rsid w:val="00DD6628"/>
    <w:rsid w:val="00DD7B6A"/>
    <w:rsid w:val="00DE09D5"/>
    <w:rsid w:val="00DE3250"/>
    <w:rsid w:val="00DE6028"/>
    <w:rsid w:val="00DE78A3"/>
    <w:rsid w:val="00DF1A71"/>
    <w:rsid w:val="00DF68C7"/>
    <w:rsid w:val="00DF731A"/>
    <w:rsid w:val="00E0419C"/>
    <w:rsid w:val="00E14388"/>
    <w:rsid w:val="00E170DC"/>
    <w:rsid w:val="00E21842"/>
    <w:rsid w:val="00E26818"/>
    <w:rsid w:val="00E27FFC"/>
    <w:rsid w:val="00E30B15"/>
    <w:rsid w:val="00E40181"/>
    <w:rsid w:val="00E43426"/>
    <w:rsid w:val="00E45931"/>
    <w:rsid w:val="00E53A79"/>
    <w:rsid w:val="00E629A1"/>
    <w:rsid w:val="00E82C55"/>
    <w:rsid w:val="00E87893"/>
    <w:rsid w:val="00E92AC3"/>
    <w:rsid w:val="00E94ED1"/>
    <w:rsid w:val="00EB00E0"/>
    <w:rsid w:val="00EB504B"/>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35BC6"/>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uiPriority="6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6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1"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19" w:unhideWhenUsed="0" w:qFormat="1"/>
    <w:lsdException w:name="Intense Emphasis" w:uiPriority="21"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326941"/>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6447F0"/>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6447F0"/>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447F0"/>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6447F0"/>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A62A86"/>
    <w:pPr>
      <w:spacing w:before="0" w:after="200"/>
      <w:outlineLvl w:val="9"/>
    </w:pPr>
  </w:style>
  <w:style w:type="character" w:customStyle="1" w:styleId="DHHSTOCheadingfactsheetChar">
    <w:name w:val="DHHS TOC heading fact sheet Char"/>
    <w:link w:val="DHHS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paragraph" w:customStyle="1" w:styleId="DecimalAligned">
    <w:name w:val="Decimal Aligned"/>
    <w:basedOn w:val="Normal"/>
    <w:uiPriority w:val="40"/>
    <w:qFormat/>
    <w:rsid w:val="00326941"/>
    <w:pPr>
      <w:tabs>
        <w:tab w:val="decimal" w:pos="360"/>
      </w:tabs>
    </w:pPr>
    <w:rPr>
      <w:lang w:val="en-US" w:eastAsia="ja-JP"/>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SubtleEmphasis">
    <w:name w:val="Subtle Emphasis"/>
    <w:uiPriority w:val="19"/>
    <w:qFormat/>
    <w:rsid w:val="00326941"/>
    <w:rPr>
      <w:i/>
      <w:iCs/>
      <w:color w:val="7F7F7F"/>
    </w:rPr>
  </w:style>
  <w:style w:type="table" w:styleId="LightShading-Accent1">
    <w:name w:val="Light Shading Accent 1"/>
    <w:basedOn w:val="TableNormal"/>
    <w:uiPriority w:val="60"/>
    <w:rsid w:val="00326941"/>
    <w:rPr>
      <w:rFonts w:ascii="Calibri" w:hAnsi="Calibri"/>
      <w:color w:val="365F91"/>
      <w:sz w:val="22"/>
      <w:szCs w:val="22"/>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HHStablecolhead">
    <w:name w:val="DHHS table col head"/>
    <w:uiPriority w:val="3"/>
    <w:qFormat/>
    <w:rsid w:val="009F4451"/>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table" w:styleId="LightShading-Accent3">
    <w:name w:val="Light Shading Accent 3"/>
    <w:basedOn w:val="TableNormal"/>
    <w:uiPriority w:val="60"/>
    <w:rsid w:val="003269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table" w:styleId="LightShading">
    <w:name w:val="Light Shading"/>
    <w:basedOn w:val="TableNormal"/>
    <w:uiPriority w:val="60"/>
    <w:rsid w:val="003269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326941"/>
    <w:pPr>
      <w:ind w:left="720"/>
      <w:contextualSpacing/>
    </w:pPr>
  </w:style>
  <w:style w:type="character" w:customStyle="1" w:styleId="HeaderChar">
    <w:name w:val="Header Char"/>
    <w:link w:val="Header"/>
    <w:uiPriority w:val="99"/>
    <w:rsid w:val="00326941"/>
    <w:rPr>
      <w:rFonts w:ascii="Arial" w:hAnsi="Arial" w:cs="Arial"/>
      <w:sz w:val="18"/>
      <w:szCs w:val="18"/>
      <w:lang w:eastAsia="en-US"/>
    </w:rPr>
  </w:style>
  <w:style w:type="character" w:customStyle="1" w:styleId="FooterChar">
    <w:name w:val="Footer Char"/>
    <w:link w:val="Footer"/>
    <w:uiPriority w:val="99"/>
    <w:rsid w:val="00326941"/>
    <w:rPr>
      <w:rFonts w:ascii="Arial" w:hAnsi="Arial" w:cs="Arial"/>
      <w:sz w:val="18"/>
      <w:szCs w:val="18"/>
      <w:lang w:eastAsia="en-US"/>
    </w:rPr>
  </w:style>
  <w:style w:type="paragraph" w:styleId="BalloonText">
    <w:name w:val="Balloon Text"/>
    <w:basedOn w:val="Normal"/>
    <w:link w:val="BalloonTextChar"/>
    <w:uiPriority w:val="99"/>
    <w:semiHidden/>
    <w:unhideWhenUsed/>
    <w:rsid w:val="00326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941"/>
    <w:rPr>
      <w:rFonts w:ascii="Tahoma" w:eastAsia="Calibri" w:hAnsi="Tahoma" w:cs="Tahoma"/>
      <w:sz w:val="16"/>
      <w:szCs w:val="16"/>
      <w:lang w:eastAsia="en-US"/>
    </w:rPr>
  </w:style>
  <w:style w:type="character" w:styleId="IntenseEmphasis">
    <w:name w:val="Intense Emphasis"/>
    <w:uiPriority w:val="21"/>
    <w:qFormat/>
    <w:rsid w:val="00326941"/>
    <w:rPr>
      <w:b/>
      <w:bCs/>
      <w:i/>
      <w:iCs/>
      <w:color w:val="4F81BD"/>
    </w:rPr>
  </w:style>
  <w:style w:type="paragraph" w:customStyle="1" w:styleId="DHHSreportmaintitle">
    <w:name w:val="DHHS report main title"/>
    <w:uiPriority w:val="4"/>
    <w:rsid w:val="00326941"/>
    <w:pPr>
      <w:keepLines/>
      <w:spacing w:after="240" w:line="580" w:lineRule="atLeast"/>
    </w:pPr>
    <w:rPr>
      <w:rFonts w:ascii="Arial" w:hAnsi="Arial"/>
      <w:color w:val="004EA8"/>
      <w:sz w:val="50"/>
      <w:szCs w:val="24"/>
      <w:lang w:eastAsia="en-US"/>
    </w:rPr>
  </w:style>
  <w:style w:type="table" w:styleId="LightList-Accent5">
    <w:name w:val="Light List Accent 5"/>
    <w:basedOn w:val="TableNormal"/>
    <w:uiPriority w:val="61"/>
    <w:rsid w:val="0032694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2">
    <w:name w:val="Light Shading Accent 2"/>
    <w:basedOn w:val="TableNormal"/>
    <w:uiPriority w:val="60"/>
    <w:rsid w:val="00326941"/>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CommentReference">
    <w:name w:val="annotation reference"/>
    <w:uiPriority w:val="99"/>
    <w:semiHidden/>
    <w:unhideWhenUsed/>
    <w:rsid w:val="00326941"/>
    <w:rPr>
      <w:sz w:val="16"/>
      <w:szCs w:val="16"/>
    </w:rPr>
  </w:style>
  <w:style w:type="paragraph" w:styleId="CommentText">
    <w:name w:val="annotation text"/>
    <w:basedOn w:val="Normal"/>
    <w:link w:val="CommentTextChar"/>
    <w:uiPriority w:val="99"/>
    <w:semiHidden/>
    <w:unhideWhenUsed/>
    <w:rsid w:val="00326941"/>
    <w:pPr>
      <w:spacing w:line="240" w:lineRule="auto"/>
    </w:pPr>
    <w:rPr>
      <w:sz w:val="20"/>
      <w:szCs w:val="20"/>
    </w:rPr>
  </w:style>
  <w:style w:type="character" w:customStyle="1" w:styleId="CommentTextChar">
    <w:name w:val="Comment Text Char"/>
    <w:basedOn w:val="DefaultParagraphFont"/>
    <w:link w:val="CommentText"/>
    <w:uiPriority w:val="99"/>
    <w:semiHidden/>
    <w:rsid w:val="0032694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326941"/>
    <w:rPr>
      <w:b/>
      <w:bCs/>
    </w:rPr>
  </w:style>
  <w:style w:type="character" w:customStyle="1" w:styleId="CommentSubjectChar">
    <w:name w:val="Comment Subject Char"/>
    <w:basedOn w:val="CommentTextChar"/>
    <w:link w:val="CommentSubject"/>
    <w:uiPriority w:val="99"/>
    <w:semiHidden/>
    <w:rsid w:val="00326941"/>
    <w:rPr>
      <w:rFonts w:ascii="Calibri" w:eastAsia="Calibri" w:hAnsi="Calibri"/>
      <w:b/>
      <w:bCs/>
      <w:lang w:eastAsia="en-US"/>
    </w:rPr>
  </w:style>
  <w:style w:type="paragraph" w:styleId="Revision">
    <w:name w:val="Revision"/>
    <w:hidden/>
    <w:uiPriority w:val="99"/>
    <w:rsid w:val="0032694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uiPriority="6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6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1"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19" w:unhideWhenUsed="0" w:qFormat="1"/>
    <w:lsdException w:name="Intense Emphasis" w:uiPriority="21"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326941"/>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6447F0"/>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6447F0"/>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447F0"/>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6447F0"/>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A62A86"/>
    <w:pPr>
      <w:spacing w:before="0" w:after="200"/>
      <w:outlineLvl w:val="9"/>
    </w:pPr>
  </w:style>
  <w:style w:type="character" w:customStyle="1" w:styleId="DHHSTOCheadingfactsheetChar">
    <w:name w:val="DHHS TOC heading fact sheet Char"/>
    <w:link w:val="DHHS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paragraph" w:customStyle="1" w:styleId="DecimalAligned">
    <w:name w:val="Decimal Aligned"/>
    <w:basedOn w:val="Normal"/>
    <w:uiPriority w:val="40"/>
    <w:qFormat/>
    <w:rsid w:val="00326941"/>
    <w:pPr>
      <w:tabs>
        <w:tab w:val="decimal" w:pos="360"/>
      </w:tabs>
    </w:pPr>
    <w:rPr>
      <w:lang w:val="en-US" w:eastAsia="ja-JP"/>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SubtleEmphasis">
    <w:name w:val="Subtle Emphasis"/>
    <w:uiPriority w:val="19"/>
    <w:qFormat/>
    <w:rsid w:val="00326941"/>
    <w:rPr>
      <w:i/>
      <w:iCs/>
      <w:color w:val="7F7F7F"/>
    </w:rPr>
  </w:style>
  <w:style w:type="table" w:styleId="LightShading-Accent1">
    <w:name w:val="Light Shading Accent 1"/>
    <w:basedOn w:val="TableNormal"/>
    <w:uiPriority w:val="60"/>
    <w:rsid w:val="00326941"/>
    <w:rPr>
      <w:rFonts w:ascii="Calibri" w:hAnsi="Calibri"/>
      <w:color w:val="365F91"/>
      <w:sz w:val="22"/>
      <w:szCs w:val="22"/>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HHStablecolhead">
    <w:name w:val="DHHS table col head"/>
    <w:uiPriority w:val="3"/>
    <w:qFormat/>
    <w:rsid w:val="009F4451"/>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table" w:styleId="LightShading-Accent3">
    <w:name w:val="Light Shading Accent 3"/>
    <w:basedOn w:val="TableNormal"/>
    <w:uiPriority w:val="60"/>
    <w:rsid w:val="003269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table" w:styleId="LightShading">
    <w:name w:val="Light Shading"/>
    <w:basedOn w:val="TableNormal"/>
    <w:uiPriority w:val="60"/>
    <w:rsid w:val="003269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326941"/>
    <w:pPr>
      <w:ind w:left="720"/>
      <w:contextualSpacing/>
    </w:pPr>
  </w:style>
  <w:style w:type="character" w:customStyle="1" w:styleId="HeaderChar">
    <w:name w:val="Header Char"/>
    <w:link w:val="Header"/>
    <w:uiPriority w:val="99"/>
    <w:rsid w:val="00326941"/>
    <w:rPr>
      <w:rFonts w:ascii="Arial" w:hAnsi="Arial" w:cs="Arial"/>
      <w:sz w:val="18"/>
      <w:szCs w:val="18"/>
      <w:lang w:eastAsia="en-US"/>
    </w:rPr>
  </w:style>
  <w:style w:type="character" w:customStyle="1" w:styleId="FooterChar">
    <w:name w:val="Footer Char"/>
    <w:link w:val="Footer"/>
    <w:uiPriority w:val="99"/>
    <w:rsid w:val="00326941"/>
    <w:rPr>
      <w:rFonts w:ascii="Arial" w:hAnsi="Arial" w:cs="Arial"/>
      <w:sz w:val="18"/>
      <w:szCs w:val="18"/>
      <w:lang w:eastAsia="en-US"/>
    </w:rPr>
  </w:style>
  <w:style w:type="paragraph" w:styleId="BalloonText">
    <w:name w:val="Balloon Text"/>
    <w:basedOn w:val="Normal"/>
    <w:link w:val="BalloonTextChar"/>
    <w:uiPriority w:val="99"/>
    <w:semiHidden/>
    <w:unhideWhenUsed/>
    <w:rsid w:val="00326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941"/>
    <w:rPr>
      <w:rFonts w:ascii="Tahoma" w:eastAsia="Calibri" w:hAnsi="Tahoma" w:cs="Tahoma"/>
      <w:sz w:val="16"/>
      <w:szCs w:val="16"/>
      <w:lang w:eastAsia="en-US"/>
    </w:rPr>
  </w:style>
  <w:style w:type="character" w:styleId="IntenseEmphasis">
    <w:name w:val="Intense Emphasis"/>
    <w:uiPriority w:val="21"/>
    <w:qFormat/>
    <w:rsid w:val="00326941"/>
    <w:rPr>
      <w:b/>
      <w:bCs/>
      <w:i/>
      <w:iCs/>
      <w:color w:val="4F81BD"/>
    </w:rPr>
  </w:style>
  <w:style w:type="paragraph" w:customStyle="1" w:styleId="DHHSreportmaintitle">
    <w:name w:val="DHHS report main title"/>
    <w:uiPriority w:val="4"/>
    <w:rsid w:val="00326941"/>
    <w:pPr>
      <w:keepLines/>
      <w:spacing w:after="240" w:line="580" w:lineRule="atLeast"/>
    </w:pPr>
    <w:rPr>
      <w:rFonts w:ascii="Arial" w:hAnsi="Arial"/>
      <w:color w:val="004EA8"/>
      <w:sz w:val="50"/>
      <w:szCs w:val="24"/>
      <w:lang w:eastAsia="en-US"/>
    </w:rPr>
  </w:style>
  <w:style w:type="table" w:styleId="LightList-Accent5">
    <w:name w:val="Light List Accent 5"/>
    <w:basedOn w:val="TableNormal"/>
    <w:uiPriority w:val="61"/>
    <w:rsid w:val="0032694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2">
    <w:name w:val="Light Shading Accent 2"/>
    <w:basedOn w:val="TableNormal"/>
    <w:uiPriority w:val="60"/>
    <w:rsid w:val="00326941"/>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CommentReference">
    <w:name w:val="annotation reference"/>
    <w:uiPriority w:val="99"/>
    <w:semiHidden/>
    <w:unhideWhenUsed/>
    <w:rsid w:val="00326941"/>
    <w:rPr>
      <w:sz w:val="16"/>
      <w:szCs w:val="16"/>
    </w:rPr>
  </w:style>
  <w:style w:type="paragraph" w:styleId="CommentText">
    <w:name w:val="annotation text"/>
    <w:basedOn w:val="Normal"/>
    <w:link w:val="CommentTextChar"/>
    <w:uiPriority w:val="99"/>
    <w:semiHidden/>
    <w:unhideWhenUsed/>
    <w:rsid w:val="00326941"/>
    <w:pPr>
      <w:spacing w:line="240" w:lineRule="auto"/>
    </w:pPr>
    <w:rPr>
      <w:sz w:val="20"/>
      <w:szCs w:val="20"/>
    </w:rPr>
  </w:style>
  <w:style w:type="character" w:customStyle="1" w:styleId="CommentTextChar">
    <w:name w:val="Comment Text Char"/>
    <w:basedOn w:val="DefaultParagraphFont"/>
    <w:link w:val="CommentText"/>
    <w:uiPriority w:val="99"/>
    <w:semiHidden/>
    <w:rsid w:val="0032694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326941"/>
    <w:rPr>
      <w:b/>
      <w:bCs/>
    </w:rPr>
  </w:style>
  <w:style w:type="character" w:customStyle="1" w:styleId="CommentSubjectChar">
    <w:name w:val="Comment Subject Char"/>
    <w:basedOn w:val="CommentTextChar"/>
    <w:link w:val="CommentSubject"/>
    <w:uiPriority w:val="99"/>
    <w:semiHidden/>
    <w:rsid w:val="00326941"/>
    <w:rPr>
      <w:rFonts w:ascii="Calibri" w:eastAsia="Calibri" w:hAnsi="Calibri"/>
      <w:b/>
      <w:bCs/>
      <w:lang w:eastAsia="en-US"/>
    </w:rPr>
  </w:style>
  <w:style w:type="paragraph" w:styleId="Revision">
    <w:name w:val="Revision"/>
    <w:hidden/>
    <w:uiPriority w:val="99"/>
    <w:rsid w:val="003269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Emergency%20Management\Factsheets\DHHS%20Emergency%20Mgt%20Factsheet%20Landscape%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9319-129D-4630-9DC5-FA2C1BF9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Emergency Mgt Factsheet Landscape 03 Blue 2945</Template>
  <TotalTime>1</TotalTime>
  <Pages>17</Pages>
  <Words>4352</Words>
  <Characters>26439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Government response to the Review of response to the thunderstorm asthma event of 21-22 November 2016 </vt:lpstr>
    </vt:vector>
  </TitlesOfParts>
  <Manager>Tam Quach</Manager>
  <Company>Department of Health and Human Services</Company>
  <LinksUpToDate>false</LinksUpToDate>
  <CharactersWithSpaces>30730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Review of response to the thunderstorm asthma event of 21-22 November 2016</dc:title>
  <dc:creator>Tam Quach</dc:creator>
  <cp:lastModifiedBy>Anna McNaughton</cp:lastModifiedBy>
  <cp:revision>2</cp:revision>
  <cp:lastPrinted>2017-10-16T00:10:00Z</cp:lastPrinted>
  <dcterms:created xsi:type="dcterms:W3CDTF">2017-10-17T22:28:00Z</dcterms:created>
  <dcterms:modified xsi:type="dcterms:W3CDTF">2017-10-17T22:28:00Z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