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15BF" w14:textId="77777777" w:rsidR="0074696E" w:rsidRPr="004C6EEE" w:rsidRDefault="00951D03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3B8C930B" wp14:editId="0AD87B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490">
        <w:tab/>
      </w:r>
    </w:p>
    <w:p w14:paraId="5A7D2337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22B2994B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0DBCE53A" w14:textId="77777777" w:rsidR="00AD784C" w:rsidRPr="00161AA0" w:rsidRDefault="00951D03" w:rsidP="00A91406">
            <w:pPr>
              <w:pStyle w:val="DHHSmainheading"/>
            </w:pPr>
            <w:bookmarkStart w:id="0" w:name="_GoBack" w:colFirst="0" w:colLast="0"/>
            <w:r>
              <w:t>HDSS Bulletin</w:t>
            </w:r>
          </w:p>
        </w:tc>
      </w:tr>
      <w:tr w:rsidR="00AD784C" w14:paraId="45A90254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8AFA711" w14:textId="1B39F0E5" w:rsidR="00357B4E" w:rsidRPr="00DE5658" w:rsidRDefault="00951D03" w:rsidP="00A57348">
            <w:pPr>
              <w:pStyle w:val="DHHSmainsubheading"/>
              <w:rPr>
                <w:szCs w:val="28"/>
              </w:rPr>
            </w:pPr>
            <w:r w:rsidRPr="00DE5658">
              <w:rPr>
                <w:color w:val="FFFFFF" w:themeColor="background1"/>
                <w:szCs w:val="28"/>
              </w:rPr>
              <w:t>Issue 2</w:t>
            </w:r>
            <w:r w:rsidR="00410E7E" w:rsidRPr="00DE5658">
              <w:rPr>
                <w:color w:val="FFFFFF" w:themeColor="background1"/>
                <w:szCs w:val="28"/>
              </w:rPr>
              <w:t>2</w:t>
            </w:r>
            <w:r w:rsidR="00CB2E1B">
              <w:rPr>
                <w:color w:val="FFFFFF" w:themeColor="background1"/>
                <w:szCs w:val="28"/>
              </w:rPr>
              <w:t>6</w:t>
            </w:r>
            <w:r w:rsidR="002C2537" w:rsidRPr="00DE5658">
              <w:rPr>
                <w:color w:val="FFFFFF" w:themeColor="background1"/>
                <w:szCs w:val="28"/>
              </w:rPr>
              <w:t xml:space="preserve">: </w:t>
            </w:r>
            <w:r w:rsidR="006934AB">
              <w:rPr>
                <w:color w:val="FFFFFF" w:themeColor="background1"/>
                <w:szCs w:val="28"/>
              </w:rPr>
              <w:t>14</w:t>
            </w:r>
            <w:r w:rsidR="00CB2E1B">
              <w:rPr>
                <w:color w:val="FFFFFF" w:themeColor="background1"/>
                <w:szCs w:val="28"/>
              </w:rPr>
              <w:t xml:space="preserve"> </w:t>
            </w:r>
            <w:r w:rsidR="00EA663D">
              <w:rPr>
                <w:color w:val="FFFFFF" w:themeColor="background1"/>
                <w:szCs w:val="28"/>
              </w:rPr>
              <w:t>January</w:t>
            </w:r>
            <w:r w:rsidR="00410E7E" w:rsidRPr="00DE5658">
              <w:rPr>
                <w:color w:val="FFFFFF" w:themeColor="background1"/>
                <w:szCs w:val="28"/>
              </w:rPr>
              <w:t xml:space="preserve"> 20</w:t>
            </w:r>
            <w:r w:rsidR="00EA663D">
              <w:rPr>
                <w:color w:val="FFFFFF" w:themeColor="background1"/>
                <w:szCs w:val="28"/>
              </w:rPr>
              <w:t>20</w:t>
            </w:r>
          </w:p>
        </w:tc>
      </w:tr>
    </w:tbl>
    <w:bookmarkEnd w:id="0"/>
    <w:p w14:paraId="7FCB3178" w14:textId="77777777" w:rsidR="00AD784C" w:rsidRPr="000A6666" w:rsidRDefault="00AD784C" w:rsidP="006F5D2B">
      <w:pPr>
        <w:pStyle w:val="DHHSTOCheadingfactsheet"/>
        <w:numPr>
          <w:ilvl w:val="0"/>
          <w:numId w:val="0"/>
        </w:numPr>
      </w:pPr>
      <w:r w:rsidRPr="000A6666">
        <w:t>Contents</w:t>
      </w:r>
    </w:p>
    <w:p w14:paraId="727C73F9" w14:textId="5FAB68D2" w:rsidR="00C6429B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29903481" w:history="1">
        <w:r w:rsidR="00C6429B" w:rsidRPr="001070CD">
          <w:rPr>
            <w:rStyle w:val="Hyperlink"/>
          </w:rPr>
          <w:t>Global update</w:t>
        </w:r>
        <w:r w:rsidR="00C6429B">
          <w:rPr>
            <w:webHidden/>
          </w:rPr>
          <w:tab/>
        </w:r>
        <w:r w:rsidR="00C6429B">
          <w:rPr>
            <w:webHidden/>
          </w:rPr>
          <w:fldChar w:fldCharType="begin"/>
        </w:r>
        <w:r w:rsidR="00C6429B">
          <w:rPr>
            <w:webHidden/>
          </w:rPr>
          <w:instrText xml:space="preserve"> PAGEREF _Toc29903481 \h </w:instrText>
        </w:r>
        <w:r w:rsidR="00C6429B">
          <w:rPr>
            <w:webHidden/>
          </w:rPr>
        </w:r>
        <w:r w:rsidR="00C6429B">
          <w:rPr>
            <w:webHidden/>
          </w:rPr>
          <w:fldChar w:fldCharType="separate"/>
        </w:r>
        <w:r w:rsidR="00C6429B">
          <w:rPr>
            <w:webHidden/>
          </w:rPr>
          <w:t>1</w:t>
        </w:r>
        <w:r w:rsidR="00C6429B">
          <w:rPr>
            <w:webHidden/>
          </w:rPr>
          <w:fldChar w:fldCharType="end"/>
        </w:r>
      </w:hyperlink>
    </w:p>
    <w:p w14:paraId="2B7A16FD" w14:textId="694A316A" w:rsidR="00C6429B" w:rsidRDefault="00720B23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9903482" w:history="1">
        <w:r w:rsidR="00C6429B" w:rsidRPr="001070C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226.1</w:t>
        </w:r>
        <w:r w:rsidR="00C6429B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C6429B" w:rsidRPr="001070CD">
          <w:rPr>
            <w:rStyle w:val="Hyperlink"/>
          </w:rPr>
          <w:t>Circulars</w:t>
        </w:r>
        <w:r w:rsidR="00C6429B">
          <w:rPr>
            <w:webHidden/>
          </w:rPr>
          <w:tab/>
        </w:r>
        <w:r w:rsidR="00C6429B">
          <w:rPr>
            <w:webHidden/>
          </w:rPr>
          <w:fldChar w:fldCharType="begin"/>
        </w:r>
        <w:r w:rsidR="00C6429B">
          <w:rPr>
            <w:webHidden/>
          </w:rPr>
          <w:instrText xml:space="preserve"> PAGEREF _Toc29903482 \h </w:instrText>
        </w:r>
        <w:r w:rsidR="00C6429B">
          <w:rPr>
            <w:webHidden/>
          </w:rPr>
        </w:r>
        <w:r w:rsidR="00C6429B">
          <w:rPr>
            <w:webHidden/>
          </w:rPr>
          <w:fldChar w:fldCharType="separate"/>
        </w:r>
        <w:r w:rsidR="00C6429B">
          <w:rPr>
            <w:webHidden/>
          </w:rPr>
          <w:t>1</w:t>
        </w:r>
        <w:r w:rsidR="00C6429B">
          <w:rPr>
            <w:webHidden/>
          </w:rPr>
          <w:fldChar w:fldCharType="end"/>
        </w:r>
      </w:hyperlink>
    </w:p>
    <w:p w14:paraId="05D0A162" w14:textId="147B88A5" w:rsidR="00C6429B" w:rsidRDefault="00720B23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9903483" w:history="1">
        <w:r w:rsidR="00C6429B" w:rsidRPr="001070C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226.2</w:t>
        </w:r>
        <w:r w:rsidR="00C6429B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C6429B" w:rsidRPr="001070CD">
          <w:rPr>
            <w:rStyle w:val="Hyperlink"/>
          </w:rPr>
          <w:t>Specifications for revisions to data collection for 2020–21</w:t>
        </w:r>
        <w:r w:rsidR="00C6429B">
          <w:rPr>
            <w:webHidden/>
          </w:rPr>
          <w:tab/>
        </w:r>
        <w:r w:rsidR="00C6429B">
          <w:rPr>
            <w:webHidden/>
          </w:rPr>
          <w:fldChar w:fldCharType="begin"/>
        </w:r>
        <w:r w:rsidR="00C6429B">
          <w:rPr>
            <w:webHidden/>
          </w:rPr>
          <w:instrText xml:space="preserve"> PAGEREF _Toc29903483 \h </w:instrText>
        </w:r>
        <w:r w:rsidR="00C6429B">
          <w:rPr>
            <w:webHidden/>
          </w:rPr>
        </w:r>
        <w:r w:rsidR="00C6429B">
          <w:rPr>
            <w:webHidden/>
          </w:rPr>
          <w:fldChar w:fldCharType="separate"/>
        </w:r>
        <w:r w:rsidR="00C6429B">
          <w:rPr>
            <w:webHidden/>
          </w:rPr>
          <w:t>1</w:t>
        </w:r>
        <w:r w:rsidR="00C6429B">
          <w:rPr>
            <w:webHidden/>
          </w:rPr>
          <w:fldChar w:fldCharType="end"/>
        </w:r>
      </w:hyperlink>
    </w:p>
    <w:p w14:paraId="2FCBEC4B" w14:textId="6567FE3F" w:rsidR="00C6429B" w:rsidRDefault="00720B2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9903484" w:history="1">
        <w:r w:rsidR="00C6429B" w:rsidRPr="001070CD">
          <w:rPr>
            <w:rStyle w:val="Hyperlink"/>
          </w:rPr>
          <w:t>Victoria Emergency Minimum Dataset (VEMD)</w:t>
        </w:r>
        <w:r w:rsidR="00C6429B">
          <w:rPr>
            <w:webHidden/>
          </w:rPr>
          <w:tab/>
        </w:r>
        <w:r w:rsidR="00C6429B">
          <w:rPr>
            <w:webHidden/>
          </w:rPr>
          <w:fldChar w:fldCharType="begin"/>
        </w:r>
        <w:r w:rsidR="00C6429B">
          <w:rPr>
            <w:webHidden/>
          </w:rPr>
          <w:instrText xml:space="preserve"> PAGEREF _Toc29903484 \h </w:instrText>
        </w:r>
        <w:r w:rsidR="00C6429B">
          <w:rPr>
            <w:webHidden/>
          </w:rPr>
        </w:r>
        <w:r w:rsidR="00C6429B">
          <w:rPr>
            <w:webHidden/>
          </w:rPr>
          <w:fldChar w:fldCharType="separate"/>
        </w:r>
        <w:r w:rsidR="00C6429B">
          <w:rPr>
            <w:webHidden/>
          </w:rPr>
          <w:t>1</w:t>
        </w:r>
        <w:r w:rsidR="00C6429B">
          <w:rPr>
            <w:webHidden/>
          </w:rPr>
          <w:fldChar w:fldCharType="end"/>
        </w:r>
      </w:hyperlink>
    </w:p>
    <w:p w14:paraId="3D34BBDC" w14:textId="5E0CDF9C" w:rsidR="00C6429B" w:rsidRDefault="00720B23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9903485" w:history="1">
        <w:r w:rsidR="00C6429B" w:rsidRPr="001070CD">
          <w:rPr>
            <w:rStyle w:val="Hyperlink"/>
            <w:rFonts w:eastAsia="Tim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226.3</w:t>
        </w:r>
        <w:r w:rsidR="00C6429B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C6429B" w:rsidRPr="001070CD">
          <w:rPr>
            <w:rStyle w:val="Hyperlink"/>
            <w:rFonts w:eastAsia="Times"/>
          </w:rPr>
          <w:t>VEMD Editor for 2020–21</w:t>
        </w:r>
        <w:r w:rsidR="00C6429B">
          <w:rPr>
            <w:webHidden/>
          </w:rPr>
          <w:tab/>
        </w:r>
        <w:r w:rsidR="00C6429B">
          <w:rPr>
            <w:webHidden/>
          </w:rPr>
          <w:fldChar w:fldCharType="begin"/>
        </w:r>
        <w:r w:rsidR="00C6429B">
          <w:rPr>
            <w:webHidden/>
          </w:rPr>
          <w:instrText xml:space="preserve"> PAGEREF _Toc29903485 \h </w:instrText>
        </w:r>
        <w:r w:rsidR="00C6429B">
          <w:rPr>
            <w:webHidden/>
          </w:rPr>
        </w:r>
        <w:r w:rsidR="00C6429B">
          <w:rPr>
            <w:webHidden/>
          </w:rPr>
          <w:fldChar w:fldCharType="separate"/>
        </w:r>
        <w:r w:rsidR="00C6429B">
          <w:rPr>
            <w:webHidden/>
          </w:rPr>
          <w:t>1</w:t>
        </w:r>
        <w:r w:rsidR="00C6429B">
          <w:rPr>
            <w:webHidden/>
          </w:rPr>
          <w:fldChar w:fldCharType="end"/>
        </w:r>
      </w:hyperlink>
    </w:p>
    <w:p w14:paraId="2B17ACC2" w14:textId="299E95B4" w:rsidR="00C6429B" w:rsidRDefault="00720B2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9903486" w:history="1">
        <w:r w:rsidR="00C6429B" w:rsidRPr="001070CD">
          <w:rPr>
            <w:rStyle w:val="Hyperlink"/>
          </w:rPr>
          <w:t>Victorian Integrated Non-Admitted Health Minimum Dataset (VINAH)</w:t>
        </w:r>
        <w:r w:rsidR="00C6429B">
          <w:rPr>
            <w:webHidden/>
          </w:rPr>
          <w:tab/>
        </w:r>
        <w:r w:rsidR="00C6429B">
          <w:rPr>
            <w:webHidden/>
          </w:rPr>
          <w:fldChar w:fldCharType="begin"/>
        </w:r>
        <w:r w:rsidR="00C6429B">
          <w:rPr>
            <w:webHidden/>
          </w:rPr>
          <w:instrText xml:space="preserve"> PAGEREF _Toc29903486 \h </w:instrText>
        </w:r>
        <w:r w:rsidR="00C6429B">
          <w:rPr>
            <w:webHidden/>
          </w:rPr>
        </w:r>
        <w:r w:rsidR="00C6429B">
          <w:rPr>
            <w:webHidden/>
          </w:rPr>
          <w:fldChar w:fldCharType="separate"/>
        </w:r>
        <w:r w:rsidR="00C6429B">
          <w:rPr>
            <w:webHidden/>
          </w:rPr>
          <w:t>2</w:t>
        </w:r>
        <w:r w:rsidR="00C6429B">
          <w:rPr>
            <w:webHidden/>
          </w:rPr>
          <w:fldChar w:fldCharType="end"/>
        </w:r>
      </w:hyperlink>
    </w:p>
    <w:p w14:paraId="464B4D0B" w14:textId="5CB66B62" w:rsidR="00C6429B" w:rsidRDefault="00720B23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9903487" w:history="1">
        <w:r w:rsidR="00C6429B" w:rsidRPr="001070CD">
          <w:rPr>
            <w:rStyle w:val="Hyperlink"/>
            <w:rFonts w:eastAsia="Tim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226.4</w:t>
        </w:r>
        <w:r w:rsidR="00C6429B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C6429B" w:rsidRPr="001070CD">
          <w:rPr>
            <w:rStyle w:val="Hyperlink"/>
            <w:rFonts w:eastAsia="Times"/>
          </w:rPr>
          <w:t>Total Parenteral Nutrition, Home Enteral Nutrition, Palliative Care Day Hospice</w:t>
        </w:r>
        <w:r w:rsidR="00C6429B">
          <w:rPr>
            <w:webHidden/>
          </w:rPr>
          <w:tab/>
        </w:r>
        <w:r w:rsidR="00C6429B">
          <w:rPr>
            <w:webHidden/>
          </w:rPr>
          <w:fldChar w:fldCharType="begin"/>
        </w:r>
        <w:r w:rsidR="00C6429B">
          <w:rPr>
            <w:webHidden/>
          </w:rPr>
          <w:instrText xml:space="preserve"> PAGEREF _Toc29903487 \h </w:instrText>
        </w:r>
        <w:r w:rsidR="00C6429B">
          <w:rPr>
            <w:webHidden/>
          </w:rPr>
        </w:r>
        <w:r w:rsidR="00C6429B">
          <w:rPr>
            <w:webHidden/>
          </w:rPr>
          <w:fldChar w:fldCharType="separate"/>
        </w:r>
        <w:r w:rsidR="00C6429B">
          <w:rPr>
            <w:webHidden/>
          </w:rPr>
          <w:t>2</w:t>
        </w:r>
        <w:r w:rsidR="00C6429B">
          <w:rPr>
            <w:webHidden/>
          </w:rPr>
          <w:fldChar w:fldCharType="end"/>
        </w:r>
      </w:hyperlink>
    </w:p>
    <w:p w14:paraId="51D76C2C" w14:textId="4D60269D" w:rsidR="00C6429B" w:rsidRDefault="00720B23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9903488" w:history="1">
        <w:r w:rsidR="00C6429B" w:rsidRPr="001070C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226.5</w:t>
        </w:r>
        <w:r w:rsidR="00C6429B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C6429B" w:rsidRPr="001070CD">
          <w:rPr>
            <w:rStyle w:val="Hyperlink"/>
          </w:rPr>
          <w:t>Corrections to specifications for revisions to VINAH for 1 July 2020 – Data Elements to be Reported by Program</w:t>
        </w:r>
        <w:r w:rsidR="00C6429B">
          <w:rPr>
            <w:webHidden/>
          </w:rPr>
          <w:tab/>
        </w:r>
        <w:r w:rsidR="00C6429B">
          <w:rPr>
            <w:webHidden/>
          </w:rPr>
          <w:fldChar w:fldCharType="begin"/>
        </w:r>
        <w:r w:rsidR="00C6429B">
          <w:rPr>
            <w:webHidden/>
          </w:rPr>
          <w:instrText xml:space="preserve"> PAGEREF _Toc29903488 \h </w:instrText>
        </w:r>
        <w:r w:rsidR="00C6429B">
          <w:rPr>
            <w:webHidden/>
          </w:rPr>
        </w:r>
        <w:r w:rsidR="00C6429B">
          <w:rPr>
            <w:webHidden/>
          </w:rPr>
          <w:fldChar w:fldCharType="separate"/>
        </w:r>
        <w:r w:rsidR="00C6429B">
          <w:rPr>
            <w:webHidden/>
          </w:rPr>
          <w:t>2</w:t>
        </w:r>
        <w:r w:rsidR="00C6429B">
          <w:rPr>
            <w:webHidden/>
          </w:rPr>
          <w:fldChar w:fldCharType="end"/>
        </w:r>
      </w:hyperlink>
    </w:p>
    <w:p w14:paraId="505DB145" w14:textId="6687703C" w:rsidR="00C6429B" w:rsidRDefault="00720B23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9903489" w:history="1">
        <w:r w:rsidR="00C6429B" w:rsidRPr="001070C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226.6</w:t>
        </w:r>
        <w:r w:rsidR="00C6429B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C6429B" w:rsidRPr="001070CD">
          <w:rPr>
            <w:rStyle w:val="Hyperlink"/>
          </w:rPr>
          <w:t>Correction to specifications for revisions to VINAH for 1 July 2020 - Episode Health Conditions</w:t>
        </w:r>
        <w:r w:rsidR="00C6429B">
          <w:rPr>
            <w:webHidden/>
          </w:rPr>
          <w:tab/>
        </w:r>
        <w:r w:rsidR="00C6429B">
          <w:rPr>
            <w:webHidden/>
          </w:rPr>
          <w:fldChar w:fldCharType="begin"/>
        </w:r>
        <w:r w:rsidR="00C6429B">
          <w:rPr>
            <w:webHidden/>
          </w:rPr>
          <w:instrText xml:space="preserve"> PAGEREF _Toc29903489 \h </w:instrText>
        </w:r>
        <w:r w:rsidR="00C6429B">
          <w:rPr>
            <w:webHidden/>
          </w:rPr>
        </w:r>
        <w:r w:rsidR="00C6429B">
          <w:rPr>
            <w:webHidden/>
          </w:rPr>
          <w:fldChar w:fldCharType="separate"/>
        </w:r>
        <w:r w:rsidR="00C6429B">
          <w:rPr>
            <w:webHidden/>
          </w:rPr>
          <w:t>3</w:t>
        </w:r>
        <w:r w:rsidR="00C6429B">
          <w:rPr>
            <w:webHidden/>
          </w:rPr>
          <w:fldChar w:fldCharType="end"/>
        </w:r>
      </w:hyperlink>
    </w:p>
    <w:p w14:paraId="35668360" w14:textId="20A3B55B" w:rsidR="00C6429B" w:rsidRDefault="00720B2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9903490" w:history="1">
        <w:r w:rsidR="00C6429B" w:rsidRPr="001070CD">
          <w:rPr>
            <w:rStyle w:val="Hyperlink"/>
          </w:rPr>
          <w:t>Non–Admitted Activity Reporting</w:t>
        </w:r>
        <w:r w:rsidR="00C6429B">
          <w:rPr>
            <w:webHidden/>
          </w:rPr>
          <w:tab/>
        </w:r>
        <w:r w:rsidR="00C6429B">
          <w:rPr>
            <w:webHidden/>
          </w:rPr>
          <w:fldChar w:fldCharType="begin"/>
        </w:r>
        <w:r w:rsidR="00C6429B">
          <w:rPr>
            <w:webHidden/>
          </w:rPr>
          <w:instrText xml:space="preserve"> PAGEREF _Toc29903490 \h </w:instrText>
        </w:r>
        <w:r w:rsidR="00C6429B">
          <w:rPr>
            <w:webHidden/>
          </w:rPr>
        </w:r>
        <w:r w:rsidR="00C6429B">
          <w:rPr>
            <w:webHidden/>
          </w:rPr>
          <w:fldChar w:fldCharType="separate"/>
        </w:r>
        <w:r w:rsidR="00C6429B">
          <w:rPr>
            <w:webHidden/>
          </w:rPr>
          <w:t>3</w:t>
        </w:r>
        <w:r w:rsidR="00C6429B">
          <w:rPr>
            <w:webHidden/>
          </w:rPr>
          <w:fldChar w:fldCharType="end"/>
        </w:r>
      </w:hyperlink>
    </w:p>
    <w:p w14:paraId="38CAD583" w14:textId="5FC67031" w:rsidR="00C6429B" w:rsidRDefault="00720B23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9903491" w:history="1">
        <w:r w:rsidR="00C6429B" w:rsidRPr="001070CD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226.7</w:t>
        </w:r>
        <w:r w:rsidR="00C6429B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C6429B" w:rsidRPr="001070CD">
          <w:rPr>
            <w:rStyle w:val="Hyperlink"/>
          </w:rPr>
          <w:t>Non-Admitted Data Expansion (NADE) Project</w:t>
        </w:r>
        <w:r w:rsidR="00C6429B">
          <w:rPr>
            <w:webHidden/>
          </w:rPr>
          <w:tab/>
        </w:r>
        <w:r w:rsidR="00C6429B">
          <w:rPr>
            <w:webHidden/>
          </w:rPr>
          <w:fldChar w:fldCharType="begin"/>
        </w:r>
        <w:r w:rsidR="00C6429B">
          <w:rPr>
            <w:webHidden/>
          </w:rPr>
          <w:instrText xml:space="preserve"> PAGEREF _Toc29903491 \h </w:instrText>
        </w:r>
        <w:r w:rsidR="00C6429B">
          <w:rPr>
            <w:webHidden/>
          </w:rPr>
        </w:r>
        <w:r w:rsidR="00C6429B">
          <w:rPr>
            <w:webHidden/>
          </w:rPr>
          <w:fldChar w:fldCharType="separate"/>
        </w:r>
        <w:r w:rsidR="00C6429B">
          <w:rPr>
            <w:webHidden/>
          </w:rPr>
          <w:t>3</w:t>
        </w:r>
        <w:r w:rsidR="00C6429B">
          <w:rPr>
            <w:webHidden/>
          </w:rPr>
          <w:fldChar w:fldCharType="end"/>
        </w:r>
      </w:hyperlink>
    </w:p>
    <w:p w14:paraId="586DE20C" w14:textId="5FD6D018" w:rsidR="00C6429B" w:rsidRDefault="00720B2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9903492" w:history="1">
        <w:r w:rsidR="00C6429B" w:rsidRPr="001070CD">
          <w:rPr>
            <w:rStyle w:val="Hyperlink"/>
          </w:rPr>
          <w:t>Contact details</w:t>
        </w:r>
        <w:r w:rsidR="00C6429B">
          <w:rPr>
            <w:webHidden/>
          </w:rPr>
          <w:tab/>
        </w:r>
        <w:r w:rsidR="00C6429B">
          <w:rPr>
            <w:webHidden/>
          </w:rPr>
          <w:fldChar w:fldCharType="begin"/>
        </w:r>
        <w:r w:rsidR="00C6429B">
          <w:rPr>
            <w:webHidden/>
          </w:rPr>
          <w:instrText xml:space="preserve"> PAGEREF _Toc29903492 \h </w:instrText>
        </w:r>
        <w:r w:rsidR="00C6429B">
          <w:rPr>
            <w:webHidden/>
          </w:rPr>
        </w:r>
        <w:r w:rsidR="00C6429B">
          <w:rPr>
            <w:webHidden/>
          </w:rPr>
          <w:fldChar w:fldCharType="separate"/>
        </w:r>
        <w:r w:rsidR="00C6429B">
          <w:rPr>
            <w:webHidden/>
          </w:rPr>
          <w:t>4</w:t>
        </w:r>
        <w:r w:rsidR="00C6429B">
          <w:rPr>
            <w:webHidden/>
          </w:rPr>
          <w:fldChar w:fldCharType="end"/>
        </w:r>
      </w:hyperlink>
    </w:p>
    <w:p w14:paraId="670253DF" w14:textId="1403D7DA" w:rsidR="007173CA" w:rsidRDefault="00AD784C" w:rsidP="000B52A3">
      <w:pPr>
        <w:pStyle w:val="DHHSbody"/>
        <w:spacing w:before="240"/>
      </w:pPr>
      <w:r>
        <w:fldChar w:fldCharType="end"/>
      </w:r>
    </w:p>
    <w:p w14:paraId="5F587DAF" w14:textId="77777777" w:rsidR="007173CA" w:rsidRDefault="007173CA" w:rsidP="00E30BA8">
      <w:pPr>
        <w:pStyle w:val="DHHSbody"/>
        <w:numPr>
          <w:ilvl w:val="0"/>
          <w:numId w:val="10"/>
        </w:numPr>
        <w:sectPr w:rsidR="007173CA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60DA7D16" w14:textId="77777777" w:rsidR="00893AF6" w:rsidRPr="00B57329" w:rsidRDefault="00951D03" w:rsidP="000A6666">
      <w:pPr>
        <w:pStyle w:val="Heading1"/>
        <w:spacing w:before="0"/>
      </w:pPr>
      <w:bookmarkStart w:id="1" w:name="_Toc29903481"/>
      <w:r>
        <w:t>Global update</w:t>
      </w:r>
      <w:bookmarkEnd w:id="1"/>
    </w:p>
    <w:p w14:paraId="38FD9F04" w14:textId="77777777" w:rsidR="00996739" w:rsidRPr="00EA0C53" w:rsidRDefault="00996739" w:rsidP="00980C7C">
      <w:pPr>
        <w:pStyle w:val="Heading2"/>
      </w:pPr>
      <w:bookmarkStart w:id="2" w:name="_Toc29903482"/>
      <w:r w:rsidRPr="00EA0C53">
        <w:t>Circulars</w:t>
      </w:r>
      <w:bookmarkEnd w:id="2"/>
    </w:p>
    <w:p w14:paraId="2070B28F" w14:textId="677B5909" w:rsidR="00401692" w:rsidRPr="00401692" w:rsidRDefault="00B649CD" w:rsidP="000F7423">
      <w:pPr>
        <w:pStyle w:val="DHHSbody"/>
      </w:pPr>
      <w:r>
        <w:rPr>
          <w:lang w:eastAsia="en-AU"/>
        </w:rPr>
        <w:t xml:space="preserve">Access </w:t>
      </w:r>
      <w:r w:rsidR="000B7EFC">
        <w:rPr>
          <w:lang w:eastAsia="en-AU"/>
        </w:rPr>
        <w:t>private hospital</w:t>
      </w:r>
      <w:r w:rsidR="00DA08FE">
        <w:rPr>
          <w:lang w:eastAsia="en-AU"/>
        </w:rPr>
        <w:t xml:space="preserve"> </w:t>
      </w:r>
      <w:r w:rsidR="00401692" w:rsidRPr="00401692">
        <w:rPr>
          <w:lang w:eastAsia="en-AU"/>
        </w:rPr>
        <w:t>circulars</w:t>
      </w:r>
      <w:r w:rsidR="00DA08FE">
        <w:rPr>
          <w:lang w:eastAsia="en-AU"/>
        </w:rPr>
        <w:t xml:space="preserve"> at:</w:t>
      </w:r>
      <w:r w:rsidR="0018574E">
        <w:rPr>
          <w:lang w:eastAsia="en-AU"/>
        </w:rPr>
        <w:t xml:space="preserve"> </w:t>
      </w:r>
      <w:hyperlink r:id="rId12" w:history="1">
        <w:r w:rsidR="00DA08FE" w:rsidRPr="00DA08FE">
          <w:rPr>
            <w:rStyle w:val="Hyperlink"/>
            <w:lang w:eastAsia="en-AU"/>
          </w:rPr>
          <w:t>Private hospital circulars</w:t>
        </w:r>
      </w:hyperlink>
      <w:r w:rsidR="00DA08FE">
        <w:rPr>
          <w:lang w:eastAsia="en-AU"/>
        </w:rPr>
        <w:t xml:space="preserve"> &lt;</w:t>
      </w:r>
      <w:r w:rsidR="00DA08FE" w:rsidRPr="00DA08FE">
        <w:rPr>
          <w:lang w:eastAsia="en-AU"/>
        </w:rPr>
        <w:t>http://www.health.gov.au/internet/main/publishing.nsf/Content/health-phicirculars2019-index1</w:t>
      </w:r>
      <w:r w:rsidR="00DA08FE">
        <w:rPr>
          <w:lang w:eastAsia="en-AU"/>
        </w:rPr>
        <w:t xml:space="preserve">&gt; </w:t>
      </w:r>
    </w:p>
    <w:p w14:paraId="4FB5EAD3" w14:textId="77777777" w:rsidR="00EA663D" w:rsidRDefault="00DA08FE" w:rsidP="00CB2E1B">
      <w:pPr>
        <w:pStyle w:val="DHHSbody"/>
      </w:pPr>
      <w:r>
        <w:t>Access h</w:t>
      </w:r>
      <w:r w:rsidR="001D0A0B">
        <w:t>ospital c</w:t>
      </w:r>
      <w:r w:rsidR="00FD047A">
        <w:t>irculars</w:t>
      </w:r>
      <w:r>
        <w:t xml:space="preserve"> at:</w:t>
      </w:r>
      <w:r w:rsidR="00FD047A">
        <w:t xml:space="preserve"> </w:t>
      </w:r>
      <w:hyperlink r:id="rId13" w:history="1">
        <w:r w:rsidRPr="00DA08FE">
          <w:rPr>
            <w:rStyle w:val="Hyperlink"/>
          </w:rPr>
          <w:t>Hospital circulars</w:t>
        </w:r>
      </w:hyperlink>
      <w:r>
        <w:t xml:space="preserve"> </w:t>
      </w:r>
      <w:r w:rsidR="0018574E">
        <w:t>&lt;</w:t>
      </w:r>
      <w:r w:rsidR="0018574E" w:rsidRPr="0018574E">
        <w:t>https://www2.health.vic.gov.au/about/news-and-events/hospitalcirculars</w:t>
      </w:r>
      <w:r w:rsidR="00CB2E1B">
        <w:t>&gt;</w:t>
      </w:r>
    </w:p>
    <w:p w14:paraId="0CB97AD3" w14:textId="77777777" w:rsidR="00EA663D" w:rsidRDefault="00EA663D" w:rsidP="00EA663D">
      <w:pPr>
        <w:pStyle w:val="Heading2"/>
      </w:pPr>
      <w:bookmarkStart w:id="3" w:name="_Toc29903483"/>
      <w:r>
        <w:t>Specifications for revisions to data collection for 2020–21</w:t>
      </w:r>
      <w:bookmarkEnd w:id="3"/>
    </w:p>
    <w:p w14:paraId="6CD2C4D4" w14:textId="77777777" w:rsidR="00EA663D" w:rsidRDefault="00EA663D" w:rsidP="00EA663D">
      <w:pPr>
        <w:pStyle w:val="DHHSbody"/>
      </w:pPr>
      <w:r>
        <w:t>Specifications for revisions to AIMS, ESIS, VAED, VEMD and VINAH data collections for 2020–21 were published on the HDSS website on 24 December 2019.</w:t>
      </w:r>
    </w:p>
    <w:p w14:paraId="1197C7E6" w14:textId="7E7CBA61" w:rsidR="007E7072" w:rsidRDefault="00720B23" w:rsidP="00EA663D">
      <w:pPr>
        <w:pStyle w:val="DHHSbody"/>
      </w:pPr>
      <w:hyperlink r:id="rId14" w:history="1">
        <w:r w:rsidR="00EA663D" w:rsidRPr="00EA663D">
          <w:rPr>
            <w:rStyle w:val="Hyperlink"/>
          </w:rPr>
          <w:t>HDSS annual changes</w:t>
        </w:r>
      </w:hyperlink>
      <w:r w:rsidR="00EA663D">
        <w:t xml:space="preserve"> </w:t>
      </w:r>
      <w:r w:rsidR="007E7072">
        <w:t>&lt;</w:t>
      </w:r>
      <w:r w:rsidR="007E7072" w:rsidRPr="007E7072">
        <w:t>https://www2.health.vic.gov.au/hospitals-and-health-services/data-reporting/health-data-standards-systems/annual-changes</w:t>
      </w:r>
      <w:r w:rsidR="007E7072">
        <w:t>&gt;</w:t>
      </w:r>
    </w:p>
    <w:p w14:paraId="55BB2DD3" w14:textId="77777777" w:rsidR="007E7072" w:rsidRDefault="007E7072" w:rsidP="007E7072">
      <w:pPr>
        <w:pStyle w:val="Heading1"/>
      </w:pPr>
      <w:bookmarkStart w:id="4" w:name="_Toc29903484"/>
      <w:r>
        <w:t>Victoria Emergency Minimum Dataset (VEMD)</w:t>
      </w:r>
      <w:bookmarkEnd w:id="4"/>
    </w:p>
    <w:p w14:paraId="08D9D6AA" w14:textId="77777777" w:rsidR="007E7072" w:rsidRPr="007E7072" w:rsidRDefault="007E7072" w:rsidP="007E7072">
      <w:pPr>
        <w:pStyle w:val="Heading2"/>
        <w:rPr>
          <w:rFonts w:eastAsia="Times"/>
        </w:rPr>
      </w:pPr>
      <w:bookmarkStart w:id="5" w:name="_Toc29903485"/>
      <w:r w:rsidRPr="007E7072">
        <w:rPr>
          <w:rFonts w:eastAsia="Times"/>
        </w:rPr>
        <w:t>VEMD Editor for 2020–21</w:t>
      </w:r>
      <w:bookmarkEnd w:id="5"/>
    </w:p>
    <w:p w14:paraId="280CF786" w14:textId="77777777" w:rsidR="007E7072" w:rsidRPr="00E25636" w:rsidRDefault="007E7072" w:rsidP="007E7072">
      <w:pPr>
        <w:pStyle w:val="DHHSbody"/>
      </w:pPr>
      <w:r w:rsidRPr="00E25636">
        <w:t>In the HDSS Bulletin issue 222 we advised that HDSS would cease to support the VEMD Editor access database beyond the 2019</w:t>
      </w:r>
      <w:r>
        <w:t>–</w:t>
      </w:r>
      <w:r w:rsidRPr="00E25636">
        <w:t xml:space="preserve">20 release. Feedback from health services indicates the VEMD Editor is widely used and that many health services are not </w:t>
      </w:r>
      <w:proofErr w:type="gramStart"/>
      <w:r w:rsidRPr="00E25636">
        <w:t>in a position</w:t>
      </w:r>
      <w:proofErr w:type="gramEnd"/>
      <w:r w:rsidRPr="00E25636">
        <w:t xml:space="preserve"> to generate their own internal error reports. Therefore, HDSS will continue to support the VEMD Editor for </w:t>
      </w:r>
      <w:bookmarkStart w:id="6" w:name="_Hlk29879368"/>
      <w:r w:rsidRPr="00E25636">
        <w:t>2020</w:t>
      </w:r>
      <w:r>
        <w:t>–</w:t>
      </w:r>
      <w:r w:rsidRPr="00E25636">
        <w:t>21</w:t>
      </w:r>
      <w:bookmarkEnd w:id="6"/>
      <w:r w:rsidRPr="00E25636">
        <w:t>.</w:t>
      </w:r>
    </w:p>
    <w:p w14:paraId="3E160579" w14:textId="3F6BB2F6" w:rsidR="00E71D28" w:rsidRPr="00F17569" w:rsidRDefault="00E71D28" w:rsidP="00CB2E1B">
      <w:pPr>
        <w:pStyle w:val="Heading1"/>
      </w:pPr>
      <w:bookmarkStart w:id="7" w:name="_Toc29903486"/>
      <w:r w:rsidRPr="00F17569">
        <w:lastRenderedPageBreak/>
        <w:t>Victorian Integrated Non-Admitted Health Minimum Dataset (VINAH)</w:t>
      </w:r>
      <w:bookmarkEnd w:id="7"/>
    </w:p>
    <w:p w14:paraId="2164F558" w14:textId="2B96CFEE" w:rsidR="00CB2E1B" w:rsidRDefault="004F2081" w:rsidP="00CB2E1B">
      <w:pPr>
        <w:pStyle w:val="Heading2"/>
        <w:rPr>
          <w:rFonts w:eastAsia="Times"/>
        </w:rPr>
      </w:pPr>
      <w:bookmarkStart w:id="8" w:name="_Toc29903487"/>
      <w:r>
        <w:rPr>
          <w:rFonts w:eastAsia="Times"/>
        </w:rPr>
        <w:t>Total Parenteral Nutrition, Home Enteral Nutrition, Palliative Care Day Hospice</w:t>
      </w:r>
      <w:bookmarkEnd w:id="8"/>
    </w:p>
    <w:p w14:paraId="51857345" w14:textId="56091309" w:rsidR="004F2081" w:rsidRDefault="004F2081" w:rsidP="004F2081">
      <w:pPr>
        <w:pStyle w:val="DHHSbody"/>
      </w:pPr>
      <w:r>
        <w:t xml:space="preserve">In recent years several additional programs have </w:t>
      </w:r>
      <w:r w:rsidR="007E7072">
        <w:t>been included in the scope of</w:t>
      </w:r>
      <w:r>
        <w:t xml:space="preserve"> VINAH </w:t>
      </w:r>
      <w:r w:rsidR="007E7072">
        <w:t>reporting</w:t>
      </w:r>
      <w:r>
        <w:t>. Total Parenteral Nutrition (TPN)</w:t>
      </w:r>
      <w:r w:rsidR="007E7072">
        <w:t xml:space="preserve"> and</w:t>
      </w:r>
      <w:r>
        <w:t xml:space="preserve"> Home Enteral Nutrition (HEN)</w:t>
      </w:r>
      <w:r w:rsidR="00FA3FFC">
        <w:t xml:space="preserve"> </w:t>
      </w:r>
      <w:r w:rsidR="007E7072">
        <w:t>were included in</w:t>
      </w:r>
      <w:r w:rsidR="003866E5">
        <w:t xml:space="preserve"> </w:t>
      </w:r>
      <w:r w:rsidR="00FA3FFC">
        <w:t>VINAH</w:t>
      </w:r>
      <w:r w:rsidR="003866E5">
        <w:t xml:space="preserve"> (version 14) </w:t>
      </w:r>
      <w:r w:rsidR="00FA3FFC">
        <w:t>in 2018</w:t>
      </w:r>
      <w:r>
        <w:t xml:space="preserve"> and Palliative Care Day Hospice</w:t>
      </w:r>
      <w:r w:rsidR="003866E5">
        <w:t xml:space="preserve"> </w:t>
      </w:r>
      <w:r w:rsidR="007E7072">
        <w:t xml:space="preserve">was included in </w:t>
      </w:r>
      <w:r w:rsidR="003866E5">
        <w:t>VINAH (</w:t>
      </w:r>
      <w:r w:rsidR="00E66241">
        <w:t>v</w:t>
      </w:r>
      <w:r w:rsidR="003866E5">
        <w:t>ersion 15) in 2019</w:t>
      </w:r>
      <w:r>
        <w:t>.</w:t>
      </w:r>
    </w:p>
    <w:p w14:paraId="53B39DC0" w14:textId="1F8235E7" w:rsidR="004F2081" w:rsidRDefault="004F2081" w:rsidP="004F2081">
      <w:pPr>
        <w:pStyle w:val="DHHSbody"/>
      </w:pPr>
      <w:r>
        <w:t xml:space="preserve">The department is monitoring </w:t>
      </w:r>
      <w:r w:rsidR="007E7072">
        <w:t>compliance</w:t>
      </w:r>
      <w:r>
        <w:t xml:space="preserve"> for each of these programs</w:t>
      </w:r>
      <w:r w:rsidR="007E7072">
        <w:t>.</w:t>
      </w:r>
      <w:r>
        <w:t xml:space="preserve"> </w:t>
      </w:r>
      <w:r w:rsidR="007E7072">
        <w:t>I</w:t>
      </w:r>
      <w:r>
        <w:t xml:space="preserve">f VINAH data is </w:t>
      </w:r>
      <w:r w:rsidR="00FA3FFC">
        <w:t>missing, health</w:t>
      </w:r>
      <w:r>
        <w:t xml:space="preserve"> service</w:t>
      </w:r>
      <w:r w:rsidR="007E7072">
        <w:t>s</w:t>
      </w:r>
      <w:r>
        <w:t xml:space="preserve"> may be contacted</w:t>
      </w:r>
      <w:r w:rsidR="00E66241">
        <w:t xml:space="preserve">. </w:t>
      </w:r>
      <w:r>
        <w:t xml:space="preserve">If your health service provides </w:t>
      </w:r>
      <w:r w:rsidR="00E66241">
        <w:t>TPN, HEN or Palliative Care Day Hospice</w:t>
      </w:r>
      <w:r>
        <w:t>, please</w:t>
      </w:r>
      <w:r w:rsidR="00E66241">
        <w:t xml:space="preserve"> ensure that all activity is being reported through VINAH.</w:t>
      </w:r>
    </w:p>
    <w:p w14:paraId="377A022C" w14:textId="5189F282" w:rsidR="00385D05" w:rsidRDefault="00385D05" w:rsidP="00385D05">
      <w:pPr>
        <w:pStyle w:val="Heading2"/>
      </w:pPr>
      <w:bookmarkStart w:id="9" w:name="_Toc4492734"/>
      <w:bookmarkStart w:id="10" w:name="_Toc29903488"/>
      <w:r>
        <w:t>Correction</w:t>
      </w:r>
      <w:r w:rsidR="00F427AF">
        <w:t>s</w:t>
      </w:r>
      <w:r>
        <w:t xml:space="preserve"> </w:t>
      </w:r>
      <w:r w:rsidR="00196A01">
        <w:t>to</w:t>
      </w:r>
      <w:r>
        <w:t xml:space="preserve"> </w:t>
      </w:r>
      <w:r w:rsidR="002E6838">
        <w:t>s</w:t>
      </w:r>
      <w:r w:rsidRPr="00B261FA">
        <w:t xml:space="preserve">pecifications for </w:t>
      </w:r>
      <w:r w:rsidR="002E6838">
        <w:t>r</w:t>
      </w:r>
      <w:r w:rsidRPr="00B261FA">
        <w:t>evisions to</w:t>
      </w:r>
      <w:r>
        <w:t xml:space="preserve"> VINAH for 1 July 2020</w:t>
      </w:r>
      <w:bookmarkEnd w:id="9"/>
      <w:r w:rsidR="00F427AF">
        <w:t xml:space="preserve"> </w:t>
      </w:r>
      <w:r w:rsidR="006A552A">
        <w:t>–</w:t>
      </w:r>
      <w:r w:rsidR="00F427AF">
        <w:t xml:space="preserve"> </w:t>
      </w:r>
      <w:r w:rsidR="00F427AF" w:rsidRPr="00F427AF">
        <w:t xml:space="preserve">Data </w:t>
      </w:r>
      <w:r w:rsidR="002E6838">
        <w:t>E</w:t>
      </w:r>
      <w:r w:rsidR="00F427AF" w:rsidRPr="00F427AF">
        <w:t xml:space="preserve">lements to be </w:t>
      </w:r>
      <w:r w:rsidR="002E6838">
        <w:t>R</w:t>
      </w:r>
      <w:r w:rsidR="00F427AF" w:rsidRPr="00F427AF">
        <w:t xml:space="preserve">eported by </w:t>
      </w:r>
      <w:r w:rsidR="002E6838">
        <w:t>P</w:t>
      </w:r>
      <w:r w:rsidR="00F427AF" w:rsidRPr="00F427AF">
        <w:t>rogram</w:t>
      </w:r>
      <w:bookmarkEnd w:id="10"/>
    </w:p>
    <w:p w14:paraId="398E1ACE" w14:textId="77777777" w:rsidR="009242D2" w:rsidRDefault="009242D2" w:rsidP="00385D05">
      <w:pPr>
        <w:pStyle w:val="DHHSbody"/>
      </w:pPr>
      <w:r>
        <w:t>Two</w:t>
      </w:r>
      <w:r w:rsidR="00385D05">
        <w:t xml:space="preserve"> correction</w:t>
      </w:r>
      <w:r>
        <w:t>s</w:t>
      </w:r>
      <w:r w:rsidR="00385D05">
        <w:t xml:space="preserve"> ha</w:t>
      </w:r>
      <w:r>
        <w:t>ve</w:t>
      </w:r>
      <w:r w:rsidR="00385D05">
        <w:t xml:space="preserve"> been made to the</w:t>
      </w:r>
      <w:r w:rsidR="00F427AF">
        <w:t xml:space="preserve"> Data Elements to be Reported by Program</w:t>
      </w:r>
      <w:r w:rsidR="00385D05">
        <w:t xml:space="preserve"> </w:t>
      </w:r>
      <w:r w:rsidR="00F427AF">
        <w:t xml:space="preserve">summary table in the </w:t>
      </w:r>
      <w:r w:rsidR="00385D05" w:rsidRPr="006E5B5E">
        <w:t xml:space="preserve">Specifications for </w:t>
      </w:r>
      <w:r w:rsidR="002E6838">
        <w:t>R</w:t>
      </w:r>
      <w:r w:rsidR="00385D05" w:rsidRPr="006E5B5E">
        <w:t>evis</w:t>
      </w:r>
      <w:r w:rsidR="00385D05">
        <w:t xml:space="preserve">ions to VINAH for 1 July 2020. </w:t>
      </w:r>
      <w:r>
        <w:t>The corrections are:</w:t>
      </w:r>
    </w:p>
    <w:p w14:paraId="21564C91" w14:textId="56B739CD" w:rsidR="00385D05" w:rsidRDefault="00385D05" w:rsidP="00E30BA8">
      <w:pPr>
        <w:pStyle w:val="DHHSbody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Referral </w:t>
      </w:r>
      <w:proofErr w:type="gramStart"/>
      <w:r>
        <w:rPr>
          <w:rFonts w:cs="Arial"/>
        </w:rPr>
        <w:t>In</w:t>
      </w:r>
      <w:proofErr w:type="gramEnd"/>
      <w:r>
        <w:rPr>
          <w:rFonts w:cs="Arial"/>
        </w:rPr>
        <w:t xml:space="preserve"> First Triage Score is only </w:t>
      </w:r>
      <w:r w:rsidR="00F427AF">
        <w:rPr>
          <w:rFonts w:cs="Arial"/>
        </w:rPr>
        <w:t xml:space="preserve">to be </w:t>
      </w:r>
      <w:r>
        <w:rPr>
          <w:rFonts w:cs="Arial"/>
        </w:rPr>
        <w:t>reported for Palliative Care</w:t>
      </w:r>
      <w:r w:rsidR="00F427AF">
        <w:rPr>
          <w:rFonts w:cs="Arial"/>
        </w:rPr>
        <w:t>.</w:t>
      </w:r>
    </w:p>
    <w:p w14:paraId="76CC8423" w14:textId="5A856776" w:rsidR="009242D2" w:rsidRDefault="009242D2" w:rsidP="00E30BA8">
      <w:pPr>
        <w:pStyle w:val="DHHSbody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Referral End Reason is not reported for Home Based Palliative Care Consultancy Team</w:t>
      </w:r>
    </w:p>
    <w:p w14:paraId="756A6242" w14:textId="4A6D5277" w:rsidR="00385D05" w:rsidRDefault="00385D05" w:rsidP="00385D05">
      <w:pPr>
        <w:pStyle w:val="DHHSbody"/>
      </w:pPr>
      <w:r>
        <w:t>Original table</w:t>
      </w: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4"/>
        <w:gridCol w:w="365"/>
        <w:gridCol w:w="367"/>
        <w:gridCol w:w="326"/>
        <w:gridCol w:w="410"/>
        <w:gridCol w:w="410"/>
        <w:gridCol w:w="367"/>
        <w:gridCol w:w="367"/>
        <w:gridCol w:w="368"/>
        <w:gridCol w:w="370"/>
        <w:gridCol w:w="369"/>
        <w:gridCol w:w="367"/>
        <w:gridCol w:w="369"/>
        <w:gridCol w:w="368"/>
        <w:gridCol w:w="376"/>
        <w:gridCol w:w="379"/>
      </w:tblGrid>
      <w:tr w:rsidR="00385D05" w:rsidRPr="00B2328D" w14:paraId="53C0F7B0" w14:textId="77777777" w:rsidTr="00E4680B">
        <w:trPr>
          <w:trHeight w:val="363"/>
        </w:trPr>
        <w:tc>
          <w:tcPr>
            <w:tcW w:w="9482" w:type="dxa"/>
            <w:gridSpan w:val="16"/>
            <w:shd w:val="solid" w:color="008950" w:fill="568733"/>
          </w:tcPr>
          <w:p w14:paraId="56108B68" w14:textId="77777777" w:rsidR="00385D05" w:rsidRPr="00B2328D" w:rsidRDefault="00385D05" w:rsidP="00E4680B">
            <w:pPr>
              <w:pStyle w:val="Healthbody"/>
              <w:ind w:left="4712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B2328D">
              <w:rPr>
                <w:rFonts w:cs="Arial"/>
                <w:b/>
                <w:color w:val="FFFFFF"/>
                <w:sz w:val="24"/>
                <w:szCs w:val="24"/>
              </w:rPr>
              <w:t>PROGRAMS REPORTING TO VINAH</w:t>
            </w:r>
          </w:p>
        </w:tc>
      </w:tr>
      <w:tr w:rsidR="00385D05" w:rsidRPr="00A33F6C" w14:paraId="1423172B" w14:textId="77777777" w:rsidTr="00E4680B">
        <w:trPr>
          <w:cantSplit/>
          <w:trHeight w:val="1911"/>
        </w:trPr>
        <w:tc>
          <w:tcPr>
            <w:tcW w:w="3904" w:type="dxa"/>
            <w:vAlign w:val="bottom"/>
          </w:tcPr>
          <w:p w14:paraId="2CEAEBC9" w14:textId="77777777" w:rsidR="00385D05" w:rsidRPr="00A33F6C" w:rsidRDefault="00385D05" w:rsidP="00E4680B">
            <w:pPr>
              <w:pStyle w:val="Healthbody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DATA ELEMENT</w:t>
            </w:r>
          </w:p>
        </w:tc>
        <w:tc>
          <w:tcPr>
            <w:tcW w:w="365" w:type="dxa"/>
            <w:shd w:val="clear" w:color="auto" w:fill="D9D9D9" w:themeFill="background1" w:themeFillShade="D9"/>
            <w:textDirection w:val="tbRl"/>
            <w:vAlign w:val="center"/>
          </w:tcPr>
          <w:p w14:paraId="4B64577C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FCP</w:t>
            </w:r>
          </w:p>
        </w:tc>
        <w:tc>
          <w:tcPr>
            <w:tcW w:w="367" w:type="dxa"/>
            <w:shd w:val="clear" w:color="auto" w:fill="auto"/>
            <w:textDirection w:val="tbRl"/>
            <w:vAlign w:val="center"/>
          </w:tcPr>
          <w:p w14:paraId="637D053D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HARP</w:t>
            </w:r>
          </w:p>
        </w:tc>
        <w:tc>
          <w:tcPr>
            <w:tcW w:w="326" w:type="dxa"/>
            <w:shd w:val="solid" w:color="D9D9D9" w:fill="D9D9D9"/>
            <w:textDirection w:val="tbRl"/>
            <w:vAlign w:val="center"/>
          </w:tcPr>
          <w:p w14:paraId="4E3EE328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HBPCCT</w:t>
            </w:r>
          </w:p>
        </w:tc>
        <w:tc>
          <w:tcPr>
            <w:tcW w:w="410" w:type="dxa"/>
            <w:textDirection w:val="tbRl"/>
            <w:vAlign w:val="center"/>
          </w:tcPr>
          <w:p w14:paraId="5D9D41E2" w14:textId="77777777" w:rsidR="00385D05" w:rsidRPr="00410B2E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574EF3">
              <w:rPr>
                <w:rFonts w:cs="Arial"/>
                <w:b/>
                <w:highlight w:val="green"/>
              </w:rPr>
              <w:t>HBD</w:t>
            </w:r>
          </w:p>
        </w:tc>
        <w:tc>
          <w:tcPr>
            <w:tcW w:w="410" w:type="dxa"/>
            <w:textDirection w:val="tbRl"/>
            <w:vAlign w:val="center"/>
          </w:tcPr>
          <w:p w14:paraId="74F55876" w14:textId="77777777" w:rsidR="00385D05" w:rsidRPr="00410B2E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410B2E">
              <w:rPr>
                <w:rFonts w:cs="Arial"/>
                <w:b/>
              </w:rPr>
              <w:t>HEN</w:t>
            </w:r>
          </w:p>
        </w:tc>
        <w:tc>
          <w:tcPr>
            <w:tcW w:w="367" w:type="dxa"/>
            <w:shd w:val="solid" w:color="D9D9D9" w:fill="D9D9D9"/>
            <w:textDirection w:val="tbRl"/>
            <w:vAlign w:val="center"/>
          </w:tcPr>
          <w:p w14:paraId="034F8D26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Medi-Hotel</w:t>
            </w:r>
          </w:p>
        </w:tc>
        <w:tc>
          <w:tcPr>
            <w:tcW w:w="367" w:type="dxa"/>
            <w:textDirection w:val="tbRl"/>
            <w:vAlign w:val="center"/>
          </w:tcPr>
          <w:p w14:paraId="1DE69C09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</w:t>
            </w:r>
          </w:p>
        </w:tc>
        <w:tc>
          <w:tcPr>
            <w:tcW w:w="368" w:type="dxa"/>
            <w:shd w:val="solid" w:color="D9D9D9" w:fill="D9D9D9"/>
            <w:textDirection w:val="tbRl"/>
            <w:vAlign w:val="center"/>
          </w:tcPr>
          <w:p w14:paraId="32FCC5B6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PAC</w:t>
            </w:r>
          </w:p>
        </w:tc>
        <w:tc>
          <w:tcPr>
            <w:tcW w:w="370" w:type="dxa"/>
            <w:textDirection w:val="tbRl"/>
            <w:vAlign w:val="center"/>
          </w:tcPr>
          <w:p w14:paraId="2639A9B1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Palliative Care</w:t>
            </w:r>
          </w:p>
        </w:tc>
        <w:tc>
          <w:tcPr>
            <w:tcW w:w="369" w:type="dxa"/>
            <w:shd w:val="clear" w:color="auto" w:fill="D9D9D9" w:themeFill="background1" w:themeFillShade="D9"/>
            <w:textDirection w:val="tbRl"/>
            <w:vAlign w:val="center"/>
          </w:tcPr>
          <w:p w14:paraId="0D2FA539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RIR</w:t>
            </w:r>
          </w:p>
        </w:tc>
        <w:tc>
          <w:tcPr>
            <w:tcW w:w="367" w:type="dxa"/>
            <w:shd w:val="clear" w:color="auto" w:fill="FFFFFF" w:themeFill="background1"/>
            <w:textDirection w:val="tbRl"/>
            <w:vAlign w:val="center"/>
          </w:tcPr>
          <w:p w14:paraId="77E23ED7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SACS</w:t>
            </w:r>
          </w:p>
        </w:tc>
        <w:tc>
          <w:tcPr>
            <w:tcW w:w="369" w:type="dxa"/>
            <w:shd w:val="clear" w:color="auto" w:fill="D9D9D9" w:themeFill="background1" w:themeFillShade="D9"/>
            <w:textDirection w:val="tbRl"/>
            <w:vAlign w:val="center"/>
          </w:tcPr>
          <w:p w14:paraId="3D91B4B8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TCP</w:t>
            </w:r>
          </w:p>
        </w:tc>
        <w:tc>
          <w:tcPr>
            <w:tcW w:w="368" w:type="dxa"/>
            <w:shd w:val="clear" w:color="auto" w:fill="FFFFFF" w:themeFill="background1"/>
            <w:textDirection w:val="tbRl"/>
            <w:vAlign w:val="center"/>
          </w:tcPr>
          <w:p w14:paraId="19CEBF01" w14:textId="77777777" w:rsidR="00385D05" w:rsidRPr="00410B2E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410B2E">
              <w:rPr>
                <w:rFonts w:cs="Arial"/>
                <w:b/>
              </w:rPr>
              <w:t>TPN</w:t>
            </w:r>
          </w:p>
        </w:tc>
        <w:tc>
          <w:tcPr>
            <w:tcW w:w="376" w:type="dxa"/>
            <w:shd w:val="clear" w:color="auto" w:fill="D9D9D9" w:themeFill="background1" w:themeFillShade="D9"/>
            <w:textDirection w:val="tbRl"/>
            <w:vAlign w:val="center"/>
          </w:tcPr>
          <w:p w14:paraId="2B8239C5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VHS</w:t>
            </w:r>
          </w:p>
        </w:tc>
        <w:tc>
          <w:tcPr>
            <w:tcW w:w="379" w:type="dxa"/>
            <w:shd w:val="clear" w:color="auto" w:fill="FFFFFF" w:themeFill="background1"/>
            <w:textDirection w:val="tbRl"/>
            <w:vAlign w:val="center"/>
          </w:tcPr>
          <w:p w14:paraId="3DEEFB15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VRSS</w:t>
            </w:r>
          </w:p>
        </w:tc>
      </w:tr>
      <w:tr w:rsidR="00ED766C" w:rsidRPr="00A33F6C" w14:paraId="1C893A39" w14:textId="77777777" w:rsidTr="00E4680B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B7CE" w14:textId="3BAD67EA" w:rsidR="00ED766C" w:rsidRPr="00D9737D" w:rsidRDefault="0086768F" w:rsidP="00E4680B">
            <w:pPr>
              <w:pStyle w:val="Healthbody"/>
              <w:rPr>
                <w:rFonts w:cs="Arial"/>
                <w:highlight w:val="green"/>
              </w:rPr>
            </w:pPr>
            <w:r w:rsidRPr="00D9737D">
              <w:rPr>
                <w:rFonts w:cs="Arial"/>
              </w:rPr>
              <w:t xml:space="preserve">Referral End </w:t>
            </w:r>
            <w:r w:rsidR="00D9737D" w:rsidRPr="00D9737D">
              <w:rPr>
                <w:rFonts w:cs="Arial"/>
              </w:rPr>
              <w:t>Reason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A335F" w14:textId="52430C80" w:rsidR="00ED766C" w:rsidRPr="00712FDF" w:rsidRDefault="00D9737D" w:rsidP="00E4680B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C609" w14:textId="71436024" w:rsidR="00ED766C" w:rsidRPr="00712FDF" w:rsidRDefault="00D9737D" w:rsidP="00E4680B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14:paraId="5C77314B" w14:textId="68B3E0A7" w:rsidR="00ED766C" w:rsidRPr="00A33F6C" w:rsidRDefault="00D9737D" w:rsidP="00E4680B">
            <w:pPr>
              <w:pStyle w:val="Healthbody"/>
              <w:jc w:val="center"/>
              <w:rPr>
                <w:rFonts w:cs="Arial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E4E8" w14:textId="40CC3685" w:rsidR="00ED766C" w:rsidRPr="00712FDF" w:rsidRDefault="00D9737D" w:rsidP="00E4680B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903E" w14:textId="57BE52A3" w:rsidR="00ED766C" w:rsidRPr="00712FDF" w:rsidRDefault="00D9737D" w:rsidP="00E4680B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14:paraId="18D66CF3" w14:textId="77777777" w:rsidR="00ED766C" w:rsidRPr="00A33F6C" w:rsidRDefault="00ED766C" w:rsidP="00E4680B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5242" w14:textId="3B752D9A" w:rsidR="00ED766C" w:rsidRPr="00712FDF" w:rsidRDefault="00D9737D" w:rsidP="00E4680B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  <w:r w:rsidRPr="00D9737D">
              <w:rPr>
                <w:rFonts w:cs="Arial"/>
                <w:u w:val="single"/>
              </w:rPr>
              <w:t>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14:paraId="27469FB8" w14:textId="3AA149A5" w:rsidR="00ED766C" w:rsidRPr="00712FDF" w:rsidRDefault="00D9737D" w:rsidP="00E4680B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257E" w14:textId="7B62A408" w:rsidR="00ED766C" w:rsidRPr="00D4716D" w:rsidRDefault="00ED766C" w:rsidP="00E4680B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D2FD6" w14:textId="1C199A20" w:rsidR="00ED766C" w:rsidRPr="00712FDF" w:rsidRDefault="00D9737D" w:rsidP="00E4680B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EF25" w14:textId="1D3A8E07" w:rsidR="00ED766C" w:rsidRPr="00712FDF" w:rsidRDefault="00D9737D" w:rsidP="00E4680B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34671" w14:textId="6A675232" w:rsidR="00ED766C" w:rsidRPr="00712FDF" w:rsidRDefault="00D9737D" w:rsidP="00E4680B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23B63" w14:textId="18C93616" w:rsidR="00ED766C" w:rsidRPr="00712FDF" w:rsidRDefault="00D9737D" w:rsidP="00E4680B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D12BD" w14:textId="7A2CAF5F" w:rsidR="00ED766C" w:rsidRPr="00712FDF" w:rsidRDefault="00D9737D" w:rsidP="00E4680B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4CB55" w14:textId="1F50D75C" w:rsidR="00ED766C" w:rsidRPr="00712FDF" w:rsidRDefault="00D9737D" w:rsidP="00E4680B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</w:tr>
      <w:tr w:rsidR="00385D05" w:rsidRPr="00A33F6C" w14:paraId="48D3C0B7" w14:textId="77777777" w:rsidTr="00E4680B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0107" w14:textId="77777777" w:rsidR="00385D05" w:rsidRPr="00D4716D" w:rsidRDefault="00385D05" w:rsidP="00E4680B">
            <w:pPr>
              <w:pStyle w:val="Healthbody"/>
              <w:rPr>
                <w:rFonts w:cs="Arial"/>
                <w:u w:val="single"/>
              </w:rPr>
            </w:pPr>
            <w:r w:rsidRPr="00D4716D">
              <w:rPr>
                <w:rFonts w:cs="Arial"/>
                <w:highlight w:val="green"/>
                <w:u w:val="single"/>
              </w:rPr>
              <w:t xml:space="preserve">Referral </w:t>
            </w:r>
            <w:proofErr w:type="gramStart"/>
            <w:r>
              <w:rPr>
                <w:rFonts w:cs="Arial"/>
                <w:highlight w:val="green"/>
                <w:u w:val="single"/>
              </w:rPr>
              <w:t>I</w:t>
            </w:r>
            <w:r w:rsidRPr="00D4716D">
              <w:rPr>
                <w:rFonts w:cs="Arial"/>
                <w:highlight w:val="green"/>
                <w:u w:val="single"/>
              </w:rPr>
              <w:t>n</w:t>
            </w:r>
            <w:proofErr w:type="gramEnd"/>
            <w:r w:rsidRPr="00D4716D">
              <w:rPr>
                <w:rFonts w:cs="Arial"/>
                <w:highlight w:val="green"/>
                <w:u w:val="single"/>
              </w:rPr>
              <w:t xml:space="preserve"> First Triage Score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32556" w14:textId="77777777" w:rsidR="00385D05" w:rsidRPr="00A33F6C" w:rsidRDefault="00385D05" w:rsidP="00E4680B">
            <w:pPr>
              <w:pStyle w:val="Healthbody"/>
              <w:jc w:val="center"/>
              <w:rPr>
                <w:rFonts w:cs="Arial"/>
              </w:rPr>
            </w:pPr>
            <w:r w:rsidRPr="00712FDF"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2C22" w14:textId="77777777" w:rsidR="00385D05" w:rsidRPr="00A33F6C" w:rsidRDefault="00385D05" w:rsidP="00E4680B">
            <w:pPr>
              <w:pStyle w:val="Healthbody"/>
              <w:jc w:val="center"/>
              <w:rPr>
                <w:rFonts w:cs="Arial"/>
              </w:rPr>
            </w:pPr>
            <w:r w:rsidRPr="00712FDF"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14:paraId="7E95F0A9" w14:textId="77777777" w:rsidR="00385D05" w:rsidRPr="00A33F6C" w:rsidRDefault="00385D05" w:rsidP="00E4680B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7B34" w14:textId="77777777" w:rsidR="00385D05" w:rsidRPr="00574EF3" w:rsidRDefault="00385D05" w:rsidP="00E4680B">
            <w:pPr>
              <w:pStyle w:val="Healthbody"/>
              <w:jc w:val="center"/>
              <w:rPr>
                <w:rFonts w:cs="Arial"/>
                <w:highlight w:val="green"/>
              </w:rPr>
            </w:pPr>
            <w:r w:rsidRPr="00712FDF"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64D0" w14:textId="77777777" w:rsidR="00385D05" w:rsidRPr="00410B2E" w:rsidRDefault="00385D05" w:rsidP="00E4680B">
            <w:pPr>
              <w:pStyle w:val="Healthbody"/>
              <w:jc w:val="center"/>
              <w:rPr>
                <w:rFonts w:cs="Arial"/>
              </w:rPr>
            </w:pPr>
            <w:r w:rsidRPr="00712FDF"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14:paraId="7C6D611E" w14:textId="77777777" w:rsidR="00385D05" w:rsidRPr="00A33F6C" w:rsidRDefault="00385D05" w:rsidP="00E4680B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A8C6" w14:textId="77777777" w:rsidR="00385D05" w:rsidRPr="00A33F6C" w:rsidRDefault="00385D05" w:rsidP="00E4680B">
            <w:pPr>
              <w:pStyle w:val="Healthbody"/>
              <w:jc w:val="center"/>
              <w:rPr>
                <w:rFonts w:cs="Arial"/>
              </w:rPr>
            </w:pPr>
            <w:r w:rsidRPr="00712FDF"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14:paraId="57DE648F" w14:textId="77777777" w:rsidR="00385D05" w:rsidRPr="00A33F6C" w:rsidRDefault="00385D05" w:rsidP="00E4680B">
            <w:pPr>
              <w:pStyle w:val="Healthbody"/>
              <w:jc w:val="center"/>
              <w:rPr>
                <w:rFonts w:cs="Arial"/>
              </w:rPr>
            </w:pPr>
            <w:r w:rsidRPr="00712FDF"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975F" w14:textId="77777777" w:rsidR="00385D05" w:rsidRPr="00D4716D" w:rsidRDefault="00385D05" w:rsidP="00E4680B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  <w:r w:rsidRPr="00D4716D"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FCDAF" w14:textId="77777777" w:rsidR="00385D05" w:rsidRPr="00A33F6C" w:rsidRDefault="00385D05" w:rsidP="00E4680B">
            <w:pPr>
              <w:pStyle w:val="Healthbody"/>
              <w:jc w:val="center"/>
              <w:rPr>
                <w:rFonts w:cs="Arial"/>
              </w:rPr>
            </w:pPr>
            <w:r w:rsidRPr="00712FDF"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98ED" w14:textId="77777777" w:rsidR="00385D05" w:rsidRPr="00A33F6C" w:rsidRDefault="00385D05" w:rsidP="00E4680B">
            <w:pPr>
              <w:pStyle w:val="Healthbody"/>
              <w:jc w:val="center"/>
              <w:rPr>
                <w:rFonts w:cs="Arial"/>
              </w:rPr>
            </w:pPr>
            <w:r w:rsidRPr="00712FDF"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19A95" w14:textId="77777777" w:rsidR="00385D05" w:rsidRPr="00A33F6C" w:rsidRDefault="00385D05" w:rsidP="00E4680B">
            <w:pPr>
              <w:pStyle w:val="Healthbody"/>
              <w:jc w:val="center"/>
              <w:rPr>
                <w:rFonts w:cs="Arial"/>
              </w:rPr>
            </w:pPr>
            <w:r w:rsidRPr="00712FDF"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421EA" w14:textId="77777777" w:rsidR="00385D05" w:rsidRPr="00410B2E" w:rsidRDefault="00385D05" w:rsidP="00E4680B">
            <w:pPr>
              <w:pStyle w:val="Healthbody"/>
              <w:jc w:val="center"/>
              <w:rPr>
                <w:rFonts w:cs="Arial"/>
              </w:rPr>
            </w:pPr>
            <w:r w:rsidRPr="00712FDF"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5FB67" w14:textId="77777777" w:rsidR="00385D05" w:rsidRPr="00A33F6C" w:rsidRDefault="00385D05" w:rsidP="00E4680B">
            <w:pPr>
              <w:pStyle w:val="Healthbody"/>
              <w:jc w:val="center"/>
              <w:rPr>
                <w:rFonts w:cs="Arial"/>
              </w:rPr>
            </w:pPr>
            <w:r w:rsidRPr="00712FDF"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A7FC0" w14:textId="77777777" w:rsidR="00385D05" w:rsidRPr="00A33F6C" w:rsidRDefault="00385D05" w:rsidP="00E4680B">
            <w:pPr>
              <w:pStyle w:val="Healthbody"/>
              <w:jc w:val="center"/>
              <w:rPr>
                <w:rFonts w:cs="Arial"/>
              </w:rPr>
            </w:pPr>
            <w:r w:rsidRPr="00712FDF">
              <w:rPr>
                <w:rFonts w:cs="Arial"/>
                <w:highlight w:val="green"/>
                <w:u w:val="single"/>
              </w:rPr>
              <w:t>Y</w:t>
            </w:r>
          </w:p>
        </w:tc>
      </w:tr>
    </w:tbl>
    <w:p w14:paraId="2A1FBF11" w14:textId="77777777" w:rsidR="00385D05" w:rsidRDefault="00385D05" w:rsidP="00385D05">
      <w:pPr>
        <w:pStyle w:val="DHHSbody"/>
      </w:pPr>
    </w:p>
    <w:p w14:paraId="1EF1BE74" w14:textId="384F7C51" w:rsidR="00385D05" w:rsidRDefault="00385D05" w:rsidP="00385D05">
      <w:pPr>
        <w:pStyle w:val="DHHSbody"/>
      </w:pPr>
      <w:r>
        <w:t>Updated table</w:t>
      </w: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4"/>
        <w:gridCol w:w="365"/>
        <w:gridCol w:w="367"/>
        <w:gridCol w:w="326"/>
        <w:gridCol w:w="410"/>
        <w:gridCol w:w="410"/>
        <w:gridCol w:w="367"/>
        <w:gridCol w:w="367"/>
        <w:gridCol w:w="368"/>
        <w:gridCol w:w="370"/>
        <w:gridCol w:w="369"/>
        <w:gridCol w:w="367"/>
        <w:gridCol w:w="369"/>
        <w:gridCol w:w="368"/>
        <w:gridCol w:w="376"/>
        <w:gridCol w:w="379"/>
      </w:tblGrid>
      <w:tr w:rsidR="00385D05" w:rsidRPr="00B2328D" w14:paraId="715458C8" w14:textId="77777777" w:rsidTr="00385D05">
        <w:trPr>
          <w:trHeight w:val="363"/>
        </w:trPr>
        <w:tc>
          <w:tcPr>
            <w:tcW w:w="9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8950" w:fill="568733"/>
          </w:tcPr>
          <w:p w14:paraId="0EA52A4C" w14:textId="77777777" w:rsidR="00385D05" w:rsidRPr="00B2328D" w:rsidRDefault="00385D05" w:rsidP="00E4680B">
            <w:pPr>
              <w:pStyle w:val="Healthbody"/>
              <w:ind w:left="4712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B2328D">
              <w:rPr>
                <w:rFonts w:cs="Arial"/>
                <w:b/>
                <w:color w:val="FFFFFF"/>
                <w:sz w:val="24"/>
                <w:szCs w:val="24"/>
              </w:rPr>
              <w:t>PROGRAMS REPORTING TO VINAH</w:t>
            </w:r>
          </w:p>
        </w:tc>
      </w:tr>
      <w:tr w:rsidR="00385D05" w:rsidRPr="00A33F6C" w14:paraId="2F16CAEA" w14:textId="77777777" w:rsidTr="00E4680B">
        <w:trPr>
          <w:cantSplit/>
          <w:trHeight w:val="1911"/>
        </w:trPr>
        <w:tc>
          <w:tcPr>
            <w:tcW w:w="3904" w:type="dxa"/>
            <w:vAlign w:val="bottom"/>
          </w:tcPr>
          <w:p w14:paraId="4BDEF32E" w14:textId="77777777" w:rsidR="00385D05" w:rsidRPr="00A33F6C" w:rsidRDefault="00385D05" w:rsidP="00E4680B">
            <w:pPr>
              <w:pStyle w:val="Healthbody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DATA ELEMENT</w:t>
            </w:r>
          </w:p>
        </w:tc>
        <w:tc>
          <w:tcPr>
            <w:tcW w:w="365" w:type="dxa"/>
            <w:shd w:val="clear" w:color="auto" w:fill="D9D9D9" w:themeFill="background1" w:themeFillShade="D9"/>
            <w:textDirection w:val="tbRl"/>
            <w:vAlign w:val="center"/>
          </w:tcPr>
          <w:p w14:paraId="432415BC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FCP</w:t>
            </w:r>
          </w:p>
        </w:tc>
        <w:tc>
          <w:tcPr>
            <w:tcW w:w="367" w:type="dxa"/>
            <w:shd w:val="clear" w:color="auto" w:fill="auto"/>
            <w:textDirection w:val="tbRl"/>
            <w:vAlign w:val="center"/>
          </w:tcPr>
          <w:p w14:paraId="5A62A7F5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HARP</w:t>
            </w:r>
          </w:p>
        </w:tc>
        <w:tc>
          <w:tcPr>
            <w:tcW w:w="326" w:type="dxa"/>
            <w:shd w:val="solid" w:color="D9D9D9" w:fill="D9D9D9"/>
            <w:textDirection w:val="tbRl"/>
            <w:vAlign w:val="center"/>
          </w:tcPr>
          <w:p w14:paraId="15D259F8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HBPCCT</w:t>
            </w:r>
          </w:p>
        </w:tc>
        <w:tc>
          <w:tcPr>
            <w:tcW w:w="410" w:type="dxa"/>
            <w:textDirection w:val="tbRl"/>
            <w:vAlign w:val="center"/>
          </w:tcPr>
          <w:p w14:paraId="41D22B27" w14:textId="77777777" w:rsidR="00385D05" w:rsidRPr="00410B2E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574EF3">
              <w:rPr>
                <w:rFonts w:cs="Arial"/>
                <w:b/>
                <w:highlight w:val="green"/>
              </w:rPr>
              <w:t>HBD</w:t>
            </w:r>
          </w:p>
        </w:tc>
        <w:tc>
          <w:tcPr>
            <w:tcW w:w="410" w:type="dxa"/>
            <w:textDirection w:val="tbRl"/>
            <w:vAlign w:val="center"/>
          </w:tcPr>
          <w:p w14:paraId="36CE4984" w14:textId="77777777" w:rsidR="00385D05" w:rsidRPr="00410B2E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410B2E">
              <w:rPr>
                <w:rFonts w:cs="Arial"/>
                <w:b/>
              </w:rPr>
              <w:t>HEN</w:t>
            </w:r>
          </w:p>
        </w:tc>
        <w:tc>
          <w:tcPr>
            <w:tcW w:w="367" w:type="dxa"/>
            <w:shd w:val="solid" w:color="D9D9D9" w:fill="D9D9D9"/>
            <w:textDirection w:val="tbRl"/>
            <w:vAlign w:val="center"/>
          </w:tcPr>
          <w:p w14:paraId="22E71855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Medi-Hotel</w:t>
            </w:r>
          </w:p>
        </w:tc>
        <w:tc>
          <w:tcPr>
            <w:tcW w:w="367" w:type="dxa"/>
            <w:textDirection w:val="tbRl"/>
            <w:vAlign w:val="center"/>
          </w:tcPr>
          <w:p w14:paraId="169D4461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</w:t>
            </w:r>
          </w:p>
        </w:tc>
        <w:tc>
          <w:tcPr>
            <w:tcW w:w="368" w:type="dxa"/>
            <w:shd w:val="solid" w:color="D9D9D9" w:fill="D9D9D9"/>
            <w:textDirection w:val="tbRl"/>
            <w:vAlign w:val="center"/>
          </w:tcPr>
          <w:p w14:paraId="2A550C5D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PAC</w:t>
            </w:r>
          </w:p>
        </w:tc>
        <w:tc>
          <w:tcPr>
            <w:tcW w:w="370" w:type="dxa"/>
            <w:textDirection w:val="tbRl"/>
            <w:vAlign w:val="center"/>
          </w:tcPr>
          <w:p w14:paraId="1BC81E6F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Palliative Care</w:t>
            </w:r>
          </w:p>
        </w:tc>
        <w:tc>
          <w:tcPr>
            <w:tcW w:w="369" w:type="dxa"/>
            <w:shd w:val="clear" w:color="auto" w:fill="D9D9D9" w:themeFill="background1" w:themeFillShade="D9"/>
            <w:textDirection w:val="tbRl"/>
            <w:vAlign w:val="center"/>
          </w:tcPr>
          <w:p w14:paraId="67444936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RIR</w:t>
            </w:r>
          </w:p>
        </w:tc>
        <w:tc>
          <w:tcPr>
            <w:tcW w:w="367" w:type="dxa"/>
            <w:shd w:val="clear" w:color="auto" w:fill="FFFFFF" w:themeFill="background1"/>
            <w:textDirection w:val="tbRl"/>
            <w:vAlign w:val="center"/>
          </w:tcPr>
          <w:p w14:paraId="41B981FF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SACS</w:t>
            </w:r>
          </w:p>
        </w:tc>
        <w:tc>
          <w:tcPr>
            <w:tcW w:w="369" w:type="dxa"/>
            <w:shd w:val="clear" w:color="auto" w:fill="D9D9D9" w:themeFill="background1" w:themeFillShade="D9"/>
            <w:textDirection w:val="tbRl"/>
            <w:vAlign w:val="center"/>
          </w:tcPr>
          <w:p w14:paraId="04BCE443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TCP</w:t>
            </w:r>
          </w:p>
        </w:tc>
        <w:tc>
          <w:tcPr>
            <w:tcW w:w="368" w:type="dxa"/>
            <w:shd w:val="clear" w:color="auto" w:fill="FFFFFF" w:themeFill="background1"/>
            <w:textDirection w:val="tbRl"/>
            <w:vAlign w:val="center"/>
          </w:tcPr>
          <w:p w14:paraId="5D8DA2E6" w14:textId="77777777" w:rsidR="00385D05" w:rsidRPr="00410B2E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410B2E">
              <w:rPr>
                <w:rFonts w:cs="Arial"/>
                <w:b/>
              </w:rPr>
              <w:t>TPN</w:t>
            </w:r>
          </w:p>
        </w:tc>
        <w:tc>
          <w:tcPr>
            <w:tcW w:w="376" w:type="dxa"/>
            <w:shd w:val="clear" w:color="auto" w:fill="D9D9D9" w:themeFill="background1" w:themeFillShade="D9"/>
            <w:textDirection w:val="tbRl"/>
            <w:vAlign w:val="center"/>
          </w:tcPr>
          <w:p w14:paraId="1DAF331D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VHS</w:t>
            </w:r>
          </w:p>
        </w:tc>
        <w:tc>
          <w:tcPr>
            <w:tcW w:w="379" w:type="dxa"/>
            <w:shd w:val="clear" w:color="auto" w:fill="FFFFFF" w:themeFill="background1"/>
            <w:textDirection w:val="tbRl"/>
            <w:vAlign w:val="center"/>
          </w:tcPr>
          <w:p w14:paraId="6548A60A" w14:textId="77777777" w:rsidR="00385D05" w:rsidRPr="00A33F6C" w:rsidRDefault="00385D05" w:rsidP="00E4680B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VRSS</w:t>
            </w:r>
          </w:p>
        </w:tc>
      </w:tr>
      <w:tr w:rsidR="00ED766C" w:rsidRPr="00A33F6C" w14:paraId="42D0A8F6" w14:textId="77777777" w:rsidTr="00E4680B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F7AE" w14:textId="6188A8ED" w:rsidR="00ED766C" w:rsidRPr="00D9737D" w:rsidRDefault="00D9737D" w:rsidP="00E4680B">
            <w:pPr>
              <w:pStyle w:val="Healthbody"/>
              <w:rPr>
                <w:rFonts w:cs="Arial"/>
                <w:highlight w:val="green"/>
              </w:rPr>
            </w:pPr>
            <w:r w:rsidRPr="00D9737D">
              <w:rPr>
                <w:rFonts w:cs="Arial"/>
              </w:rPr>
              <w:t>Referral End Reason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8B90E" w14:textId="42A86923" w:rsidR="00ED766C" w:rsidRPr="00A33F6C" w:rsidRDefault="00D9737D" w:rsidP="00E4680B">
            <w:pPr>
              <w:pStyle w:val="Healthbody"/>
              <w:jc w:val="center"/>
              <w:rPr>
                <w:rFonts w:cs="Arial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4F2F" w14:textId="51D63E4D" w:rsidR="00ED766C" w:rsidRPr="00A33F6C" w:rsidRDefault="00D9737D" w:rsidP="00E4680B">
            <w:pPr>
              <w:pStyle w:val="Healthbody"/>
              <w:jc w:val="center"/>
              <w:rPr>
                <w:rFonts w:cs="Arial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14:paraId="21CABD14" w14:textId="77777777" w:rsidR="00ED766C" w:rsidRPr="00A33F6C" w:rsidRDefault="00ED766C" w:rsidP="00E4680B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7D9B" w14:textId="232100F7" w:rsidR="00ED766C" w:rsidRPr="00574EF3" w:rsidRDefault="00D9737D" w:rsidP="00E4680B">
            <w:pPr>
              <w:pStyle w:val="Healthbody"/>
              <w:jc w:val="center"/>
              <w:rPr>
                <w:rFonts w:cs="Arial"/>
                <w:highlight w:val="green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9F3E" w14:textId="442EDA46" w:rsidR="00ED766C" w:rsidRPr="00410B2E" w:rsidRDefault="00D9737D" w:rsidP="00E4680B">
            <w:pPr>
              <w:pStyle w:val="Healthbody"/>
              <w:jc w:val="center"/>
              <w:rPr>
                <w:rFonts w:cs="Arial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14:paraId="45D0D1C8" w14:textId="77777777" w:rsidR="00ED766C" w:rsidRPr="00A33F6C" w:rsidRDefault="00ED766C" w:rsidP="00E4680B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D1B4" w14:textId="2C48957E" w:rsidR="00ED766C" w:rsidRPr="00A33F6C" w:rsidRDefault="00D9737D" w:rsidP="00E4680B">
            <w:pPr>
              <w:pStyle w:val="Healthbody"/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14:paraId="41D5D463" w14:textId="779BDF02" w:rsidR="00ED766C" w:rsidRPr="00712FDF" w:rsidRDefault="00D9737D" w:rsidP="00E4680B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A651" w14:textId="77777777" w:rsidR="00ED766C" w:rsidRPr="00D4716D" w:rsidRDefault="00ED766C" w:rsidP="00E4680B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64EC9" w14:textId="54788166" w:rsidR="00ED766C" w:rsidRPr="00A33F6C" w:rsidRDefault="00D9737D" w:rsidP="00E4680B">
            <w:pPr>
              <w:pStyle w:val="Healthbody"/>
              <w:jc w:val="center"/>
              <w:rPr>
                <w:rFonts w:cs="Arial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95B4C" w14:textId="2E091B52" w:rsidR="00ED766C" w:rsidRPr="00A33F6C" w:rsidRDefault="00D9737D" w:rsidP="00E4680B">
            <w:pPr>
              <w:pStyle w:val="Healthbody"/>
              <w:jc w:val="center"/>
              <w:rPr>
                <w:rFonts w:cs="Arial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04A21" w14:textId="2E69D688" w:rsidR="00ED766C" w:rsidRPr="00A33F6C" w:rsidRDefault="00D9737D" w:rsidP="00E4680B">
            <w:pPr>
              <w:pStyle w:val="Healthbody"/>
              <w:jc w:val="center"/>
              <w:rPr>
                <w:rFonts w:cs="Arial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88D74" w14:textId="2D57ECA9" w:rsidR="00ED766C" w:rsidRPr="00410B2E" w:rsidRDefault="00D9737D" w:rsidP="00E4680B">
            <w:pPr>
              <w:pStyle w:val="Healthbody"/>
              <w:jc w:val="center"/>
              <w:rPr>
                <w:rFonts w:cs="Arial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7A78E" w14:textId="211ECD4A" w:rsidR="00ED766C" w:rsidRPr="00A33F6C" w:rsidRDefault="00D9737D" w:rsidP="00E4680B">
            <w:pPr>
              <w:pStyle w:val="Healthbody"/>
              <w:jc w:val="center"/>
              <w:rPr>
                <w:rFonts w:cs="Arial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3DBB6" w14:textId="35B644B5" w:rsidR="00ED766C" w:rsidRPr="00A33F6C" w:rsidRDefault="00D9737D" w:rsidP="00E4680B">
            <w:pPr>
              <w:pStyle w:val="Healthbody"/>
              <w:jc w:val="center"/>
              <w:rPr>
                <w:rFonts w:cs="Arial"/>
              </w:rPr>
            </w:pPr>
            <w:r>
              <w:rPr>
                <w:rFonts w:cs="Arial"/>
                <w:highlight w:val="green"/>
                <w:u w:val="single"/>
              </w:rPr>
              <w:t>Y</w:t>
            </w:r>
          </w:p>
        </w:tc>
      </w:tr>
      <w:tr w:rsidR="00A70D31" w:rsidRPr="00A33F6C" w14:paraId="63E17962" w14:textId="77777777" w:rsidTr="00E4680B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4176" w14:textId="77777777" w:rsidR="00A70D31" w:rsidRPr="00D4716D" w:rsidRDefault="00A70D31" w:rsidP="00A70D31">
            <w:pPr>
              <w:pStyle w:val="Healthbody"/>
              <w:rPr>
                <w:rFonts w:cs="Arial"/>
                <w:u w:val="single"/>
              </w:rPr>
            </w:pPr>
            <w:r w:rsidRPr="00D4716D">
              <w:rPr>
                <w:rFonts w:cs="Arial"/>
                <w:highlight w:val="green"/>
                <w:u w:val="single"/>
              </w:rPr>
              <w:t xml:space="preserve">Referral </w:t>
            </w:r>
            <w:proofErr w:type="gramStart"/>
            <w:r>
              <w:rPr>
                <w:rFonts w:cs="Arial"/>
                <w:highlight w:val="green"/>
                <w:u w:val="single"/>
              </w:rPr>
              <w:t>I</w:t>
            </w:r>
            <w:r w:rsidRPr="00D4716D">
              <w:rPr>
                <w:rFonts w:cs="Arial"/>
                <w:highlight w:val="green"/>
                <w:u w:val="single"/>
              </w:rPr>
              <w:t>n</w:t>
            </w:r>
            <w:proofErr w:type="gramEnd"/>
            <w:r w:rsidRPr="00D4716D">
              <w:rPr>
                <w:rFonts w:cs="Arial"/>
                <w:highlight w:val="green"/>
                <w:u w:val="single"/>
              </w:rPr>
              <w:t xml:space="preserve"> First Triage Score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3062A" w14:textId="0203FCB5" w:rsidR="00A70D31" w:rsidRPr="00A33F6C" w:rsidRDefault="00A70D31" w:rsidP="00A70D31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38DF" w14:textId="05FE25FD" w:rsidR="00A70D31" w:rsidRPr="00A33F6C" w:rsidRDefault="00A70D31" w:rsidP="00A70D31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14:paraId="7202A504" w14:textId="77777777" w:rsidR="00A70D31" w:rsidRPr="00A33F6C" w:rsidRDefault="00A70D31" w:rsidP="00A70D31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7AC5" w14:textId="216049DB" w:rsidR="00A70D31" w:rsidRPr="00574EF3" w:rsidRDefault="00A70D31" w:rsidP="00A70D31">
            <w:pPr>
              <w:pStyle w:val="Healthbody"/>
              <w:jc w:val="center"/>
              <w:rPr>
                <w:rFonts w:cs="Arial"/>
                <w:highlight w:val="gree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BC33" w14:textId="36276BD3" w:rsidR="00A70D31" w:rsidRPr="00410B2E" w:rsidRDefault="00A70D31" w:rsidP="00A70D31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14:paraId="01F3A1D6" w14:textId="77777777" w:rsidR="00A70D31" w:rsidRPr="00A33F6C" w:rsidRDefault="00A70D31" w:rsidP="00A70D31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2FC8" w14:textId="5BFA8E06" w:rsidR="00A70D31" w:rsidRPr="00A33F6C" w:rsidRDefault="00A70D31" w:rsidP="00A70D31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14:paraId="21FA0FD6" w14:textId="7EC855A0" w:rsidR="00A70D31" w:rsidRPr="00A33F6C" w:rsidRDefault="00A70D31" w:rsidP="00A70D31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38D2" w14:textId="33A82D09" w:rsidR="00A70D31" w:rsidRPr="00D4716D" w:rsidRDefault="00A70D31" w:rsidP="00A70D31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  <w:r w:rsidRPr="00712FDF"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68CFC" w14:textId="73015F1A" w:rsidR="00A70D31" w:rsidRPr="00A33F6C" w:rsidRDefault="00A70D31" w:rsidP="00A70D31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B57F8" w14:textId="2026290B" w:rsidR="00A70D31" w:rsidRPr="00A33F6C" w:rsidRDefault="00A70D31" w:rsidP="00A70D31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A9651" w14:textId="1479CFD0" w:rsidR="00A70D31" w:rsidRPr="00A33F6C" w:rsidRDefault="00A70D31" w:rsidP="00A70D31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5775E" w14:textId="00BE02B0" w:rsidR="00A70D31" w:rsidRPr="00410B2E" w:rsidRDefault="00A70D31" w:rsidP="00A70D31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1381A" w14:textId="6B965168" w:rsidR="00A70D31" w:rsidRPr="00A33F6C" w:rsidRDefault="00A70D31" w:rsidP="00A70D31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206F4" w14:textId="6E025C28" w:rsidR="00A70D31" w:rsidRPr="00A33F6C" w:rsidRDefault="00A70D31" w:rsidP="00A70D31">
            <w:pPr>
              <w:pStyle w:val="Healthbody"/>
              <w:jc w:val="center"/>
              <w:rPr>
                <w:rFonts w:cs="Arial"/>
              </w:rPr>
            </w:pPr>
          </w:p>
        </w:tc>
      </w:tr>
    </w:tbl>
    <w:p w14:paraId="4A659E62" w14:textId="7811B232" w:rsidR="00385D05" w:rsidRDefault="00F427AF" w:rsidP="0060482B">
      <w:pPr>
        <w:pStyle w:val="Heading2"/>
      </w:pPr>
      <w:bookmarkStart w:id="11" w:name="_Toc29903489"/>
      <w:r>
        <w:lastRenderedPageBreak/>
        <w:t xml:space="preserve">Correction to </w:t>
      </w:r>
      <w:r w:rsidR="002E6838">
        <w:t>s</w:t>
      </w:r>
      <w:r w:rsidRPr="00B261FA">
        <w:t xml:space="preserve">pecifications for </w:t>
      </w:r>
      <w:r w:rsidR="002E6838">
        <w:t>r</w:t>
      </w:r>
      <w:r w:rsidRPr="00B261FA">
        <w:t>evisions to</w:t>
      </w:r>
      <w:r>
        <w:t xml:space="preserve"> VINAH for 1 July 2020 - </w:t>
      </w:r>
      <w:r w:rsidR="002E6838">
        <w:t>E</w:t>
      </w:r>
      <w:r w:rsidRPr="00F427AF">
        <w:t xml:space="preserve">pisode </w:t>
      </w:r>
      <w:r w:rsidR="002E6838">
        <w:t>H</w:t>
      </w:r>
      <w:r w:rsidRPr="00F427AF">
        <w:t xml:space="preserve">ealth </w:t>
      </w:r>
      <w:r w:rsidR="002E6838">
        <w:t>C</w:t>
      </w:r>
      <w:r w:rsidRPr="00F427AF">
        <w:t>onditions</w:t>
      </w:r>
      <w:bookmarkEnd w:id="11"/>
    </w:p>
    <w:p w14:paraId="7A6E66B4" w14:textId="21BD423E" w:rsidR="00F427AF" w:rsidRDefault="00F427AF" w:rsidP="00F427AF">
      <w:pPr>
        <w:pStyle w:val="DHHSbody"/>
      </w:pPr>
      <w:r>
        <w:t xml:space="preserve">A correction has been made to the Episode Health Conditions in the Specifications for </w:t>
      </w:r>
      <w:r w:rsidR="002E6838">
        <w:t>R</w:t>
      </w:r>
      <w:r>
        <w:t>evisions to VINAH for 1 July 2020.  The Reporting Guide incorrectly includes Code ‘9998 - Diagnosis unclear’.</w:t>
      </w:r>
    </w:p>
    <w:p w14:paraId="35D5D1DC" w14:textId="7729036E" w:rsidR="00F427AF" w:rsidRDefault="00F427AF" w:rsidP="00F427AF">
      <w:pPr>
        <w:pStyle w:val="DHHSbody"/>
      </w:pPr>
      <w:r>
        <w:t>Original Reporting Guide</w:t>
      </w:r>
    </w:p>
    <w:p w14:paraId="01B238C2" w14:textId="022F9283" w:rsidR="00F427AF" w:rsidRDefault="00F427AF" w:rsidP="00F427AF">
      <w:pPr>
        <w:pStyle w:val="DHHSbody"/>
        <w:tabs>
          <w:tab w:val="left" w:pos="2127"/>
        </w:tabs>
        <w:spacing w:before="120" w:after="60"/>
        <w:ind w:left="2127" w:hanging="2127"/>
        <w:rPr>
          <w:rFonts w:cs="Arial"/>
          <w:strike/>
        </w:rPr>
      </w:pPr>
      <w:r w:rsidRPr="00D56027">
        <w:rPr>
          <w:b/>
        </w:rPr>
        <w:t>Reporting guide</w:t>
      </w:r>
      <w:r>
        <w:rPr>
          <w:b/>
        </w:rPr>
        <w:t xml:space="preserve"> </w:t>
      </w:r>
      <w:r>
        <w:rPr>
          <w:b/>
        </w:rPr>
        <w:tab/>
      </w:r>
      <w:r>
        <w:rPr>
          <w:rFonts w:cs="Arial"/>
        </w:rPr>
        <w:tab/>
      </w:r>
      <w:r w:rsidRPr="004240D2">
        <w:rPr>
          <w:rFonts w:cs="Arial"/>
        </w:rPr>
        <w:t xml:space="preserve">At least one health condition must be reported </w:t>
      </w:r>
      <w:proofErr w:type="gramStart"/>
      <w:r w:rsidRPr="004240D2">
        <w:rPr>
          <w:rFonts w:cs="Arial"/>
        </w:rPr>
        <w:t>in order for</w:t>
      </w:r>
      <w:proofErr w:type="gramEnd"/>
      <w:r w:rsidRPr="004240D2">
        <w:rPr>
          <w:rFonts w:cs="Arial"/>
        </w:rPr>
        <w:t xml:space="preserve"> an episode to be ended</w:t>
      </w:r>
      <w:r w:rsidRPr="00002BF5">
        <w:rPr>
          <w:rFonts w:cs="Arial"/>
        </w:rPr>
        <w:t xml:space="preserve"> (note that this may be '9998-Diagnosis unclear').</w:t>
      </w:r>
    </w:p>
    <w:p w14:paraId="7B75940F" w14:textId="45EF93BA" w:rsidR="00F427AF" w:rsidRDefault="00F427AF" w:rsidP="00F427AF">
      <w:pPr>
        <w:pStyle w:val="DHHSbody"/>
        <w:tabs>
          <w:tab w:val="left" w:pos="2127"/>
        </w:tabs>
        <w:spacing w:before="120" w:after="60"/>
        <w:ind w:left="2127" w:hanging="2127"/>
        <w:rPr>
          <w:rFonts w:cs="Arial"/>
          <w:strike/>
        </w:rPr>
      </w:pPr>
      <w:r w:rsidRPr="00F427AF">
        <w:rPr>
          <w:rFonts w:cs="Arial"/>
        </w:rPr>
        <w:tab/>
      </w:r>
      <w:r w:rsidRPr="004D7869">
        <w:rPr>
          <w:rFonts w:cs="Arial"/>
          <w:strike/>
        </w:rPr>
        <w:t>For Specialist Clinics the reporting of patients/clients with a condition/diagnosis of ‘A85 – Pre/Post hip replacement’ or ‘A86 – Pre/Post knee replacement’ or ‘0864 – Stroke’ is mandatory. Reporting is optional for all other health conditions</w:t>
      </w:r>
    </w:p>
    <w:p w14:paraId="7A698907" w14:textId="29C5594E" w:rsidR="00F427AF" w:rsidRDefault="00F427AF" w:rsidP="00F427AF">
      <w:pPr>
        <w:pStyle w:val="DHHSbody"/>
      </w:pPr>
      <w:r>
        <w:t>Updated Reporting Guide</w:t>
      </w:r>
    </w:p>
    <w:p w14:paraId="0FFC41B0" w14:textId="76AC1E5A" w:rsidR="00F427AF" w:rsidRDefault="00F427AF" w:rsidP="00F427AF">
      <w:pPr>
        <w:pStyle w:val="DHHSbody"/>
        <w:tabs>
          <w:tab w:val="left" w:pos="2127"/>
        </w:tabs>
        <w:spacing w:before="120" w:after="60"/>
        <w:ind w:left="2127" w:hanging="2127"/>
        <w:rPr>
          <w:rFonts w:cs="Arial"/>
          <w:strike/>
        </w:rPr>
      </w:pPr>
      <w:r w:rsidRPr="00D56027">
        <w:rPr>
          <w:b/>
        </w:rPr>
        <w:t>Reporting guide</w:t>
      </w:r>
      <w:r>
        <w:rPr>
          <w:b/>
        </w:rPr>
        <w:t xml:space="preserve"> </w:t>
      </w:r>
      <w:r>
        <w:rPr>
          <w:b/>
        </w:rPr>
        <w:tab/>
      </w:r>
      <w:r>
        <w:rPr>
          <w:rFonts w:cs="Arial"/>
        </w:rPr>
        <w:tab/>
      </w:r>
      <w:r w:rsidRPr="004240D2">
        <w:rPr>
          <w:rFonts w:cs="Arial"/>
        </w:rPr>
        <w:t xml:space="preserve">At least one health condition must be reported </w:t>
      </w:r>
      <w:proofErr w:type="gramStart"/>
      <w:r w:rsidRPr="004240D2">
        <w:rPr>
          <w:rFonts w:cs="Arial"/>
        </w:rPr>
        <w:t>in order for</w:t>
      </w:r>
      <w:proofErr w:type="gramEnd"/>
      <w:r w:rsidRPr="004240D2">
        <w:rPr>
          <w:rFonts w:cs="Arial"/>
        </w:rPr>
        <w:t xml:space="preserve"> an episode to be ended</w:t>
      </w:r>
      <w:r>
        <w:rPr>
          <w:rFonts w:cs="Arial"/>
        </w:rPr>
        <w:t>.</w:t>
      </w:r>
      <w:r w:rsidRPr="00F427AF">
        <w:rPr>
          <w:rFonts w:cs="Arial"/>
          <w:strike/>
        </w:rPr>
        <w:t xml:space="preserve"> (note that this may be '9998-Diagnosis unclear').</w:t>
      </w:r>
    </w:p>
    <w:p w14:paraId="5B70B6EE" w14:textId="77777777" w:rsidR="00F427AF" w:rsidRDefault="00F427AF" w:rsidP="00F427AF">
      <w:pPr>
        <w:pStyle w:val="DHHSbody"/>
        <w:tabs>
          <w:tab w:val="left" w:pos="2127"/>
        </w:tabs>
        <w:spacing w:before="120" w:after="60"/>
        <w:ind w:left="2127" w:hanging="2127"/>
        <w:rPr>
          <w:rFonts w:cs="Arial"/>
          <w:strike/>
        </w:rPr>
      </w:pPr>
      <w:r w:rsidRPr="00F427AF">
        <w:rPr>
          <w:rFonts w:cs="Arial"/>
        </w:rPr>
        <w:tab/>
      </w:r>
      <w:r w:rsidRPr="004D7869">
        <w:rPr>
          <w:rFonts w:cs="Arial"/>
          <w:strike/>
        </w:rPr>
        <w:t>For Specialist Clinics the reporting of patients/clients with a condition/diagnosis of ‘A85 – Pre/Post hip replacement’ or ‘A86 – Pre/Post knee replacement’ or ‘0864 – Stroke’ is mandatory. Reporting is optional for all other health conditions</w:t>
      </w:r>
    </w:p>
    <w:p w14:paraId="12FFE0AD" w14:textId="77777777" w:rsidR="00F427AF" w:rsidRDefault="00F427AF" w:rsidP="00F427AF">
      <w:pPr>
        <w:pStyle w:val="DHHSbody"/>
      </w:pPr>
    </w:p>
    <w:p w14:paraId="1303232F" w14:textId="77777777" w:rsidR="00F427AF" w:rsidRPr="00F427AF" w:rsidRDefault="00F427AF" w:rsidP="00F427AF">
      <w:pPr>
        <w:pStyle w:val="DHHSbody"/>
        <w:tabs>
          <w:tab w:val="left" w:pos="2127"/>
        </w:tabs>
        <w:spacing w:before="120" w:after="60"/>
        <w:ind w:left="2127" w:hanging="2127"/>
        <w:rPr>
          <w:rFonts w:cs="Arial"/>
          <w:strike/>
        </w:rPr>
      </w:pPr>
    </w:p>
    <w:p w14:paraId="66252863" w14:textId="77777777" w:rsidR="007E7072" w:rsidRDefault="007E7072" w:rsidP="007E7072">
      <w:pPr>
        <w:pStyle w:val="Heading1"/>
      </w:pPr>
      <w:bookmarkStart w:id="12" w:name="_Toc25152366"/>
      <w:bookmarkStart w:id="13" w:name="_Toc29903490"/>
      <w:r>
        <w:t>Non–Admitted Activity Reporting</w:t>
      </w:r>
      <w:bookmarkEnd w:id="12"/>
      <w:bookmarkEnd w:id="13"/>
    </w:p>
    <w:p w14:paraId="3A8B3E9F" w14:textId="77777777" w:rsidR="007E7072" w:rsidRPr="00136A56" w:rsidRDefault="007E7072" w:rsidP="007E7072">
      <w:pPr>
        <w:pStyle w:val="Heading2"/>
      </w:pPr>
      <w:bookmarkStart w:id="14" w:name="_Toc29903491"/>
      <w:r>
        <w:t>Non-Admitted Data Expansion (NADE) Project</w:t>
      </w:r>
      <w:bookmarkEnd w:id="14"/>
    </w:p>
    <w:p w14:paraId="0AEE3FBE" w14:textId="5FA53172" w:rsidR="007E7072" w:rsidRDefault="007E7072" w:rsidP="007E7072">
      <w:pPr>
        <w:pStyle w:val="DHHSbody"/>
      </w:pPr>
      <w:r>
        <w:t>The NADE project has commenced within Health Services Data</w:t>
      </w:r>
      <w:r w:rsidR="0006467B">
        <w:t xml:space="preserve"> (HSD)</w:t>
      </w:r>
      <w:r>
        <w:t>. The project aims to transition the last of the non-admitted activity reported as aggregate to patient level reporting.</w:t>
      </w:r>
    </w:p>
    <w:p w14:paraId="711017AA" w14:textId="31F87BC1" w:rsidR="007E7072" w:rsidRDefault="007E7072" w:rsidP="007E7072">
      <w:pPr>
        <w:pStyle w:val="DHHSbody"/>
      </w:pPr>
      <w:r>
        <w:t>Currently aggregate reporting of activity continues in the following programs:</w:t>
      </w:r>
    </w:p>
    <w:p w14:paraId="1168C514" w14:textId="77777777" w:rsidR="007E7072" w:rsidRDefault="007E7072" w:rsidP="007E7072">
      <w:pPr>
        <w:pStyle w:val="DHHSbullet1"/>
      </w:pPr>
      <w:r>
        <w:t>Home based dialysis</w:t>
      </w:r>
    </w:p>
    <w:p w14:paraId="7B5D4E87" w14:textId="77777777" w:rsidR="007E7072" w:rsidRDefault="007E7072" w:rsidP="007E7072">
      <w:pPr>
        <w:pStyle w:val="DHHSbullet1"/>
      </w:pPr>
      <w:r>
        <w:t>Genetics</w:t>
      </w:r>
    </w:p>
    <w:p w14:paraId="459A8F13" w14:textId="77777777" w:rsidR="007E7072" w:rsidRDefault="007E7072" w:rsidP="007E7072">
      <w:pPr>
        <w:pStyle w:val="DHHSbullet1"/>
      </w:pPr>
      <w:r>
        <w:t>Post-natal Domiciliary Care</w:t>
      </w:r>
    </w:p>
    <w:p w14:paraId="556F9375" w14:textId="1A4D2B8F" w:rsidR="007E7072" w:rsidRDefault="007E7072" w:rsidP="007E7072">
      <w:pPr>
        <w:pStyle w:val="DHHSbullet1"/>
      </w:pPr>
      <w:r>
        <w:t>Radiotherapy</w:t>
      </w:r>
    </w:p>
    <w:p w14:paraId="3478DB40" w14:textId="77777777" w:rsidR="007E7072" w:rsidRDefault="007E7072" w:rsidP="007E7072">
      <w:pPr>
        <w:pStyle w:val="DHHSbullet1"/>
      </w:pPr>
      <w:r>
        <w:t>Victorian Artificial Limb Program</w:t>
      </w:r>
    </w:p>
    <w:p w14:paraId="1B8007BC" w14:textId="77777777" w:rsidR="007E7072" w:rsidRDefault="007E7072" w:rsidP="007E7072">
      <w:pPr>
        <w:pStyle w:val="DHHSbullet1lastline"/>
      </w:pPr>
      <w:r w:rsidRPr="00EA663D">
        <w:t>Specialist Clinics in some Small Rural Health</w:t>
      </w:r>
      <w:r>
        <w:t xml:space="preserve"> Services and local health services</w:t>
      </w:r>
    </w:p>
    <w:p w14:paraId="19B576D7" w14:textId="46648E8F" w:rsidR="007E7072" w:rsidRDefault="007E7072" w:rsidP="007E7072">
      <w:pPr>
        <w:pStyle w:val="DHHSbody"/>
      </w:pPr>
      <w:r>
        <w:t>Several health services and other agencies continu</w:t>
      </w:r>
      <w:r w:rsidR="0006467B">
        <w:t>e</w:t>
      </w:r>
      <w:r>
        <w:t xml:space="preserve"> to </w:t>
      </w:r>
      <w:r w:rsidR="0006467B">
        <w:t>report</w:t>
      </w:r>
      <w:r>
        <w:t xml:space="preserve"> aggregate data for a small number of </w:t>
      </w:r>
      <w:r w:rsidR="0006467B">
        <w:t>other</w:t>
      </w:r>
      <w:r>
        <w:t xml:space="preserve"> programs which will also be addressed by this project.</w:t>
      </w:r>
    </w:p>
    <w:p w14:paraId="619CCAC7" w14:textId="7AD02922" w:rsidR="007E7072" w:rsidRDefault="007E7072" w:rsidP="007E7072">
      <w:pPr>
        <w:pStyle w:val="DHHSbody"/>
      </w:pPr>
      <w:r>
        <w:t>VINAH remains the preferred method of reporting patient level activity, but other options are being considered for agencies where VINAH</w:t>
      </w:r>
      <w:r w:rsidR="0006467B">
        <w:t xml:space="preserve"> </w:t>
      </w:r>
      <w:r>
        <w:t xml:space="preserve">is not </w:t>
      </w:r>
      <w:r w:rsidR="0006467B">
        <w:t>a feasible option</w:t>
      </w:r>
      <w:r>
        <w:t>.</w:t>
      </w:r>
    </w:p>
    <w:p w14:paraId="571C28BB" w14:textId="77777777" w:rsidR="007E7072" w:rsidRDefault="007E7072" w:rsidP="007E7072">
      <w:pPr>
        <w:pStyle w:val="DHHSbody"/>
      </w:pPr>
      <w:r>
        <w:t xml:space="preserve">HSD through the NADE project will work with services and agencies to determine the best method to capture the patient level data. </w:t>
      </w:r>
    </w:p>
    <w:p w14:paraId="6E53721C" w14:textId="77777777" w:rsidR="007E7072" w:rsidRDefault="007E7072" w:rsidP="007E7072">
      <w:pPr>
        <w:pStyle w:val="DHHSbody"/>
      </w:pPr>
      <w:r>
        <w:t>Further information will be provided in future HDSS Bulletins. Any enquiries should be directed through the HDSS helpdesk.</w:t>
      </w:r>
    </w:p>
    <w:p w14:paraId="124D96C2" w14:textId="77777777" w:rsidR="007E7072" w:rsidRDefault="007E7072" w:rsidP="007E7072">
      <w:pPr>
        <w:pStyle w:val="DHHSbody"/>
      </w:pPr>
    </w:p>
    <w:p w14:paraId="167C8067" w14:textId="77777777" w:rsidR="007E7072" w:rsidRDefault="007E7072" w:rsidP="007E7072">
      <w:pPr>
        <w:pStyle w:val="DHHSbody"/>
      </w:pPr>
    </w:p>
    <w:p w14:paraId="5A95B5F8" w14:textId="3EA390AB" w:rsidR="00CB2E1B" w:rsidRPr="00362AA5" w:rsidRDefault="00CB2E1B" w:rsidP="00EA663D">
      <w:pPr>
        <w:pStyle w:val="DHHSbody"/>
        <w:rPr>
          <w:rFonts w:eastAsia="MS Gothic"/>
        </w:rPr>
      </w:pPr>
      <w:r>
        <w:br w:type="page"/>
      </w:r>
    </w:p>
    <w:p w14:paraId="6BF35E08" w14:textId="3924F9F3" w:rsidR="007A02F5" w:rsidRDefault="007A02F5" w:rsidP="00CB2E1B">
      <w:pPr>
        <w:pStyle w:val="Heading1"/>
      </w:pPr>
      <w:bookmarkStart w:id="15" w:name="_Toc29903492"/>
      <w:r>
        <w:lastRenderedPageBreak/>
        <w:t>Contact details</w:t>
      </w:r>
      <w:bookmarkEnd w:id="15"/>
    </w:p>
    <w:p w14:paraId="726B48EC" w14:textId="77777777" w:rsidR="00F17569" w:rsidRPr="00F17569" w:rsidRDefault="00F17569" w:rsidP="00F17569">
      <w:pPr>
        <w:spacing w:after="120" w:line="270" w:lineRule="atLeast"/>
        <w:rPr>
          <w:rFonts w:ascii="Arial" w:eastAsia="Times" w:hAnsi="Arial"/>
        </w:rPr>
      </w:pPr>
      <w:r w:rsidRPr="00F17569">
        <w:rPr>
          <w:rFonts w:ascii="Arial" w:eastAsia="Times" w:hAnsi="Arial"/>
        </w:rPr>
        <w:t>The Data Collections unit manages several Victorian health data collections including:</w:t>
      </w:r>
    </w:p>
    <w:p w14:paraId="18D974DB" w14:textId="77777777" w:rsidR="00F17569" w:rsidRPr="00F17569" w:rsidRDefault="00F17569" w:rsidP="00B741F1">
      <w:pPr>
        <w:pStyle w:val="DHHSbullet1"/>
      </w:pPr>
      <w:r w:rsidRPr="00F17569">
        <w:t>Victorian Admitted Episodes Dataset (VAED)</w:t>
      </w:r>
    </w:p>
    <w:p w14:paraId="6964B76B" w14:textId="77777777" w:rsidR="00F17569" w:rsidRPr="00F17569" w:rsidRDefault="00F17569" w:rsidP="00F17569">
      <w:pPr>
        <w:pStyle w:val="DHHSbullet1"/>
      </w:pPr>
      <w:r w:rsidRPr="00F17569">
        <w:t>Victorian Emergency Minimum Dataset (VEMD)</w:t>
      </w:r>
    </w:p>
    <w:p w14:paraId="57DD771C" w14:textId="77777777" w:rsidR="00F17569" w:rsidRPr="00F17569" w:rsidRDefault="00F17569" w:rsidP="00F17569">
      <w:pPr>
        <w:pStyle w:val="DHHSbullet1"/>
      </w:pPr>
      <w:r w:rsidRPr="00F17569">
        <w:t>Elective Surgery Information System (ESIS)</w:t>
      </w:r>
    </w:p>
    <w:p w14:paraId="662F54F2" w14:textId="77777777" w:rsidR="00F17569" w:rsidRPr="00F17569" w:rsidRDefault="00F17569" w:rsidP="00F17569">
      <w:pPr>
        <w:pStyle w:val="DHHSbullet1"/>
      </w:pPr>
      <w:r w:rsidRPr="00F17569">
        <w:t>Agency Information Management System (AIMS)</w:t>
      </w:r>
    </w:p>
    <w:p w14:paraId="40DAB7B5" w14:textId="77777777" w:rsidR="00F17569" w:rsidRPr="00F17569" w:rsidRDefault="00F17569" w:rsidP="00F17569">
      <w:pPr>
        <w:pStyle w:val="DHHSbullet1"/>
      </w:pPr>
      <w:bookmarkStart w:id="16" w:name="_Hlk11831386"/>
      <w:r w:rsidRPr="00F17569">
        <w:t>Victorian Integrated Non-Admitted Health Minimum Dataset (VINAH)</w:t>
      </w:r>
    </w:p>
    <w:bookmarkEnd w:id="16"/>
    <w:p w14:paraId="21C674E5" w14:textId="77777777" w:rsidR="00F17569" w:rsidRPr="00F17569" w:rsidRDefault="00F17569" w:rsidP="004E6581">
      <w:pPr>
        <w:pStyle w:val="DHHSbullet1lastline"/>
      </w:pPr>
      <w:r w:rsidRPr="00F17569">
        <w:t>F1 data collections (technical support)</w:t>
      </w:r>
    </w:p>
    <w:p w14:paraId="0D3BF7C9" w14:textId="77777777" w:rsidR="00F17569" w:rsidRPr="00F17569" w:rsidRDefault="00F17569" w:rsidP="00F17569">
      <w:pPr>
        <w:spacing w:after="120" w:line="270" w:lineRule="atLeast"/>
        <w:rPr>
          <w:rFonts w:ascii="Arial" w:eastAsia="Times" w:hAnsi="Arial"/>
        </w:rPr>
      </w:pPr>
      <w:r w:rsidRPr="00F17569">
        <w:rPr>
          <w:rFonts w:ascii="Arial" w:eastAsia="Times" w:hAnsi="Arial"/>
        </w:rPr>
        <w:t>The HDSS Bulletin is produced at intervals to provide:</w:t>
      </w:r>
    </w:p>
    <w:p w14:paraId="509D8361" w14:textId="77777777" w:rsidR="00F17569" w:rsidRPr="00F17569" w:rsidRDefault="00F17569" w:rsidP="00F17569">
      <w:pPr>
        <w:pStyle w:val="DHHSbullet1"/>
      </w:pPr>
      <w:r w:rsidRPr="00F17569">
        <w:t>answers to common questions recently directed to the HDSS help desk</w:t>
      </w:r>
    </w:p>
    <w:p w14:paraId="45C60444" w14:textId="77777777" w:rsidR="00F17569" w:rsidRPr="00F17569" w:rsidRDefault="00F17569" w:rsidP="00F17569">
      <w:pPr>
        <w:pStyle w:val="DHHSbullet1"/>
      </w:pPr>
      <w:r w:rsidRPr="00F17569">
        <w:t>communication regarding the implementation of revisions to data collection specifications, including notification of amendments to specified data collection reference tables</w:t>
      </w:r>
    </w:p>
    <w:p w14:paraId="589E9159" w14:textId="77777777" w:rsidR="00F17569" w:rsidRPr="00F17569" w:rsidRDefault="00F17569" w:rsidP="00F17569">
      <w:pPr>
        <w:pStyle w:val="DHHSbullet1"/>
      </w:pPr>
      <w:r w:rsidRPr="00F17569">
        <w:t>feedback on selected data quality studies undertaken</w:t>
      </w:r>
    </w:p>
    <w:p w14:paraId="563AEBB5" w14:textId="15C757CF" w:rsidR="00F17569" w:rsidRDefault="00F17569" w:rsidP="004E6581">
      <w:pPr>
        <w:pStyle w:val="DHHSbullet1lastline"/>
      </w:pPr>
      <w:r w:rsidRPr="00F17569">
        <w:t>information on upcoming events</w:t>
      </w:r>
    </w:p>
    <w:p w14:paraId="0DB20EB8" w14:textId="5A3930A5" w:rsidR="00F8321D" w:rsidRPr="002736F5" w:rsidRDefault="00F8321D" w:rsidP="002736F5">
      <w:pPr>
        <w:pStyle w:val="DHHSbody"/>
        <w:rPr>
          <w:b/>
        </w:rPr>
      </w:pPr>
      <w:r w:rsidRPr="002736F5">
        <w:rPr>
          <w:b/>
        </w:rPr>
        <w:t>Website</w:t>
      </w:r>
    </w:p>
    <w:p w14:paraId="496E55D3" w14:textId="335B347C" w:rsidR="00127586" w:rsidRDefault="00720B23" w:rsidP="00511836">
      <w:pPr>
        <w:pStyle w:val="DHHSbody"/>
      </w:pPr>
      <w:hyperlink r:id="rId15" w:history="1">
        <w:r w:rsidR="00511836" w:rsidRPr="00511836">
          <w:rPr>
            <w:rStyle w:val="Hyperlink"/>
          </w:rPr>
          <w:t>HDSS website</w:t>
        </w:r>
      </w:hyperlink>
      <w:r w:rsidR="00511836">
        <w:t xml:space="preserve">  &lt;</w:t>
      </w:r>
      <w:r w:rsidR="00511836" w:rsidRPr="00511836">
        <w:t>https://www2.health.vic.gov.au/hospitals-and-health-services/data-reporting/health-data-standards-systems</w:t>
      </w:r>
      <w:r w:rsidR="00511836">
        <w:t>&gt;</w:t>
      </w:r>
    </w:p>
    <w:p w14:paraId="1A3E85F4" w14:textId="21C117C7" w:rsidR="00511836" w:rsidRPr="002736F5" w:rsidRDefault="00B72BD0" w:rsidP="002736F5">
      <w:pPr>
        <w:pStyle w:val="DHHSbody"/>
        <w:rPr>
          <w:b/>
        </w:rPr>
      </w:pPr>
      <w:r w:rsidRPr="002736F5">
        <w:rPr>
          <w:b/>
        </w:rPr>
        <w:t xml:space="preserve">HDSS help desk </w:t>
      </w:r>
    </w:p>
    <w:p w14:paraId="21DDB987" w14:textId="77777777" w:rsidR="00F8321D" w:rsidRDefault="00F8321D" w:rsidP="00F8321D">
      <w:pPr>
        <w:pStyle w:val="DHHSbody"/>
      </w:pPr>
      <w:r>
        <w:t>Enquiries regarding data collections and requests for standard reconciliation reports</w:t>
      </w:r>
    </w:p>
    <w:p w14:paraId="357E8724" w14:textId="77777777" w:rsidR="00F8321D" w:rsidRDefault="00F8321D" w:rsidP="00F8321D">
      <w:pPr>
        <w:pStyle w:val="DHHSbody"/>
      </w:pPr>
      <w:r>
        <w:t>Telephone (03) 9096 8595</w:t>
      </w:r>
    </w:p>
    <w:p w14:paraId="07B9E292" w14:textId="096BBE81" w:rsidR="00F8321D" w:rsidRPr="00F8321D" w:rsidRDefault="00720B23" w:rsidP="00F8321D">
      <w:pPr>
        <w:pStyle w:val="DHHSbody"/>
      </w:pPr>
      <w:hyperlink r:id="rId16" w:history="1">
        <w:r w:rsidR="00F8321D" w:rsidRPr="00F8321D">
          <w:rPr>
            <w:rStyle w:val="Hyperlink"/>
          </w:rPr>
          <w:t>Email HDSS help desk</w:t>
        </w:r>
      </w:hyperlink>
      <w:r w:rsidR="00F8321D">
        <w:t xml:space="preserve"> &lt;</w:t>
      </w:r>
      <w:r w:rsidR="00F8321D" w:rsidRPr="00F8321D">
        <w:t>HDSS.helpdesk@dhhs.vic.gov.au</w:t>
      </w:r>
      <w:r w:rsidR="00F8321D">
        <w:t>&gt;</w:t>
      </w:r>
    </w:p>
    <w:p w14:paraId="6DA042CE" w14:textId="2384F0E1" w:rsidR="00F8321D" w:rsidRDefault="00F8321D" w:rsidP="002736F5">
      <w:pPr>
        <w:pStyle w:val="DHHSbody"/>
        <w:rPr>
          <w:b/>
        </w:rPr>
      </w:pPr>
      <w:r w:rsidRPr="002736F5">
        <w:rPr>
          <w:b/>
        </w:rPr>
        <w:t xml:space="preserve">Other </w:t>
      </w:r>
      <w:r w:rsidR="00E36554">
        <w:rPr>
          <w:b/>
        </w:rPr>
        <w:t xml:space="preserve">Victorian health </w:t>
      </w:r>
      <w:r w:rsidRPr="002736F5">
        <w:rPr>
          <w:b/>
        </w:rPr>
        <w:t>data requests</w:t>
      </w:r>
    </w:p>
    <w:p w14:paraId="7AA93C16" w14:textId="102EC60B" w:rsidR="00E36554" w:rsidRPr="00E36554" w:rsidRDefault="00720B23" w:rsidP="002736F5">
      <w:pPr>
        <w:pStyle w:val="DHHSbody"/>
      </w:pPr>
      <w:hyperlink r:id="rId17" w:history="1">
        <w:r w:rsidR="00E36554" w:rsidRPr="00E36554">
          <w:rPr>
            <w:rStyle w:val="Hyperlink"/>
          </w:rPr>
          <w:t>VAHI Data Request Hub</w:t>
        </w:r>
      </w:hyperlink>
      <w:r w:rsidR="00E36554">
        <w:t xml:space="preserve"> &lt;</w:t>
      </w:r>
      <w:r w:rsidR="00E36554" w:rsidRPr="00E36554">
        <w:t xml:space="preserve"> https://vahi.freshdesk.com/support/home</w:t>
      </w:r>
      <w:r w:rsidR="00E36554">
        <w:t>&gt;</w:t>
      </w:r>
    </w:p>
    <w:p w14:paraId="2030842D" w14:textId="54D7D229" w:rsidR="00F17569" w:rsidRDefault="00720B23" w:rsidP="004E3923">
      <w:pPr>
        <w:pStyle w:val="DHHSbody"/>
        <w:rPr>
          <w:rStyle w:val="Hyperlink"/>
        </w:rPr>
      </w:pPr>
      <w:hyperlink r:id="rId18" w:history="1">
        <w:r w:rsidR="00F8321D" w:rsidRPr="00F8321D">
          <w:rPr>
            <w:rStyle w:val="Hyperlink"/>
          </w:rPr>
          <w:t>Email HOSdata</w:t>
        </w:r>
      </w:hyperlink>
      <w:r w:rsidR="00F8321D">
        <w:t xml:space="preserve"> </w:t>
      </w:r>
      <w:hyperlink r:id="rId19" w:history="1">
        <w:r w:rsidR="00FA20DC" w:rsidRPr="005E0E35">
          <w:rPr>
            <w:rStyle w:val="Hyperlink"/>
          </w:rPr>
          <w:t xml:space="preserve">Hosdata.frontdesk@vahi.vic.gov.au </w:t>
        </w:r>
      </w:hyperlink>
    </w:p>
    <w:p w14:paraId="76A653BF" w14:textId="77777777" w:rsidR="00B649CD" w:rsidRDefault="00B649CD" w:rsidP="004E3923">
      <w:pPr>
        <w:pStyle w:val="DHHSbody"/>
      </w:pPr>
    </w:p>
    <w:tbl>
      <w:tblPr>
        <w:tblW w:w="50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420"/>
      </w:tblGrid>
      <w:tr w:rsidR="002802E3" w:rsidRPr="002802E3" w14:paraId="3D6B256E" w14:textId="77777777" w:rsidTr="00D81DE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85F9" w14:textId="2801E66F" w:rsidR="00254F58" w:rsidRPr="00254F58" w:rsidRDefault="00254F58" w:rsidP="00770F37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4E3923">
              <w:t>(03) 9096 8595</w:t>
            </w:r>
            <w:r w:rsidRPr="00254F58">
              <w:t>, using the National Relay Service 13 36 77 if required, or</w:t>
            </w:r>
            <w:r w:rsidR="00127586">
              <w:t xml:space="preserve"> </w:t>
            </w:r>
            <w:hyperlink r:id="rId20" w:history="1">
              <w:r w:rsidR="00127586" w:rsidRPr="00127586">
                <w:rPr>
                  <w:rStyle w:val="Hyperlink"/>
                </w:rPr>
                <w:t>email HDSS help desk</w:t>
              </w:r>
            </w:hyperlink>
            <w:r w:rsidR="00127586">
              <w:t xml:space="preserve"> &lt;</w:t>
            </w:r>
            <w:r w:rsidR="00127586" w:rsidRPr="00127586">
              <w:t>HDSS.helpdesk@dhhs.vic.gov.au</w:t>
            </w:r>
            <w:r w:rsidR="00127586">
              <w:t>&gt;</w:t>
            </w:r>
          </w:p>
          <w:p w14:paraId="6C5F49D7" w14:textId="77777777" w:rsidR="00254F58" w:rsidRPr="00254F58" w:rsidRDefault="00254F58" w:rsidP="00254F58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14:paraId="1EA0B9A4" w14:textId="773161E6" w:rsidR="00254F58" w:rsidRPr="00254F58" w:rsidRDefault="00254F58" w:rsidP="00254F58">
            <w:pPr>
              <w:pStyle w:val="DHHSbody"/>
            </w:pPr>
            <w:r w:rsidRPr="00254F58">
              <w:t xml:space="preserve">© State of </w:t>
            </w:r>
            <w:r w:rsidR="00A854EB">
              <w:t>Victoria, Department of Health and</w:t>
            </w:r>
            <w:r w:rsidRPr="00254F58">
              <w:t xml:space="preserve"> Human Services</w:t>
            </w:r>
            <w:r w:rsidR="004E3923" w:rsidRPr="00F75DF9">
              <w:t xml:space="preserve">, </w:t>
            </w:r>
            <w:r w:rsidR="00EA663D">
              <w:t>January</w:t>
            </w:r>
            <w:r w:rsidR="004E3923" w:rsidRPr="00F75DF9">
              <w:t xml:space="preserve"> </w:t>
            </w:r>
            <w:r w:rsidR="004E3923">
              <w:t>20</w:t>
            </w:r>
            <w:r w:rsidR="00EA663D">
              <w:t>20</w:t>
            </w:r>
          </w:p>
          <w:p w14:paraId="16FE8619" w14:textId="752E8C40" w:rsidR="00835674" w:rsidRPr="00127586" w:rsidRDefault="00254F58" w:rsidP="00966D3D">
            <w:pPr>
              <w:pStyle w:val="DHHSbody"/>
              <w:rPr>
                <w:color w:val="3366FF"/>
                <w:szCs w:val="19"/>
                <w:u w:val="dotted"/>
              </w:rPr>
            </w:pPr>
            <w:r w:rsidRPr="00254F58">
              <w:rPr>
                <w:szCs w:val="19"/>
              </w:rPr>
              <w:t xml:space="preserve">Available at </w:t>
            </w:r>
            <w:hyperlink r:id="rId21" w:history="1">
              <w:r w:rsidR="004E3923" w:rsidRPr="004E3923">
                <w:rPr>
                  <w:rStyle w:val="Hyperlink"/>
                  <w:szCs w:val="19"/>
                </w:rPr>
                <w:t xml:space="preserve">HDSS </w:t>
              </w:r>
              <w:r w:rsidR="00966D3D">
                <w:rPr>
                  <w:rStyle w:val="Hyperlink"/>
                  <w:szCs w:val="19"/>
                </w:rPr>
                <w:t>Bulletins</w:t>
              </w:r>
            </w:hyperlink>
            <w:r w:rsidR="00127586">
              <w:rPr>
                <w:rStyle w:val="Hyperlink"/>
                <w:szCs w:val="19"/>
              </w:rPr>
              <w:t xml:space="preserve"> </w:t>
            </w:r>
            <w:r w:rsidR="00127586">
              <w:rPr>
                <w:szCs w:val="19"/>
              </w:rPr>
              <w:t>&lt;</w:t>
            </w:r>
            <w:r w:rsidR="00127586">
              <w:t xml:space="preserve"> </w:t>
            </w:r>
            <w:r w:rsidR="00127586" w:rsidRPr="00127586">
              <w:rPr>
                <w:szCs w:val="19"/>
              </w:rPr>
              <w:t xml:space="preserve">https://www2.health.vic.gov.au/hospitals-and-health-services/data-reporting/health-data-standards-systems/hdss-communications </w:t>
            </w:r>
            <w:r w:rsidR="00127586">
              <w:rPr>
                <w:szCs w:val="19"/>
              </w:rPr>
              <w:t>&gt;</w:t>
            </w:r>
          </w:p>
        </w:tc>
      </w:tr>
    </w:tbl>
    <w:p w14:paraId="5287B737" w14:textId="77777777" w:rsidR="00B2752E" w:rsidRPr="00906490" w:rsidRDefault="00B2752E" w:rsidP="004E6581">
      <w:pPr>
        <w:pStyle w:val="DHHSbody"/>
      </w:pPr>
    </w:p>
    <w:sectPr w:rsidR="00B2752E" w:rsidRPr="00906490" w:rsidSect="00BC1222">
      <w:footerReference w:type="default" r:id="rId22"/>
      <w:type w:val="continuous"/>
      <w:pgSz w:w="11906" w:h="16838" w:code="9"/>
      <w:pgMar w:top="1418" w:right="851" w:bottom="1134" w:left="851" w:header="567" w:footer="510" w:gutter="0"/>
      <w:pgNumType w:start="1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3F38" w14:textId="77777777" w:rsidR="000B5CC0" w:rsidRDefault="000B5CC0">
      <w:r>
        <w:separator/>
      </w:r>
    </w:p>
  </w:endnote>
  <w:endnote w:type="continuationSeparator" w:id="0">
    <w:p w14:paraId="3F6CFBE3" w14:textId="77777777" w:rsidR="000B5CC0" w:rsidRDefault="000B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E3FC" w14:textId="77777777" w:rsidR="00705561" w:rsidRPr="00F65AA9" w:rsidRDefault="00705561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32EBDABD" wp14:editId="1D336266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A7D74" w14:textId="77777777" w:rsidR="00705561" w:rsidRPr="00A11421" w:rsidRDefault="00705561" w:rsidP="0051568D">
    <w:pPr>
      <w:pStyle w:val="DHHSfooter"/>
    </w:pPr>
    <w:r>
      <w:t>HDSS Bulletin 206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2</w:t>
    </w:r>
    <w:r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6A7D" w14:textId="1EA91198" w:rsidR="00705561" w:rsidRPr="00A11421" w:rsidRDefault="00410E7E" w:rsidP="0051568D">
    <w:pPr>
      <w:pStyle w:val="DHHSfooter"/>
    </w:pPr>
    <w:r>
      <w:t>HDSS Bulletin 22</w:t>
    </w:r>
    <w:r w:rsidR="00CB2E1B">
      <w:t>6</w:t>
    </w:r>
    <w:r w:rsidR="00705561" w:rsidRPr="00A11421">
      <w:tab/>
    </w:r>
    <w:r w:rsidR="00705561" w:rsidRPr="00A11421">
      <w:fldChar w:fldCharType="begin"/>
    </w:r>
    <w:r w:rsidR="00705561" w:rsidRPr="00A11421">
      <w:instrText xml:space="preserve"> PAGE </w:instrText>
    </w:r>
    <w:r w:rsidR="00705561" w:rsidRPr="00A11421">
      <w:fldChar w:fldCharType="separate"/>
    </w:r>
    <w:r w:rsidR="00782340">
      <w:rPr>
        <w:noProof/>
      </w:rPr>
      <w:t>6</w:t>
    </w:r>
    <w:r w:rsidR="00705561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1B6E" w14:textId="77777777" w:rsidR="000B5CC0" w:rsidRDefault="000B5CC0" w:rsidP="002862F1">
      <w:pPr>
        <w:spacing w:before="120"/>
      </w:pPr>
      <w:r>
        <w:separator/>
      </w:r>
    </w:p>
  </w:footnote>
  <w:footnote w:type="continuationSeparator" w:id="0">
    <w:p w14:paraId="544D3040" w14:textId="77777777" w:rsidR="000B5CC0" w:rsidRDefault="000B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324B" w14:textId="77777777" w:rsidR="00705561" w:rsidRPr="0051568D" w:rsidRDefault="00705561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1A2"/>
    <w:multiLevelType w:val="hybridMultilevel"/>
    <w:tmpl w:val="9D3A63B2"/>
    <w:lvl w:ilvl="0" w:tplc="2864E4B8">
      <w:start w:val="1"/>
      <w:numFmt w:val="bullet"/>
      <w:pStyle w:val="Bodytab1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5E52"/>
    <w:multiLevelType w:val="multilevel"/>
    <w:tmpl w:val="CDEA1C02"/>
    <w:styleLink w:val="ZZChapternumber"/>
    <w:lvl w:ilvl="0">
      <w:start w:val="4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8A87821"/>
    <w:multiLevelType w:val="hybridMultilevel"/>
    <w:tmpl w:val="BBECDE18"/>
    <w:lvl w:ilvl="0" w:tplc="07E641C0">
      <w:start w:val="1"/>
      <w:numFmt w:val="decimal"/>
      <w:pStyle w:val="Heading2"/>
      <w:lvlText w:val="226.%1"/>
      <w:lvlJc w:val="righ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742" w:hanging="360"/>
      </w:pPr>
    </w:lvl>
    <w:lvl w:ilvl="2" w:tplc="0C09001B" w:tentative="1">
      <w:start w:val="1"/>
      <w:numFmt w:val="lowerRoman"/>
      <w:lvlText w:val="%3."/>
      <w:lvlJc w:val="right"/>
      <w:pPr>
        <w:ind w:left="1462" w:hanging="180"/>
      </w:pPr>
    </w:lvl>
    <w:lvl w:ilvl="3" w:tplc="0C09000F" w:tentative="1">
      <w:start w:val="1"/>
      <w:numFmt w:val="decimal"/>
      <w:lvlText w:val="%4."/>
      <w:lvlJc w:val="left"/>
      <w:pPr>
        <w:ind w:left="2182" w:hanging="360"/>
      </w:pPr>
    </w:lvl>
    <w:lvl w:ilvl="4" w:tplc="0C090019" w:tentative="1">
      <w:start w:val="1"/>
      <w:numFmt w:val="lowerLetter"/>
      <w:lvlText w:val="%5."/>
      <w:lvlJc w:val="left"/>
      <w:pPr>
        <w:ind w:left="2902" w:hanging="360"/>
      </w:pPr>
    </w:lvl>
    <w:lvl w:ilvl="5" w:tplc="0C09001B" w:tentative="1">
      <w:start w:val="1"/>
      <w:numFmt w:val="lowerRoman"/>
      <w:lvlText w:val="%6."/>
      <w:lvlJc w:val="right"/>
      <w:pPr>
        <w:ind w:left="3622" w:hanging="180"/>
      </w:pPr>
    </w:lvl>
    <w:lvl w:ilvl="6" w:tplc="0C09000F" w:tentative="1">
      <w:start w:val="1"/>
      <w:numFmt w:val="decimal"/>
      <w:lvlText w:val="%7."/>
      <w:lvlJc w:val="left"/>
      <w:pPr>
        <w:ind w:left="4342" w:hanging="360"/>
      </w:pPr>
    </w:lvl>
    <w:lvl w:ilvl="7" w:tplc="0C090019" w:tentative="1">
      <w:start w:val="1"/>
      <w:numFmt w:val="lowerLetter"/>
      <w:lvlText w:val="%8."/>
      <w:lvlJc w:val="left"/>
      <w:pPr>
        <w:ind w:left="5062" w:hanging="360"/>
      </w:pPr>
    </w:lvl>
    <w:lvl w:ilvl="8" w:tplc="0C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" w15:restartNumberingAfterBreak="0">
    <w:nsid w:val="37F020D4"/>
    <w:multiLevelType w:val="hybridMultilevel"/>
    <w:tmpl w:val="E65E6820"/>
    <w:lvl w:ilvl="0" w:tplc="F7C28A08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4ADE681A"/>
    <w:multiLevelType w:val="hybridMultilevel"/>
    <w:tmpl w:val="E81C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3DAC"/>
    <w:multiLevelType w:val="multilevel"/>
    <w:tmpl w:val="482E869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5C92985"/>
    <w:multiLevelType w:val="multilevel"/>
    <w:tmpl w:val="7D34CC1C"/>
    <w:lvl w:ilvl="0">
      <w:start w:val="1"/>
      <w:numFmt w:val="bullet"/>
      <w:pStyle w:val="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1DA021D"/>
    <w:multiLevelType w:val="hybridMultilevel"/>
    <w:tmpl w:val="A57E3E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D03"/>
    <w:rsid w:val="00000423"/>
    <w:rsid w:val="00003096"/>
    <w:rsid w:val="000032AC"/>
    <w:rsid w:val="00004C8D"/>
    <w:rsid w:val="000072B6"/>
    <w:rsid w:val="0001021B"/>
    <w:rsid w:val="0001139D"/>
    <w:rsid w:val="00011D89"/>
    <w:rsid w:val="000127F5"/>
    <w:rsid w:val="00016D23"/>
    <w:rsid w:val="000177EA"/>
    <w:rsid w:val="00020702"/>
    <w:rsid w:val="00020D84"/>
    <w:rsid w:val="00020DB7"/>
    <w:rsid w:val="00021604"/>
    <w:rsid w:val="00021F0B"/>
    <w:rsid w:val="000232DB"/>
    <w:rsid w:val="00024D89"/>
    <w:rsid w:val="000250B6"/>
    <w:rsid w:val="00025708"/>
    <w:rsid w:val="00027260"/>
    <w:rsid w:val="00031ED6"/>
    <w:rsid w:val="000337DA"/>
    <w:rsid w:val="00033D81"/>
    <w:rsid w:val="00034A19"/>
    <w:rsid w:val="0003527B"/>
    <w:rsid w:val="00037A60"/>
    <w:rsid w:val="000412A0"/>
    <w:rsid w:val="00041BF0"/>
    <w:rsid w:val="0004228F"/>
    <w:rsid w:val="00043F4B"/>
    <w:rsid w:val="0004536B"/>
    <w:rsid w:val="00045766"/>
    <w:rsid w:val="00046B68"/>
    <w:rsid w:val="00047B50"/>
    <w:rsid w:val="000504F2"/>
    <w:rsid w:val="00052423"/>
    <w:rsid w:val="000527DD"/>
    <w:rsid w:val="00055E2C"/>
    <w:rsid w:val="000578B2"/>
    <w:rsid w:val="00060959"/>
    <w:rsid w:val="0006467B"/>
    <w:rsid w:val="000663CD"/>
    <w:rsid w:val="00066572"/>
    <w:rsid w:val="00071C03"/>
    <w:rsid w:val="000724F6"/>
    <w:rsid w:val="00073195"/>
    <w:rsid w:val="000731A6"/>
    <w:rsid w:val="000733FE"/>
    <w:rsid w:val="0007402E"/>
    <w:rsid w:val="00074219"/>
    <w:rsid w:val="00074973"/>
    <w:rsid w:val="00074D9B"/>
    <w:rsid w:val="00074ED5"/>
    <w:rsid w:val="000801DA"/>
    <w:rsid w:val="00081220"/>
    <w:rsid w:val="000817E6"/>
    <w:rsid w:val="000857F8"/>
    <w:rsid w:val="00086F77"/>
    <w:rsid w:val="00087476"/>
    <w:rsid w:val="00087CC2"/>
    <w:rsid w:val="0009113B"/>
    <w:rsid w:val="000940C0"/>
    <w:rsid w:val="00094DA3"/>
    <w:rsid w:val="0009646F"/>
    <w:rsid w:val="00096CD1"/>
    <w:rsid w:val="000A012C"/>
    <w:rsid w:val="000A0EB9"/>
    <w:rsid w:val="000A186C"/>
    <w:rsid w:val="000A25F7"/>
    <w:rsid w:val="000A2BA2"/>
    <w:rsid w:val="000A2D65"/>
    <w:rsid w:val="000A4FD6"/>
    <w:rsid w:val="000A6666"/>
    <w:rsid w:val="000B348B"/>
    <w:rsid w:val="000B3490"/>
    <w:rsid w:val="000B4498"/>
    <w:rsid w:val="000B52A3"/>
    <w:rsid w:val="000B543D"/>
    <w:rsid w:val="000B5458"/>
    <w:rsid w:val="000B5BF7"/>
    <w:rsid w:val="000B5CC0"/>
    <w:rsid w:val="000B6278"/>
    <w:rsid w:val="000B694E"/>
    <w:rsid w:val="000B6BC8"/>
    <w:rsid w:val="000B7EFC"/>
    <w:rsid w:val="000C2BC5"/>
    <w:rsid w:val="000C3824"/>
    <w:rsid w:val="000C42EA"/>
    <w:rsid w:val="000C4546"/>
    <w:rsid w:val="000C5BD1"/>
    <w:rsid w:val="000C6BBC"/>
    <w:rsid w:val="000C771D"/>
    <w:rsid w:val="000D1242"/>
    <w:rsid w:val="000D1FF1"/>
    <w:rsid w:val="000D3255"/>
    <w:rsid w:val="000D646F"/>
    <w:rsid w:val="000D6F92"/>
    <w:rsid w:val="000E0C7C"/>
    <w:rsid w:val="000E1B78"/>
    <w:rsid w:val="000E25C0"/>
    <w:rsid w:val="000E3CC7"/>
    <w:rsid w:val="000E4C93"/>
    <w:rsid w:val="000E6BD4"/>
    <w:rsid w:val="000F0A30"/>
    <w:rsid w:val="000F1F1E"/>
    <w:rsid w:val="000F2259"/>
    <w:rsid w:val="000F2C09"/>
    <w:rsid w:val="000F3164"/>
    <w:rsid w:val="000F56E1"/>
    <w:rsid w:val="000F7423"/>
    <w:rsid w:val="001037BA"/>
    <w:rsid w:val="0010392D"/>
    <w:rsid w:val="0010447F"/>
    <w:rsid w:val="00104ACD"/>
    <w:rsid w:val="00104E19"/>
    <w:rsid w:val="00104FE3"/>
    <w:rsid w:val="00107C2E"/>
    <w:rsid w:val="00113D38"/>
    <w:rsid w:val="001148F9"/>
    <w:rsid w:val="0011600A"/>
    <w:rsid w:val="0011739D"/>
    <w:rsid w:val="00117AFC"/>
    <w:rsid w:val="00120BD3"/>
    <w:rsid w:val="00122FEA"/>
    <w:rsid w:val="001232BD"/>
    <w:rsid w:val="00123919"/>
    <w:rsid w:val="00124ED5"/>
    <w:rsid w:val="0012658F"/>
    <w:rsid w:val="00127586"/>
    <w:rsid w:val="00127FD4"/>
    <w:rsid w:val="00133190"/>
    <w:rsid w:val="00136A56"/>
    <w:rsid w:val="00141414"/>
    <w:rsid w:val="00143A40"/>
    <w:rsid w:val="001447B3"/>
    <w:rsid w:val="001460E5"/>
    <w:rsid w:val="001468FF"/>
    <w:rsid w:val="00152073"/>
    <w:rsid w:val="00152AC4"/>
    <w:rsid w:val="00152D5A"/>
    <w:rsid w:val="0015424D"/>
    <w:rsid w:val="001567F5"/>
    <w:rsid w:val="00161939"/>
    <w:rsid w:val="00161AA0"/>
    <w:rsid w:val="00162093"/>
    <w:rsid w:val="001622C4"/>
    <w:rsid w:val="00171839"/>
    <w:rsid w:val="001729A0"/>
    <w:rsid w:val="0017399E"/>
    <w:rsid w:val="00174C26"/>
    <w:rsid w:val="001758E3"/>
    <w:rsid w:val="00176A6A"/>
    <w:rsid w:val="001771DD"/>
    <w:rsid w:val="00177995"/>
    <w:rsid w:val="00177A8C"/>
    <w:rsid w:val="001810C9"/>
    <w:rsid w:val="001824CF"/>
    <w:rsid w:val="00184E2E"/>
    <w:rsid w:val="0018574E"/>
    <w:rsid w:val="00186B33"/>
    <w:rsid w:val="00187286"/>
    <w:rsid w:val="00191CC5"/>
    <w:rsid w:val="001922EA"/>
    <w:rsid w:val="00192F9D"/>
    <w:rsid w:val="001948DC"/>
    <w:rsid w:val="00196A01"/>
    <w:rsid w:val="00196EB8"/>
    <w:rsid w:val="00196EFB"/>
    <w:rsid w:val="001979FF"/>
    <w:rsid w:val="00197B17"/>
    <w:rsid w:val="001A29B7"/>
    <w:rsid w:val="001A2A43"/>
    <w:rsid w:val="001A3ACE"/>
    <w:rsid w:val="001A6E90"/>
    <w:rsid w:val="001A6E96"/>
    <w:rsid w:val="001B0356"/>
    <w:rsid w:val="001B19AE"/>
    <w:rsid w:val="001B1B9C"/>
    <w:rsid w:val="001B32BD"/>
    <w:rsid w:val="001B4C56"/>
    <w:rsid w:val="001B6BC8"/>
    <w:rsid w:val="001C0F66"/>
    <w:rsid w:val="001C277E"/>
    <w:rsid w:val="001C2A72"/>
    <w:rsid w:val="001D0A0B"/>
    <w:rsid w:val="001D0A85"/>
    <w:rsid w:val="001D0B75"/>
    <w:rsid w:val="001D1A28"/>
    <w:rsid w:val="001D3C09"/>
    <w:rsid w:val="001D44E8"/>
    <w:rsid w:val="001D60EC"/>
    <w:rsid w:val="001E0D56"/>
    <w:rsid w:val="001E354F"/>
    <w:rsid w:val="001E44DF"/>
    <w:rsid w:val="001E68A5"/>
    <w:rsid w:val="001E6BB0"/>
    <w:rsid w:val="001E7447"/>
    <w:rsid w:val="001F3826"/>
    <w:rsid w:val="001F50E4"/>
    <w:rsid w:val="001F5BA0"/>
    <w:rsid w:val="001F5CE7"/>
    <w:rsid w:val="001F6553"/>
    <w:rsid w:val="001F6E46"/>
    <w:rsid w:val="001F7C91"/>
    <w:rsid w:val="00201DF7"/>
    <w:rsid w:val="0020397C"/>
    <w:rsid w:val="00204E6C"/>
    <w:rsid w:val="0020581A"/>
    <w:rsid w:val="00206463"/>
    <w:rsid w:val="00206F2F"/>
    <w:rsid w:val="0021053D"/>
    <w:rsid w:val="00210A92"/>
    <w:rsid w:val="0021157F"/>
    <w:rsid w:val="00214655"/>
    <w:rsid w:val="002148FF"/>
    <w:rsid w:val="002149C2"/>
    <w:rsid w:val="00214E33"/>
    <w:rsid w:val="00216C03"/>
    <w:rsid w:val="00220C04"/>
    <w:rsid w:val="00221F51"/>
    <w:rsid w:val="0022278D"/>
    <w:rsid w:val="0022701F"/>
    <w:rsid w:val="002333F5"/>
    <w:rsid w:val="00233724"/>
    <w:rsid w:val="00233ADC"/>
    <w:rsid w:val="002342C2"/>
    <w:rsid w:val="00234AAA"/>
    <w:rsid w:val="00240F83"/>
    <w:rsid w:val="002432E1"/>
    <w:rsid w:val="00244A31"/>
    <w:rsid w:val="00246207"/>
    <w:rsid w:val="00246232"/>
    <w:rsid w:val="00246598"/>
    <w:rsid w:val="00246C5E"/>
    <w:rsid w:val="00250759"/>
    <w:rsid w:val="00251343"/>
    <w:rsid w:val="00251F6F"/>
    <w:rsid w:val="0025279A"/>
    <w:rsid w:val="00254F58"/>
    <w:rsid w:val="00261327"/>
    <w:rsid w:val="002615C7"/>
    <w:rsid w:val="002620BC"/>
    <w:rsid w:val="00262802"/>
    <w:rsid w:val="00263A90"/>
    <w:rsid w:val="0026408B"/>
    <w:rsid w:val="00265378"/>
    <w:rsid w:val="002657A2"/>
    <w:rsid w:val="002657A3"/>
    <w:rsid w:val="00267C3E"/>
    <w:rsid w:val="002709BB"/>
    <w:rsid w:val="00272F2B"/>
    <w:rsid w:val="0027310E"/>
    <w:rsid w:val="00273373"/>
    <w:rsid w:val="002736F5"/>
    <w:rsid w:val="00274B52"/>
    <w:rsid w:val="002763B3"/>
    <w:rsid w:val="00276AC4"/>
    <w:rsid w:val="002802E3"/>
    <w:rsid w:val="0028213D"/>
    <w:rsid w:val="0028339B"/>
    <w:rsid w:val="00285134"/>
    <w:rsid w:val="0028528E"/>
    <w:rsid w:val="00285912"/>
    <w:rsid w:val="00285AAA"/>
    <w:rsid w:val="002862F1"/>
    <w:rsid w:val="00291373"/>
    <w:rsid w:val="00293358"/>
    <w:rsid w:val="00294C56"/>
    <w:rsid w:val="0029597D"/>
    <w:rsid w:val="002962C3"/>
    <w:rsid w:val="0029752B"/>
    <w:rsid w:val="002A0FA5"/>
    <w:rsid w:val="002A45EE"/>
    <w:rsid w:val="002A483C"/>
    <w:rsid w:val="002A774F"/>
    <w:rsid w:val="002B029C"/>
    <w:rsid w:val="002B1729"/>
    <w:rsid w:val="002B265F"/>
    <w:rsid w:val="002B2816"/>
    <w:rsid w:val="002B2AA0"/>
    <w:rsid w:val="002B36C7"/>
    <w:rsid w:val="002B4DD4"/>
    <w:rsid w:val="002B4EF0"/>
    <w:rsid w:val="002B5277"/>
    <w:rsid w:val="002B52A6"/>
    <w:rsid w:val="002B5375"/>
    <w:rsid w:val="002B74A3"/>
    <w:rsid w:val="002B77C1"/>
    <w:rsid w:val="002C1ED1"/>
    <w:rsid w:val="002C2537"/>
    <w:rsid w:val="002C25EA"/>
    <w:rsid w:val="002C2728"/>
    <w:rsid w:val="002C3D29"/>
    <w:rsid w:val="002C4825"/>
    <w:rsid w:val="002C4A35"/>
    <w:rsid w:val="002D1071"/>
    <w:rsid w:val="002D1283"/>
    <w:rsid w:val="002D1F45"/>
    <w:rsid w:val="002D3130"/>
    <w:rsid w:val="002D3E70"/>
    <w:rsid w:val="002D5006"/>
    <w:rsid w:val="002D6262"/>
    <w:rsid w:val="002D658C"/>
    <w:rsid w:val="002E01D0"/>
    <w:rsid w:val="002E11EA"/>
    <w:rsid w:val="002E161D"/>
    <w:rsid w:val="002E1DD8"/>
    <w:rsid w:val="002E3100"/>
    <w:rsid w:val="002E48BF"/>
    <w:rsid w:val="002E66F6"/>
    <w:rsid w:val="002E6838"/>
    <w:rsid w:val="002E6C95"/>
    <w:rsid w:val="002E7C36"/>
    <w:rsid w:val="002F1A9F"/>
    <w:rsid w:val="002F1D38"/>
    <w:rsid w:val="002F330B"/>
    <w:rsid w:val="002F367E"/>
    <w:rsid w:val="002F3D66"/>
    <w:rsid w:val="002F4171"/>
    <w:rsid w:val="002F5E77"/>
    <w:rsid w:val="002F5F31"/>
    <w:rsid w:val="002F5F46"/>
    <w:rsid w:val="002F620B"/>
    <w:rsid w:val="003003F7"/>
    <w:rsid w:val="00302216"/>
    <w:rsid w:val="00303E53"/>
    <w:rsid w:val="00304E97"/>
    <w:rsid w:val="003053DD"/>
    <w:rsid w:val="0030611C"/>
    <w:rsid w:val="00306E5F"/>
    <w:rsid w:val="00307E14"/>
    <w:rsid w:val="00311C4A"/>
    <w:rsid w:val="0031251D"/>
    <w:rsid w:val="00313A8B"/>
    <w:rsid w:val="00314054"/>
    <w:rsid w:val="00316898"/>
    <w:rsid w:val="00316F27"/>
    <w:rsid w:val="0031768B"/>
    <w:rsid w:val="0031773C"/>
    <w:rsid w:val="00327870"/>
    <w:rsid w:val="00330F3C"/>
    <w:rsid w:val="0033259D"/>
    <w:rsid w:val="00333826"/>
    <w:rsid w:val="00333A88"/>
    <w:rsid w:val="00334A11"/>
    <w:rsid w:val="00335F96"/>
    <w:rsid w:val="00337C00"/>
    <w:rsid w:val="003406C6"/>
    <w:rsid w:val="003418CC"/>
    <w:rsid w:val="00344E29"/>
    <w:rsid w:val="003459BD"/>
    <w:rsid w:val="003500FA"/>
    <w:rsid w:val="003507E6"/>
    <w:rsid w:val="00350D38"/>
    <w:rsid w:val="0035102C"/>
    <w:rsid w:val="00351B36"/>
    <w:rsid w:val="00352184"/>
    <w:rsid w:val="003529DE"/>
    <w:rsid w:val="00352DD8"/>
    <w:rsid w:val="0035439E"/>
    <w:rsid w:val="0035456C"/>
    <w:rsid w:val="003556F3"/>
    <w:rsid w:val="00357B4E"/>
    <w:rsid w:val="00361CAB"/>
    <w:rsid w:val="00362AA5"/>
    <w:rsid w:val="0036330C"/>
    <w:rsid w:val="00363489"/>
    <w:rsid w:val="003640A9"/>
    <w:rsid w:val="003647C7"/>
    <w:rsid w:val="00364FC5"/>
    <w:rsid w:val="00365704"/>
    <w:rsid w:val="0036592C"/>
    <w:rsid w:val="00366BC0"/>
    <w:rsid w:val="0036748F"/>
    <w:rsid w:val="00371F47"/>
    <w:rsid w:val="003730C6"/>
    <w:rsid w:val="00373C3A"/>
    <w:rsid w:val="003744CF"/>
    <w:rsid w:val="00374717"/>
    <w:rsid w:val="0037588F"/>
    <w:rsid w:val="00375A42"/>
    <w:rsid w:val="0037676C"/>
    <w:rsid w:val="00381769"/>
    <w:rsid w:val="00381C6F"/>
    <w:rsid w:val="003829E5"/>
    <w:rsid w:val="00384628"/>
    <w:rsid w:val="00385D05"/>
    <w:rsid w:val="003866E5"/>
    <w:rsid w:val="003877F3"/>
    <w:rsid w:val="0039156E"/>
    <w:rsid w:val="003940C4"/>
    <w:rsid w:val="003956CC"/>
    <w:rsid w:val="0039586A"/>
    <w:rsid w:val="00395C9A"/>
    <w:rsid w:val="00397BAE"/>
    <w:rsid w:val="003A2DBB"/>
    <w:rsid w:val="003A3DA7"/>
    <w:rsid w:val="003A52C1"/>
    <w:rsid w:val="003A5F6D"/>
    <w:rsid w:val="003A6B67"/>
    <w:rsid w:val="003A7DBC"/>
    <w:rsid w:val="003B0262"/>
    <w:rsid w:val="003B15E6"/>
    <w:rsid w:val="003B42F5"/>
    <w:rsid w:val="003B49D9"/>
    <w:rsid w:val="003C1A33"/>
    <w:rsid w:val="003C1B03"/>
    <w:rsid w:val="003C2045"/>
    <w:rsid w:val="003C20AB"/>
    <w:rsid w:val="003C43A1"/>
    <w:rsid w:val="003C4FC0"/>
    <w:rsid w:val="003C55F4"/>
    <w:rsid w:val="003C7006"/>
    <w:rsid w:val="003C7A3F"/>
    <w:rsid w:val="003C7ED8"/>
    <w:rsid w:val="003D04CD"/>
    <w:rsid w:val="003D0C84"/>
    <w:rsid w:val="003D2766"/>
    <w:rsid w:val="003D295D"/>
    <w:rsid w:val="003D3E8F"/>
    <w:rsid w:val="003D6475"/>
    <w:rsid w:val="003E300D"/>
    <w:rsid w:val="003E54DD"/>
    <w:rsid w:val="003E6AE1"/>
    <w:rsid w:val="003F0445"/>
    <w:rsid w:val="003F0CF0"/>
    <w:rsid w:val="003F14B1"/>
    <w:rsid w:val="003F3289"/>
    <w:rsid w:val="003F3B99"/>
    <w:rsid w:val="003F409F"/>
    <w:rsid w:val="003F51F4"/>
    <w:rsid w:val="003F5614"/>
    <w:rsid w:val="003F6E44"/>
    <w:rsid w:val="00401259"/>
    <w:rsid w:val="00401692"/>
    <w:rsid w:val="00401FCF"/>
    <w:rsid w:val="00403A80"/>
    <w:rsid w:val="00406285"/>
    <w:rsid w:val="00407519"/>
    <w:rsid w:val="00410E7E"/>
    <w:rsid w:val="00412D16"/>
    <w:rsid w:val="00412E5C"/>
    <w:rsid w:val="00413611"/>
    <w:rsid w:val="004148F9"/>
    <w:rsid w:val="0042084E"/>
    <w:rsid w:val="004211C3"/>
    <w:rsid w:val="00421EEF"/>
    <w:rsid w:val="00424D65"/>
    <w:rsid w:val="00424F3A"/>
    <w:rsid w:val="004264B2"/>
    <w:rsid w:val="0042760C"/>
    <w:rsid w:val="00427A42"/>
    <w:rsid w:val="0043029C"/>
    <w:rsid w:val="00432EC8"/>
    <w:rsid w:val="004350DB"/>
    <w:rsid w:val="00435CD7"/>
    <w:rsid w:val="0044085E"/>
    <w:rsid w:val="00442590"/>
    <w:rsid w:val="00442C6C"/>
    <w:rsid w:val="00443CBE"/>
    <w:rsid w:val="00443E8A"/>
    <w:rsid w:val="004441BC"/>
    <w:rsid w:val="00444AB1"/>
    <w:rsid w:val="004468B4"/>
    <w:rsid w:val="00447F2A"/>
    <w:rsid w:val="0045230A"/>
    <w:rsid w:val="0045390B"/>
    <w:rsid w:val="00453A1D"/>
    <w:rsid w:val="00457337"/>
    <w:rsid w:val="00460855"/>
    <w:rsid w:val="00466AF5"/>
    <w:rsid w:val="00467AE2"/>
    <w:rsid w:val="00471AD0"/>
    <w:rsid w:val="00471B90"/>
    <w:rsid w:val="00472EAD"/>
    <w:rsid w:val="0047372D"/>
    <w:rsid w:val="0047379D"/>
    <w:rsid w:val="00473AE2"/>
    <w:rsid w:val="004743DD"/>
    <w:rsid w:val="00474CEA"/>
    <w:rsid w:val="00477CEC"/>
    <w:rsid w:val="004800B6"/>
    <w:rsid w:val="0048336C"/>
    <w:rsid w:val="00483968"/>
    <w:rsid w:val="00484299"/>
    <w:rsid w:val="00484F86"/>
    <w:rsid w:val="004864FA"/>
    <w:rsid w:val="00486C9D"/>
    <w:rsid w:val="00487BAA"/>
    <w:rsid w:val="00490467"/>
    <w:rsid w:val="00490746"/>
    <w:rsid w:val="00490852"/>
    <w:rsid w:val="004920EB"/>
    <w:rsid w:val="00492F30"/>
    <w:rsid w:val="004946F4"/>
    <w:rsid w:val="0049487E"/>
    <w:rsid w:val="004A160D"/>
    <w:rsid w:val="004A1B30"/>
    <w:rsid w:val="004A24B1"/>
    <w:rsid w:val="004A3E81"/>
    <w:rsid w:val="004A5C62"/>
    <w:rsid w:val="004A705F"/>
    <w:rsid w:val="004A707D"/>
    <w:rsid w:val="004B2B92"/>
    <w:rsid w:val="004B2D5E"/>
    <w:rsid w:val="004B644D"/>
    <w:rsid w:val="004B6F98"/>
    <w:rsid w:val="004C20E2"/>
    <w:rsid w:val="004C5797"/>
    <w:rsid w:val="004C6EEE"/>
    <w:rsid w:val="004C702B"/>
    <w:rsid w:val="004D016B"/>
    <w:rsid w:val="004D1B22"/>
    <w:rsid w:val="004D3325"/>
    <w:rsid w:val="004D351B"/>
    <w:rsid w:val="004D36F2"/>
    <w:rsid w:val="004D56BD"/>
    <w:rsid w:val="004D6BDB"/>
    <w:rsid w:val="004D7F26"/>
    <w:rsid w:val="004E138F"/>
    <w:rsid w:val="004E3923"/>
    <w:rsid w:val="004E4649"/>
    <w:rsid w:val="004E4EFE"/>
    <w:rsid w:val="004E5C2B"/>
    <w:rsid w:val="004E6581"/>
    <w:rsid w:val="004E66F0"/>
    <w:rsid w:val="004F00DD"/>
    <w:rsid w:val="004F05F6"/>
    <w:rsid w:val="004F19A3"/>
    <w:rsid w:val="004F2081"/>
    <w:rsid w:val="004F2133"/>
    <w:rsid w:val="004F4E14"/>
    <w:rsid w:val="004F55F1"/>
    <w:rsid w:val="004F6936"/>
    <w:rsid w:val="004F7CF5"/>
    <w:rsid w:val="005010F0"/>
    <w:rsid w:val="0050110B"/>
    <w:rsid w:val="00501A66"/>
    <w:rsid w:val="00503DC6"/>
    <w:rsid w:val="005045A4"/>
    <w:rsid w:val="00505D11"/>
    <w:rsid w:val="005065FD"/>
    <w:rsid w:val="00506F5D"/>
    <w:rsid w:val="00511836"/>
    <w:rsid w:val="005126D0"/>
    <w:rsid w:val="00515223"/>
    <w:rsid w:val="0051563E"/>
    <w:rsid w:val="0051568D"/>
    <w:rsid w:val="00524CE5"/>
    <w:rsid w:val="00526C15"/>
    <w:rsid w:val="00530CCC"/>
    <w:rsid w:val="00532A89"/>
    <w:rsid w:val="0053401A"/>
    <w:rsid w:val="005356EB"/>
    <w:rsid w:val="005363DE"/>
    <w:rsid w:val="00536499"/>
    <w:rsid w:val="00541FB6"/>
    <w:rsid w:val="00543437"/>
    <w:rsid w:val="00543903"/>
    <w:rsid w:val="00543F11"/>
    <w:rsid w:val="00544144"/>
    <w:rsid w:val="00545BEC"/>
    <w:rsid w:val="005460A7"/>
    <w:rsid w:val="0054662E"/>
    <w:rsid w:val="00547A95"/>
    <w:rsid w:val="00550117"/>
    <w:rsid w:val="00551274"/>
    <w:rsid w:val="0055308B"/>
    <w:rsid w:val="005541BC"/>
    <w:rsid w:val="00555973"/>
    <w:rsid w:val="0055692F"/>
    <w:rsid w:val="00556ED9"/>
    <w:rsid w:val="0055788A"/>
    <w:rsid w:val="00560991"/>
    <w:rsid w:val="005611A1"/>
    <w:rsid w:val="00562568"/>
    <w:rsid w:val="00562A59"/>
    <w:rsid w:val="00564386"/>
    <w:rsid w:val="00565D0F"/>
    <w:rsid w:val="00567B28"/>
    <w:rsid w:val="00572031"/>
    <w:rsid w:val="00572975"/>
    <w:rsid w:val="00573163"/>
    <w:rsid w:val="005753BF"/>
    <w:rsid w:val="00575A78"/>
    <w:rsid w:val="00576E84"/>
    <w:rsid w:val="0058003E"/>
    <w:rsid w:val="0058176B"/>
    <w:rsid w:val="005817A9"/>
    <w:rsid w:val="00581872"/>
    <w:rsid w:val="00582B8C"/>
    <w:rsid w:val="005840C9"/>
    <w:rsid w:val="00584E14"/>
    <w:rsid w:val="005850D3"/>
    <w:rsid w:val="00587220"/>
    <w:rsid w:val="0058757E"/>
    <w:rsid w:val="00590084"/>
    <w:rsid w:val="00591653"/>
    <w:rsid w:val="00593920"/>
    <w:rsid w:val="00596A4B"/>
    <w:rsid w:val="00597507"/>
    <w:rsid w:val="005A3A0F"/>
    <w:rsid w:val="005A7F32"/>
    <w:rsid w:val="005B1748"/>
    <w:rsid w:val="005B21B6"/>
    <w:rsid w:val="005B33E7"/>
    <w:rsid w:val="005B3A08"/>
    <w:rsid w:val="005B467D"/>
    <w:rsid w:val="005B4ADD"/>
    <w:rsid w:val="005B4CF7"/>
    <w:rsid w:val="005B5921"/>
    <w:rsid w:val="005B7A63"/>
    <w:rsid w:val="005C0955"/>
    <w:rsid w:val="005C13A9"/>
    <w:rsid w:val="005C49DA"/>
    <w:rsid w:val="005C50F3"/>
    <w:rsid w:val="005C5D91"/>
    <w:rsid w:val="005D07B8"/>
    <w:rsid w:val="005D21EF"/>
    <w:rsid w:val="005D349E"/>
    <w:rsid w:val="005D3D7F"/>
    <w:rsid w:val="005D4CAF"/>
    <w:rsid w:val="005D6597"/>
    <w:rsid w:val="005D7977"/>
    <w:rsid w:val="005E14E7"/>
    <w:rsid w:val="005E26A3"/>
    <w:rsid w:val="005E4269"/>
    <w:rsid w:val="005E447E"/>
    <w:rsid w:val="005E6EAB"/>
    <w:rsid w:val="005F0775"/>
    <w:rsid w:val="005F0CF5"/>
    <w:rsid w:val="005F21EB"/>
    <w:rsid w:val="005F70AF"/>
    <w:rsid w:val="00601361"/>
    <w:rsid w:val="0060288F"/>
    <w:rsid w:val="00605908"/>
    <w:rsid w:val="0060672B"/>
    <w:rsid w:val="00610D7C"/>
    <w:rsid w:val="006126E5"/>
    <w:rsid w:val="00612F09"/>
    <w:rsid w:val="00613191"/>
    <w:rsid w:val="00613414"/>
    <w:rsid w:val="00615AEC"/>
    <w:rsid w:val="00616205"/>
    <w:rsid w:val="0061648D"/>
    <w:rsid w:val="00617857"/>
    <w:rsid w:val="00620FD2"/>
    <w:rsid w:val="00623667"/>
    <w:rsid w:val="00623DB7"/>
    <w:rsid w:val="0062408D"/>
    <w:rsid w:val="006240CC"/>
    <w:rsid w:val="006248CD"/>
    <w:rsid w:val="006257E6"/>
    <w:rsid w:val="006261D3"/>
    <w:rsid w:val="00627DA7"/>
    <w:rsid w:val="00630413"/>
    <w:rsid w:val="00630EE6"/>
    <w:rsid w:val="00630F9A"/>
    <w:rsid w:val="00633471"/>
    <w:rsid w:val="006358B4"/>
    <w:rsid w:val="00637932"/>
    <w:rsid w:val="006419AA"/>
    <w:rsid w:val="0064370F"/>
    <w:rsid w:val="00644B7E"/>
    <w:rsid w:val="00644E40"/>
    <w:rsid w:val="006454E6"/>
    <w:rsid w:val="00646A68"/>
    <w:rsid w:val="0065092E"/>
    <w:rsid w:val="006515FD"/>
    <w:rsid w:val="006537D4"/>
    <w:rsid w:val="006557A7"/>
    <w:rsid w:val="00656290"/>
    <w:rsid w:val="0066165E"/>
    <w:rsid w:val="00661E29"/>
    <w:rsid w:val="006621D7"/>
    <w:rsid w:val="0066302A"/>
    <w:rsid w:val="00667E55"/>
    <w:rsid w:val="00670597"/>
    <w:rsid w:val="006706D0"/>
    <w:rsid w:val="0067070D"/>
    <w:rsid w:val="0067459E"/>
    <w:rsid w:val="00677574"/>
    <w:rsid w:val="00677CA2"/>
    <w:rsid w:val="0068086C"/>
    <w:rsid w:val="00680949"/>
    <w:rsid w:val="0068264B"/>
    <w:rsid w:val="006844EB"/>
    <w:rsid w:val="0068454C"/>
    <w:rsid w:val="00684D98"/>
    <w:rsid w:val="00684F75"/>
    <w:rsid w:val="00685CA8"/>
    <w:rsid w:val="00685EF5"/>
    <w:rsid w:val="0069114F"/>
    <w:rsid w:val="00691B62"/>
    <w:rsid w:val="006933B5"/>
    <w:rsid w:val="006934AB"/>
    <w:rsid w:val="00693D14"/>
    <w:rsid w:val="00694826"/>
    <w:rsid w:val="00695A27"/>
    <w:rsid w:val="00697238"/>
    <w:rsid w:val="00697B96"/>
    <w:rsid w:val="006A0E56"/>
    <w:rsid w:val="006A1310"/>
    <w:rsid w:val="006A18C2"/>
    <w:rsid w:val="006A2858"/>
    <w:rsid w:val="006A4E6A"/>
    <w:rsid w:val="006A552A"/>
    <w:rsid w:val="006A6403"/>
    <w:rsid w:val="006B077C"/>
    <w:rsid w:val="006B6803"/>
    <w:rsid w:val="006C1D98"/>
    <w:rsid w:val="006C2425"/>
    <w:rsid w:val="006C24EA"/>
    <w:rsid w:val="006C258B"/>
    <w:rsid w:val="006C292E"/>
    <w:rsid w:val="006C2995"/>
    <w:rsid w:val="006D0811"/>
    <w:rsid w:val="006D0832"/>
    <w:rsid w:val="006D142D"/>
    <w:rsid w:val="006D1B7A"/>
    <w:rsid w:val="006D2A3F"/>
    <w:rsid w:val="006D2FBC"/>
    <w:rsid w:val="006D6DBB"/>
    <w:rsid w:val="006D7511"/>
    <w:rsid w:val="006E138B"/>
    <w:rsid w:val="006E5B5E"/>
    <w:rsid w:val="006F1FDC"/>
    <w:rsid w:val="006F5D2B"/>
    <w:rsid w:val="006F6924"/>
    <w:rsid w:val="007013EF"/>
    <w:rsid w:val="00703620"/>
    <w:rsid w:val="00705561"/>
    <w:rsid w:val="00705B8C"/>
    <w:rsid w:val="00706FED"/>
    <w:rsid w:val="0071271B"/>
    <w:rsid w:val="00712E54"/>
    <w:rsid w:val="007173CA"/>
    <w:rsid w:val="00720409"/>
    <w:rsid w:val="00720B23"/>
    <w:rsid w:val="00720CC6"/>
    <w:rsid w:val="007216AA"/>
    <w:rsid w:val="00721AB5"/>
    <w:rsid w:val="00721DEF"/>
    <w:rsid w:val="00724A43"/>
    <w:rsid w:val="00724E5A"/>
    <w:rsid w:val="00731C27"/>
    <w:rsid w:val="007346E4"/>
    <w:rsid w:val="007360E9"/>
    <w:rsid w:val="00740A9E"/>
    <w:rsid w:val="00740DE2"/>
    <w:rsid w:val="00740F22"/>
    <w:rsid w:val="00741F1A"/>
    <w:rsid w:val="007450F8"/>
    <w:rsid w:val="00745148"/>
    <w:rsid w:val="0074696E"/>
    <w:rsid w:val="00750135"/>
    <w:rsid w:val="00750EC2"/>
    <w:rsid w:val="00752B28"/>
    <w:rsid w:val="00754E36"/>
    <w:rsid w:val="00755F6C"/>
    <w:rsid w:val="00757059"/>
    <w:rsid w:val="00760198"/>
    <w:rsid w:val="00761425"/>
    <w:rsid w:val="00763139"/>
    <w:rsid w:val="00764765"/>
    <w:rsid w:val="00764D0F"/>
    <w:rsid w:val="00770343"/>
    <w:rsid w:val="00770F37"/>
    <w:rsid w:val="007711A0"/>
    <w:rsid w:val="00772D5E"/>
    <w:rsid w:val="00773B06"/>
    <w:rsid w:val="00776928"/>
    <w:rsid w:val="00780D1B"/>
    <w:rsid w:val="00782340"/>
    <w:rsid w:val="00782D1B"/>
    <w:rsid w:val="007831D6"/>
    <w:rsid w:val="00784560"/>
    <w:rsid w:val="00784673"/>
    <w:rsid w:val="00785677"/>
    <w:rsid w:val="00786E26"/>
    <w:rsid w:val="00786F16"/>
    <w:rsid w:val="00793986"/>
    <w:rsid w:val="00793FBD"/>
    <w:rsid w:val="00795B59"/>
    <w:rsid w:val="00795DC2"/>
    <w:rsid w:val="00795EFC"/>
    <w:rsid w:val="00796033"/>
    <w:rsid w:val="00796E20"/>
    <w:rsid w:val="00797C32"/>
    <w:rsid w:val="00797D07"/>
    <w:rsid w:val="007A02F5"/>
    <w:rsid w:val="007A033F"/>
    <w:rsid w:val="007A0E3F"/>
    <w:rsid w:val="007B0914"/>
    <w:rsid w:val="007B1374"/>
    <w:rsid w:val="007B4D8A"/>
    <w:rsid w:val="007B589F"/>
    <w:rsid w:val="007B5DD2"/>
    <w:rsid w:val="007B6186"/>
    <w:rsid w:val="007B6D9D"/>
    <w:rsid w:val="007B73BC"/>
    <w:rsid w:val="007C033D"/>
    <w:rsid w:val="007C20B9"/>
    <w:rsid w:val="007C3873"/>
    <w:rsid w:val="007C6076"/>
    <w:rsid w:val="007C7301"/>
    <w:rsid w:val="007C7859"/>
    <w:rsid w:val="007D073F"/>
    <w:rsid w:val="007D07D8"/>
    <w:rsid w:val="007D2BDE"/>
    <w:rsid w:val="007D2FB6"/>
    <w:rsid w:val="007D35AB"/>
    <w:rsid w:val="007D68C1"/>
    <w:rsid w:val="007D6E2D"/>
    <w:rsid w:val="007E0DE2"/>
    <w:rsid w:val="007E0E2E"/>
    <w:rsid w:val="007E3B98"/>
    <w:rsid w:val="007E499D"/>
    <w:rsid w:val="007E552A"/>
    <w:rsid w:val="007E55AE"/>
    <w:rsid w:val="007E6789"/>
    <w:rsid w:val="007E7072"/>
    <w:rsid w:val="007F14A5"/>
    <w:rsid w:val="007F15D1"/>
    <w:rsid w:val="007F2C6A"/>
    <w:rsid w:val="007F31B6"/>
    <w:rsid w:val="007F4F53"/>
    <w:rsid w:val="007F546C"/>
    <w:rsid w:val="007F5A0D"/>
    <w:rsid w:val="007F625F"/>
    <w:rsid w:val="007F665E"/>
    <w:rsid w:val="00800110"/>
    <w:rsid w:val="00800412"/>
    <w:rsid w:val="0080315D"/>
    <w:rsid w:val="0080587B"/>
    <w:rsid w:val="00806468"/>
    <w:rsid w:val="00806938"/>
    <w:rsid w:val="00811817"/>
    <w:rsid w:val="008120CB"/>
    <w:rsid w:val="00814DDF"/>
    <w:rsid w:val="008150F4"/>
    <w:rsid w:val="008155F0"/>
    <w:rsid w:val="00816735"/>
    <w:rsid w:val="00820141"/>
    <w:rsid w:val="008204BF"/>
    <w:rsid w:val="00820E0C"/>
    <w:rsid w:val="008212C1"/>
    <w:rsid w:val="0082259F"/>
    <w:rsid w:val="00822610"/>
    <w:rsid w:val="00831E70"/>
    <w:rsid w:val="008338A2"/>
    <w:rsid w:val="00835674"/>
    <w:rsid w:val="0083571F"/>
    <w:rsid w:val="00836B9B"/>
    <w:rsid w:val="00836F1D"/>
    <w:rsid w:val="00837D71"/>
    <w:rsid w:val="00841607"/>
    <w:rsid w:val="0084178F"/>
    <w:rsid w:val="0084185D"/>
    <w:rsid w:val="00841AA9"/>
    <w:rsid w:val="00841D0C"/>
    <w:rsid w:val="00851BCD"/>
    <w:rsid w:val="00853EE4"/>
    <w:rsid w:val="008548A4"/>
    <w:rsid w:val="00854FD7"/>
    <w:rsid w:val="0085525D"/>
    <w:rsid w:val="00855535"/>
    <w:rsid w:val="008576F9"/>
    <w:rsid w:val="008608B1"/>
    <w:rsid w:val="008623DD"/>
    <w:rsid w:val="0086255E"/>
    <w:rsid w:val="008633F0"/>
    <w:rsid w:val="008652D1"/>
    <w:rsid w:val="00865B63"/>
    <w:rsid w:val="008673D2"/>
    <w:rsid w:val="0086768F"/>
    <w:rsid w:val="00867D9D"/>
    <w:rsid w:val="00870DF1"/>
    <w:rsid w:val="00872E0A"/>
    <w:rsid w:val="00875285"/>
    <w:rsid w:val="00876855"/>
    <w:rsid w:val="00876C54"/>
    <w:rsid w:val="00876EAD"/>
    <w:rsid w:val="008839BF"/>
    <w:rsid w:val="0088413F"/>
    <w:rsid w:val="00884B62"/>
    <w:rsid w:val="0088529C"/>
    <w:rsid w:val="00885E35"/>
    <w:rsid w:val="00887903"/>
    <w:rsid w:val="0089002A"/>
    <w:rsid w:val="00890116"/>
    <w:rsid w:val="0089270A"/>
    <w:rsid w:val="00893AF6"/>
    <w:rsid w:val="008942F2"/>
    <w:rsid w:val="00894BC4"/>
    <w:rsid w:val="00895446"/>
    <w:rsid w:val="008A34B9"/>
    <w:rsid w:val="008A5B32"/>
    <w:rsid w:val="008B196F"/>
    <w:rsid w:val="008B2EE4"/>
    <w:rsid w:val="008B4D3D"/>
    <w:rsid w:val="008B5492"/>
    <w:rsid w:val="008B57C7"/>
    <w:rsid w:val="008C0C11"/>
    <w:rsid w:val="008C2F92"/>
    <w:rsid w:val="008C5A3F"/>
    <w:rsid w:val="008D2846"/>
    <w:rsid w:val="008D4236"/>
    <w:rsid w:val="008D462F"/>
    <w:rsid w:val="008D4698"/>
    <w:rsid w:val="008D5F5F"/>
    <w:rsid w:val="008D610B"/>
    <w:rsid w:val="008D6DCF"/>
    <w:rsid w:val="008D7782"/>
    <w:rsid w:val="008D7DE4"/>
    <w:rsid w:val="008E0BC4"/>
    <w:rsid w:val="008E3DE6"/>
    <w:rsid w:val="008E4376"/>
    <w:rsid w:val="008E7014"/>
    <w:rsid w:val="008E7A0A"/>
    <w:rsid w:val="008E7D83"/>
    <w:rsid w:val="008F6310"/>
    <w:rsid w:val="00900719"/>
    <w:rsid w:val="009017AC"/>
    <w:rsid w:val="00902954"/>
    <w:rsid w:val="0090439C"/>
    <w:rsid w:val="009049E3"/>
    <w:rsid w:val="00904A1C"/>
    <w:rsid w:val="00905030"/>
    <w:rsid w:val="00905ACD"/>
    <w:rsid w:val="00906490"/>
    <w:rsid w:val="00907708"/>
    <w:rsid w:val="009078A5"/>
    <w:rsid w:val="009111B2"/>
    <w:rsid w:val="009127E2"/>
    <w:rsid w:val="00913378"/>
    <w:rsid w:val="0091337E"/>
    <w:rsid w:val="00921B54"/>
    <w:rsid w:val="00922968"/>
    <w:rsid w:val="009242D2"/>
    <w:rsid w:val="00924AE1"/>
    <w:rsid w:val="009267C3"/>
    <w:rsid w:val="009269B1"/>
    <w:rsid w:val="0092703C"/>
    <w:rsid w:val="0092724D"/>
    <w:rsid w:val="0092734C"/>
    <w:rsid w:val="00927FD8"/>
    <w:rsid w:val="009309C0"/>
    <w:rsid w:val="00935947"/>
    <w:rsid w:val="00937BD9"/>
    <w:rsid w:val="0094137B"/>
    <w:rsid w:val="00941ECB"/>
    <w:rsid w:val="00943C63"/>
    <w:rsid w:val="00950C87"/>
    <w:rsid w:val="00950E2C"/>
    <w:rsid w:val="00951B3A"/>
    <w:rsid w:val="00951D03"/>
    <w:rsid w:val="00951D50"/>
    <w:rsid w:val="009525EB"/>
    <w:rsid w:val="00953F76"/>
    <w:rsid w:val="00954874"/>
    <w:rsid w:val="009548CF"/>
    <w:rsid w:val="00957B36"/>
    <w:rsid w:val="00957D13"/>
    <w:rsid w:val="00960432"/>
    <w:rsid w:val="009606A4"/>
    <w:rsid w:val="00961400"/>
    <w:rsid w:val="00963646"/>
    <w:rsid w:val="00966D3D"/>
    <w:rsid w:val="0097071E"/>
    <w:rsid w:val="0097295E"/>
    <w:rsid w:val="009734B8"/>
    <w:rsid w:val="00974468"/>
    <w:rsid w:val="009749E0"/>
    <w:rsid w:val="00980C7C"/>
    <w:rsid w:val="00980F68"/>
    <w:rsid w:val="009812A1"/>
    <w:rsid w:val="00982E19"/>
    <w:rsid w:val="009837A2"/>
    <w:rsid w:val="009853E1"/>
    <w:rsid w:val="0098582B"/>
    <w:rsid w:val="00986E6B"/>
    <w:rsid w:val="00991769"/>
    <w:rsid w:val="00993E09"/>
    <w:rsid w:val="00994386"/>
    <w:rsid w:val="00996739"/>
    <w:rsid w:val="00997DEA"/>
    <w:rsid w:val="009A05DC"/>
    <w:rsid w:val="009A13D8"/>
    <w:rsid w:val="009A279E"/>
    <w:rsid w:val="009A555F"/>
    <w:rsid w:val="009A583D"/>
    <w:rsid w:val="009B0A6F"/>
    <w:rsid w:val="009B0A94"/>
    <w:rsid w:val="009B0BEB"/>
    <w:rsid w:val="009B1F17"/>
    <w:rsid w:val="009B2282"/>
    <w:rsid w:val="009B29C4"/>
    <w:rsid w:val="009B2BE3"/>
    <w:rsid w:val="009B59E9"/>
    <w:rsid w:val="009B70AA"/>
    <w:rsid w:val="009B71A9"/>
    <w:rsid w:val="009B7BD6"/>
    <w:rsid w:val="009C1E79"/>
    <w:rsid w:val="009C1F61"/>
    <w:rsid w:val="009C4353"/>
    <w:rsid w:val="009C4AC8"/>
    <w:rsid w:val="009C7A7E"/>
    <w:rsid w:val="009D02E8"/>
    <w:rsid w:val="009D46E2"/>
    <w:rsid w:val="009D51D0"/>
    <w:rsid w:val="009D70A4"/>
    <w:rsid w:val="009D78B8"/>
    <w:rsid w:val="009E08D1"/>
    <w:rsid w:val="009E1B95"/>
    <w:rsid w:val="009E4062"/>
    <w:rsid w:val="009E4481"/>
    <w:rsid w:val="009E496F"/>
    <w:rsid w:val="009E4B0D"/>
    <w:rsid w:val="009E6957"/>
    <w:rsid w:val="009E7ECE"/>
    <w:rsid w:val="009E7F92"/>
    <w:rsid w:val="009F02A3"/>
    <w:rsid w:val="009F0421"/>
    <w:rsid w:val="009F2F27"/>
    <w:rsid w:val="009F34AA"/>
    <w:rsid w:val="009F6BCB"/>
    <w:rsid w:val="009F7131"/>
    <w:rsid w:val="009F7B78"/>
    <w:rsid w:val="009F7D3A"/>
    <w:rsid w:val="00A0057A"/>
    <w:rsid w:val="00A025D9"/>
    <w:rsid w:val="00A04142"/>
    <w:rsid w:val="00A042A8"/>
    <w:rsid w:val="00A067C4"/>
    <w:rsid w:val="00A10346"/>
    <w:rsid w:val="00A109A1"/>
    <w:rsid w:val="00A11421"/>
    <w:rsid w:val="00A14493"/>
    <w:rsid w:val="00A145BC"/>
    <w:rsid w:val="00A148F8"/>
    <w:rsid w:val="00A157A2"/>
    <w:rsid w:val="00A157B1"/>
    <w:rsid w:val="00A16490"/>
    <w:rsid w:val="00A2124E"/>
    <w:rsid w:val="00A2133A"/>
    <w:rsid w:val="00A21AF3"/>
    <w:rsid w:val="00A22229"/>
    <w:rsid w:val="00A2331B"/>
    <w:rsid w:val="00A265B9"/>
    <w:rsid w:val="00A312FC"/>
    <w:rsid w:val="00A37518"/>
    <w:rsid w:val="00A42C3C"/>
    <w:rsid w:val="00A42E5F"/>
    <w:rsid w:val="00A44882"/>
    <w:rsid w:val="00A45D65"/>
    <w:rsid w:val="00A54715"/>
    <w:rsid w:val="00A57348"/>
    <w:rsid w:val="00A6061C"/>
    <w:rsid w:val="00A62D44"/>
    <w:rsid w:val="00A67263"/>
    <w:rsid w:val="00A675DC"/>
    <w:rsid w:val="00A70D31"/>
    <w:rsid w:val="00A70F00"/>
    <w:rsid w:val="00A7161C"/>
    <w:rsid w:val="00A71E36"/>
    <w:rsid w:val="00A77AA3"/>
    <w:rsid w:val="00A804F1"/>
    <w:rsid w:val="00A805FE"/>
    <w:rsid w:val="00A82066"/>
    <w:rsid w:val="00A854EB"/>
    <w:rsid w:val="00A85F04"/>
    <w:rsid w:val="00A867C5"/>
    <w:rsid w:val="00A872E5"/>
    <w:rsid w:val="00A87655"/>
    <w:rsid w:val="00A87C6A"/>
    <w:rsid w:val="00A90037"/>
    <w:rsid w:val="00A91406"/>
    <w:rsid w:val="00A91BF3"/>
    <w:rsid w:val="00A91C50"/>
    <w:rsid w:val="00A96E65"/>
    <w:rsid w:val="00A97C72"/>
    <w:rsid w:val="00AA005D"/>
    <w:rsid w:val="00AA2BD9"/>
    <w:rsid w:val="00AA3A54"/>
    <w:rsid w:val="00AA63D4"/>
    <w:rsid w:val="00AB06E8"/>
    <w:rsid w:val="00AB1CD3"/>
    <w:rsid w:val="00AB352F"/>
    <w:rsid w:val="00AB6D6A"/>
    <w:rsid w:val="00AB7E2A"/>
    <w:rsid w:val="00AC149A"/>
    <w:rsid w:val="00AC274B"/>
    <w:rsid w:val="00AC2831"/>
    <w:rsid w:val="00AC44C7"/>
    <w:rsid w:val="00AC4764"/>
    <w:rsid w:val="00AC5FE6"/>
    <w:rsid w:val="00AC6D36"/>
    <w:rsid w:val="00AC71EE"/>
    <w:rsid w:val="00AD0CBA"/>
    <w:rsid w:val="00AD23CC"/>
    <w:rsid w:val="00AD26E2"/>
    <w:rsid w:val="00AD572E"/>
    <w:rsid w:val="00AD6DFD"/>
    <w:rsid w:val="00AD784C"/>
    <w:rsid w:val="00AE126A"/>
    <w:rsid w:val="00AE3005"/>
    <w:rsid w:val="00AE3830"/>
    <w:rsid w:val="00AE3BD5"/>
    <w:rsid w:val="00AE3EBD"/>
    <w:rsid w:val="00AE59A0"/>
    <w:rsid w:val="00AE5C05"/>
    <w:rsid w:val="00AE6661"/>
    <w:rsid w:val="00AE7780"/>
    <w:rsid w:val="00AE7E40"/>
    <w:rsid w:val="00AF0C57"/>
    <w:rsid w:val="00AF26F3"/>
    <w:rsid w:val="00AF3B2A"/>
    <w:rsid w:val="00AF3EE3"/>
    <w:rsid w:val="00AF5F04"/>
    <w:rsid w:val="00B00672"/>
    <w:rsid w:val="00B01A91"/>
    <w:rsid w:val="00B01B4D"/>
    <w:rsid w:val="00B0221B"/>
    <w:rsid w:val="00B06571"/>
    <w:rsid w:val="00B068BA"/>
    <w:rsid w:val="00B070DE"/>
    <w:rsid w:val="00B07A86"/>
    <w:rsid w:val="00B07E6A"/>
    <w:rsid w:val="00B12390"/>
    <w:rsid w:val="00B133B3"/>
    <w:rsid w:val="00B13851"/>
    <w:rsid w:val="00B13B1C"/>
    <w:rsid w:val="00B16AC2"/>
    <w:rsid w:val="00B22291"/>
    <w:rsid w:val="00B23913"/>
    <w:rsid w:val="00B23F9A"/>
    <w:rsid w:val="00B2417B"/>
    <w:rsid w:val="00B24E5A"/>
    <w:rsid w:val="00B24E6F"/>
    <w:rsid w:val="00B253E6"/>
    <w:rsid w:val="00B261FA"/>
    <w:rsid w:val="00B26CB5"/>
    <w:rsid w:val="00B27366"/>
    <w:rsid w:val="00B2752E"/>
    <w:rsid w:val="00B3038F"/>
    <w:rsid w:val="00B307CC"/>
    <w:rsid w:val="00B326B7"/>
    <w:rsid w:val="00B36209"/>
    <w:rsid w:val="00B4062D"/>
    <w:rsid w:val="00B40B67"/>
    <w:rsid w:val="00B41F0D"/>
    <w:rsid w:val="00B4306B"/>
    <w:rsid w:val="00B431E8"/>
    <w:rsid w:val="00B45141"/>
    <w:rsid w:val="00B47874"/>
    <w:rsid w:val="00B5051D"/>
    <w:rsid w:val="00B512DC"/>
    <w:rsid w:val="00B51E47"/>
    <w:rsid w:val="00B5273A"/>
    <w:rsid w:val="00B557B3"/>
    <w:rsid w:val="00B57329"/>
    <w:rsid w:val="00B60F02"/>
    <w:rsid w:val="00B62B50"/>
    <w:rsid w:val="00B63291"/>
    <w:rsid w:val="00B635B7"/>
    <w:rsid w:val="00B63AE8"/>
    <w:rsid w:val="00B649CD"/>
    <w:rsid w:val="00B65950"/>
    <w:rsid w:val="00B66BB1"/>
    <w:rsid w:val="00B66D83"/>
    <w:rsid w:val="00B672C0"/>
    <w:rsid w:val="00B7060E"/>
    <w:rsid w:val="00B70F18"/>
    <w:rsid w:val="00B727B5"/>
    <w:rsid w:val="00B72BD0"/>
    <w:rsid w:val="00B741F1"/>
    <w:rsid w:val="00B75646"/>
    <w:rsid w:val="00B83212"/>
    <w:rsid w:val="00B83EE7"/>
    <w:rsid w:val="00B84869"/>
    <w:rsid w:val="00B84B20"/>
    <w:rsid w:val="00B865D4"/>
    <w:rsid w:val="00B90729"/>
    <w:rsid w:val="00B907DA"/>
    <w:rsid w:val="00B9264E"/>
    <w:rsid w:val="00B9267F"/>
    <w:rsid w:val="00B950BC"/>
    <w:rsid w:val="00B95FC2"/>
    <w:rsid w:val="00B96926"/>
    <w:rsid w:val="00B96D44"/>
    <w:rsid w:val="00B9714C"/>
    <w:rsid w:val="00BA2004"/>
    <w:rsid w:val="00BA2221"/>
    <w:rsid w:val="00BA3271"/>
    <w:rsid w:val="00BA3F8D"/>
    <w:rsid w:val="00BA657E"/>
    <w:rsid w:val="00BB0E10"/>
    <w:rsid w:val="00BB1707"/>
    <w:rsid w:val="00BB634E"/>
    <w:rsid w:val="00BB7A10"/>
    <w:rsid w:val="00BC0EB4"/>
    <w:rsid w:val="00BC1222"/>
    <w:rsid w:val="00BC1D7E"/>
    <w:rsid w:val="00BC30D6"/>
    <w:rsid w:val="00BC53B0"/>
    <w:rsid w:val="00BC7468"/>
    <w:rsid w:val="00BC7D4F"/>
    <w:rsid w:val="00BC7ED7"/>
    <w:rsid w:val="00BD22B4"/>
    <w:rsid w:val="00BD2850"/>
    <w:rsid w:val="00BD3038"/>
    <w:rsid w:val="00BE0008"/>
    <w:rsid w:val="00BE02E8"/>
    <w:rsid w:val="00BE26A4"/>
    <w:rsid w:val="00BE28D2"/>
    <w:rsid w:val="00BE2AE7"/>
    <w:rsid w:val="00BE3D00"/>
    <w:rsid w:val="00BE4A64"/>
    <w:rsid w:val="00BE7BD2"/>
    <w:rsid w:val="00BF0D91"/>
    <w:rsid w:val="00BF3750"/>
    <w:rsid w:val="00BF4F09"/>
    <w:rsid w:val="00BF5033"/>
    <w:rsid w:val="00BF5B5A"/>
    <w:rsid w:val="00BF625A"/>
    <w:rsid w:val="00BF7082"/>
    <w:rsid w:val="00BF7F58"/>
    <w:rsid w:val="00C00A61"/>
    <w:rsid w:val="00C01381"/>
    <w:rsid w:val="00C018CB"/>
    <w:rsid w:val="00C079B8"/>
    <w:rsid w:val="00C10075"/>
    <w:rsid w:val="00C10241"/>
    <w:rsid w:val="00C123EA"/>
    <w:rsid w:val="00C12627"/>
    <w:rsid w:val="00C12A49"/>
    <w:rsid w:val="00C13014"/>
    <w:rsid w:val="00C133EE"/>
    <w:rsid w:val="00C141A6"/>
    <w:rsid w:val="00C2190E"/>
    <w:rsid w:val="00C21F3C"/>
    <w:rsid w:val="00C22127"/>
    <w:rsid w:val="00C22247"/>
    <w:rsid w:val="00C22AEB"/>
    <w:rsid w:val="00C23778"/>
    <w:rsid w:val="00C24857"/>
    <w:rsid w:val="00C27B36"/>
    <w:rsid w:val="00C27DE9"/>
    <w:rsid w:val="00C27F00"/>
    <w:rsid w:val="00C31756"/>
    <w:rsid w:val="00C31A1F"/>
    <w:rsid w:val="00C31FDF"/>
    <w:rsid w:val="00C326AB"/>
    <w:rsid w:val="00C33388"/>
    <w:rsid w:val="00C33DBB"/>
    <w:rsid w:val="00C35484"/>
    <w:rsid w:val="00C35F0F"/>
    <w:rsid w:val="00C36663"/>
    <w:rsid w:val="00C4173A"/>
    <w:rsid w:val="00C451B2"/>
    <w:rsid w:val="00C452F7"/>
    <w:rsid w:val="00C45BAF"/>
    <w:rsid w:val="00C46181"/>
    <w:rsid w:val="00C47E24"/>
    <w:rsid w:val="00C503EE"/>
    <w:rsid w:val="00C51F6F"/>
    <w:rsid w:val="00C521C2"/>
    <w:rsid w:val="00C54BFE"/>
    <w:rsid w:val="00C577D2"/>
    <w:rsid w:val="00C602FF"/>
    <w:rsid w:val="00C61174"/>
    <w:rsid w:val="00C6148F"/>
    <w:rsid w:val="00C62AA8"/>
    <w:rsid w:val="00C62D12"/>
    <w:rsid w:val="00C62F7A"/>
    <w:rsid w:val="00C63B9C"/>
    <w:rsid w:val="00C63BBD"/>
    <w:rsid w:val="00C6429B"/>
    <w:rsid w:val="00C6682F"/>
    <w:rsid w:val="00C67713"/>
    <w:rsid w:val="00C7112E"/>
    <w:rsid w:val="00C7275E"/>
    <w:rsid w:val="00C73278"/>
    <w:rsid w:val="00C73872"/>
    <w:rsid w:val="00C74560"/>
    <w:rsid w:val="00C74C5D"/>
    <w:rsid w:val="00C77776"/>
    <w:rsid w:val="00C77D0C"/>
    <w:rsid w:val="00C81531"/>
    <w:rsid w:val="00C83DB7"/>
    <w:rsid w:val="00C83EFF"/>
    <w:rsid w:val="00C85824"/>
    <w:rsid w:val="00C86362"/>
    <w:rsid w:val="00C863C4"/>
    <w:rsid w:val="00C90DCE"/>
    <w:rsid w:val="00C932B4"/>
    <w:rsid w:val="00C93C3E"/>
    <w:rsid w:val="00C97229"/>
    <w:rsid w:val="00CA12E3"/>
    <w:rsid w:val="00CA1C70"/>
    <w:rsid w:val="00CA28D0"/>
    <w:rsid w:val="00CA2D66"/>
    <w:rsid w:val="00CA4999"/>
    <w:rsid w:val="00CA6611"/>
    <w:rsid w:val="00CA6AE6"/>
    <w:rsid w:val="00CA782F"/>
    <w:rsid w:val="00CB02CD"/>
    <w:rsid w:val="00CB2E1B"/>
    <w:rsid w:val="00CB3285"/>
    <w:rsid w:val="00CC0C72"/>
    <w:rsid w:val="00CC28DF"/>
    <w:rsid w:val="00CC2BFD"/>
    <w:rsid w:val="00CC35B4"/>
    <w:rsid w:val="00CC4707"/>
    <w:rsid w:val="00CC7229"/>
    <w:rsid w:val="00CD3476"/>
    <w:rsid w:val="00CD3E30"/>
    <w:rsid w:val="00CD5FA5"/>
    <w:rsid w:val="00CD64DF"/>
    <w:rsid w:val="00CE00CB"/>
    <w:rsid w:val="00CE367F"/>
    <w:rsid w:val="00CE3DE2"/>
    <w:rsid w:val="00CF269F"/>
    <w:rsid w:val="00CF2F50"/>
    <w:rsid w:val="00CF6745"/>
    <w:rsid w:val="00CF7BE1"/>
    <w:rsid w:val="00D00770"/>
    <w:rsid w:val="00D02919"/>
    <w:rsid w:val="00D03EA4"/>
    <w:rsid w:val="00D04C61"/>
    <w:rsid w:val="00D05B8D"/>
    <w:rsid w:val="00D065A2"/>
    <w:rsid w:val="00D0674A"/>
    <w:rsid w:val="00D07F00"/>
    <w:rsid w:val="00D137D3"/>
    <w:rsid w:val="00D150DB"/>
    <w:rsid w:val="00D1623F"/>
    <w:rsid w:val="00D16553"/>
    <w:rsid w:val="00D17B72"/>
    <w:rsid w:val="00D22A86"/>
    <w:rsid w:val="00D24528"/>
    <w:rsid w:val="00D25425"/>
    <w:rsid w:val="00D25EA3"/>
    <w:rsid w:val="00D27129"/>
    <w:rsid w:val="00D302E1"/>
    <w:rsid w:val="00D3185C"/>
    <w:rsid w:val="00D32937"/>
    <w:rsid w:val="00D33E72"/>
    <w:rsid w:val="00D35BD6"/>
    <w:rsid w:val="00D361B5"/>
    <w:rsid w:val="00D36A74"/>
    <w:rsid w:val="00D37049"/>
    <w:rsid w:val="00D411A2"/>
    <w:rsid w:val="00D455EB"/>
    <w:rsid w:val="00D4606D"/>
    <w:rsid w:val="00D472E4"/>
    <w:rsid w:val="00D47B94"/>
    <w:rsid w:val="00D505B7"/>
    <w:rsid w:val="00D50B9C"/>
    <w:rsid w:val="00D51C58"/>
    <w:rsid w:val="00D52D73"/>
    <w:rsid w:val="00D52E58"/>
    <w:rsid w:val="00D64701"/>
    <w:rsid w:val="00D64B21"/>
    <w:rsid w:val="00D67525"/>
    <w:rsid w:val="00D67F6E"/>
    <w:rsid w:val="00D705A4"/>
    <w:rsid w:val="00D714CC"/>
    <w:rsid w:val="00D719F0"/>
    <w:rsid w:val="00D71D17"/>
    <w:rsid w:val="00D729FA"/>
    <w:rsid w:val="00D745C5"/>
    <w:rsid w:val="00D75EA7"/>
    <w:rsid w:val="00D763A1"/>
    <w:rsid w:val="00D81DEF"/>
    <w:rsid w:val="00D81F21"/>
    <w:rsid w:val="00D82FED"/>
    <w:rsid w:val="00D86013"/>
    <w:rsid w:val="00D86FCF"/>
    <w:rsid w:val="00D95470"/>
    <w:rsid w:val="00D96D27"/>
    <w:rsid w:val="00D9737D"/>
    <w:rsid w:val="00D97C68"/>
    <w:rsid w:val="00DA08FE"/>
    <w:rsid w:val="00DA0AEC"/>
    <w:rsid w:val="00DA0BFF"/>
    <w:rsid w:val="00DA1DB8"/>
    <w:rsid w:val="00DA2619"/>
    <w:rsid w:val="00DA4239"/>
    <w:rsid w:val="00DA50D3"/>
    <w:rsid w:val="00DA6875"/>
    <w:rsid w:val="00DA77FB"/>
    <w:rsid w:val="00DB0B61"/>
    <w:rsid w:val="00DB2618"/>
    <w:rsid w:val="00DB3710"/>
    <w:rsid w:val="00DB37CD"/>
    <w:rsid w:val="00DB6DCA"/>
    <w:rsid w:val="00DC090B"/>
    <w:rsid w:val="00DC1200"/>
    <w:rsid w:val="00DC1679"/>
    <w:rsid w:val="00DC2CF1"/>
    <w:rsid w:val="00DC2EDF"/>
    <w:rsid w:val="00DC3A85"/>
    <w:rsid w:val="00DC43CF"/>
    <w:rsid w:val="00DC471C"/>
    <w:rsid w:val="00DC4FCF"/>
    <w:rsid w:val="00DC50E0"/>
    <w:rsid w:val="00DC6386"/>
    <w:rsid w:val="00DD0DE5"/>
    <w:rsid w:val="00DD1130"/>
    <w:rsid w:val="00DD1951"/>
    <w:rsid w:val="00DD3E6A"/>
    <w:rsid w:val="00DD41BD"/>
    <w:rsid w:val="00DD6628"/>
    <w:rsid w:val="00DD66F2"/>
    <w:rsid w:val="00DE02AB"/>
    <w:rsid w:val="00DE3250"/>
    <w:rsid w:val="00DE3D3D"/>
    <w:rsid w:val="00DE423F"/>
    <w:rsid w:val="00DE47F9"/>
    <w:rsid w:val="00DE5509"/>
    <w:rsid w:val="00DE5658"/>
    <w:rsid w:val="00DE6028"/>
    <w:rsid w:val="00DE61E7"/>
    <w:rsid w:val="00DE7309"/>
    <w:rsid w:val="00DE757A"/>
    <w:rsid w:val="00DE78A3"/>
    <w:rsid w:val="00DE7F0E"/>
    <w:rsid w:val="00DF1A71"/>
    <w:rsid w:val="00DF4749"/>
    <w:rsid w:val="00DF68C7"/>
    <w:rsid w:val="00DF6FE3"/>
    <w:rsid w:val="00DF731A"/>
    <w:rsid w:val="00E0027E"/>
    <w:rsid w:val="00E00BF5"/>
    <w:rsid w:val="00E0463B"/>
    <w:rsid w:val="00E06B48"/>
    <w:rsid w:val="00E149AB"/>
    <w:rsid w:val="00E15372"/>
    <w:rsid w:val="00E16106"/>
    <w:rsid w:val="00E170DC"/>
    <w:rsid w:val="00E21C69"/>
    <w:rsid w:val="00E2354D"/>
    <w:rsid w:val="00E24B21"/>
    <w:rsid w:val="00E25636"/>
    <w:rsid w:val="00E26818"/>
    <w:rsid w:val="00E27FFC"/>
    <w:rsid w:val="00E307E2"/>
    <w:rsid w:val="00E30B15"/>
    <w:rsid w:val="00E30BA8"/>
    <w:rsid w:val="00E333A4"/>
    <w:rsid w:val="00E34FA2"/>
    <w:rsid w:val="00E361AD"/>
    <w:rsid w:val="00E361BD"/>
    <w:rsid w:val="00E36554"/>
    <w:rsid w:val="00E37260"/>
    <w:rsid w:val="00E40181"/>
    <w:rsid w:val="00E40206"/>
    <w:rsid w:val="00E41068"/>
    <w:rsid w:val="00E43118"/>
    <w:rsid w:val="00E439D2"/>
    <w:rsid w:val="00E4430B"/>
    <w:rsid w:val="00E47BB6"/>
    <w:rsid w:val="00E508A0"/>
    <w:rsid w:val="00E516E3"/>
    <w:rsid w:val="00E52455"/>
    <w:rsid w:val="00E56A01"/>
    <w:rsid w:val="00E609C2"/>
    <w:rsid w:val="00E629A1"/>
    <w:rsid w:val="00E63FBA"/>
    <w:rsid w:val="00E640A7"/>
    <w:rsid w:val="00E66241"/>
    <w:rsid w:val="00E6794C"/>
    <w:rsid w:val="00E67DC5"/>
    <w:rsid w:val="00E70BAE"/>
    <w:rsid w:val="00E71319"/>
    <w:rsid w:val="00E71591"/>
    <w:rsid w:val="00E71BD0"/>
    <w:rsid w:val="00E71D28"/>
    <w:rsid w:val="00E723E2"/>
    <w:rsid w:val="00E750A1"/>
    <w:rsid w:val="00E76D14"/>
    <w:rsid w:val="00E76DEE"/>
    <w:rsid w:val="00E82C55"/>
    <w:rsid w:val="00E85B69"/>
    <w:rsid w:val="00E86A9A"/>
    <w:rsid w:val="00E92AC3"/>
    <w:rsid w:val="00E93642"/>
    <w:rsid w:val="00EA01BC"/>
    <w:rsid w:val="00EA0C53"/>
    <w:rsid w:val="00EA663D"/>
    <w:rsid w:val="00EB00E0"/>
    <w:rsid w:val="00EB147C"/>
    <w:rsid w:val="00EB2494"/>
    <w:rsid w:val="00EB5B92"/>
    <w:rsid w:val="00EC059F"/>
    <w:rsid w:val="00EC1F24"/>
    <w:rsid w:val="00EC22F6"/>
    <w:rsid w:val="00EC3F92"/>
    <w:rsid w:val="00ED0DC5"/>
    <w:rsid w:val="00ED1E7A"/>
    <w:rsid w:val="00ED35B0"/>
    <w:rsid w:val="00ED41D2"/>
    <w:rsid w:val="00ED5B9B"/>
    <w:rsid w:val="00ED6BAD"/>
    <w:rsid w:val="00ED7447"/>
    <w:rsid w:val="00ED766C"/>
    <w:rsid w:val="00EE1488"/>
    <w:rsid w:val="00EE22BF"/>
    <w:rsid w:val="00EE2C7F"/>
    <w:rsid w:val="00EE3D80"/>
    <w:rsid w:val="00EE4D5D"/>
    <w:rsid w:val="00EE5131"/>
    <w:rsid w:val="00EE6F6F"/>
    <w:rsid w:val="00EF109B"/>
    <w:rsid w:val="00EF1408"/>
    <w:rsid w:val="00EF289E"/>
    <w:rsid w:val="00EF36AF"/>
    <w:rsid w:val="00EF6942"/>
    <w:rsid w:val="00F005D9"/>
    <w:rsid w:val="00F00F9C"/>
    <w:rsid w:val="00F01E5F"/>
    <w:rsid w:val="00F02ABA"/>
    <w:rsid w:val="00F02C4A"/>
    <w:rsid w:val="00F02E81"/>
    <w:rsid w:val="00F0437A"/>
    <w:rsid w:val="00F05E47"/>
    <w:rsid w:val="00F0613A"/>
    <w:rsid w:val="00F11037"/>
    <w:rsid w:val="00F12D6A"/>
    <w:rsid w:val="00F13391"/>
    <w:rsid w:val="00F13BA0"/>
    <w:rsid w:val="00F15176"/>
    <w:rsid w:val="00F1531D"/>
    <w:rsid w:val="00F16F1B"/>
    <w:rsid w:val="00F17569"/>
    <w:rsid w:val="00F250A9"/>
    <w:rsid w:val="00F26EE5"/>
    <w:rsid w:val="00F30445"/>
    <w:rsid w:val="00F30FF4"/>
    <w:rsid w:val="00F3122E"/>
    <w:rsid w:val="00F331AD"/>
    <w:rsid w:val="00F3379A"/>
    <w:rsid w:val="00F35287"/>
    <w:rsid w:val="00F3670C"/>
    <w:rsid w:val="00F36788"/>
    <w:rsid w:val="00F37CD4"/>
    <w:rsid w:val="00F37E5E"/>
    <w:rsid w:val="00F41957"/>
    <w:rsid w:val="00F427AF"/>
    <w:rsid w:val="00F430A3"/>
    <w:rsid w:val="00F43A37"/>
    <w:rsid w:val="00F447F6"/>
    <w:rsid w:val="00F45955"/>
    <w:rsid w:val="00F4641B"/>
    <w:rsid w:val="00F46EB8"/>
    <w:rsid w:val="00F50A7A"/>
    <w:rsid w:val="00F511E4"/>
    <w:rsid w:val="00F52270"/>
    <w:rsid w:val="00F52D09"/>
    <w:rsid w:val="00F52E08"/>
    <w:rsid w:val="00F53DD5"/>
    <w:rsid w:val="00F55B21"/>
    <w:rsid w:val="00F56EF6"/>
    <w:rsid w:val="00F60158"/>
    <w:rsid w:val="00F609E3"/>
    <w:rsid w:val="00F61A9F"/>
    <w:rsid w:val="00F64696"/>
    <w:rsid w:val="00F65AA9"/>
    <w:rsid w:val="00F66705"/>
    <w:rsid w:val="00F6768F"/>
    <w:rsid w:val="00F70103"/>
    <w:rsid w:val="00F7182B"/>
    <w:rsid w:val="00F72C26"/>
    <w:rsid w:val="00F72C2C"/>
    <w:rsid w:val="00F75DF9"/>
    <w:rsid w:val="00F76CAB"/>
    <w:rsid w:val="00F772C6"/>
    <w:rsid w:val="00F8076D"/>
    <w:rsid w:val="00F815B5"/>
    <w:rsid w:val="00F823CD"/>
    <w:rsid w:val="00F82710"/>
    <w:rsid w:val="00F8321D"/>
    <w:rsid w:val="00F83E91"/>
    <w:rsid w:val="00F85195"/>
    <w:rsid w:val="00F85594"/>
    <w:rsid w:val="00F938BA"/>
    <w:rsid w:val="00F94B0F"/>
    <w:rsid w:val="00F95B36"/>
    <w:rsid w:val="00F96EF2"/>
    <w:rsid w:val="00F9772F"/>
    <w:rsid w:val="00F97D78"/>
    <w:rsid w:val="00FA20DC"/>
    <w:rsid w:val="00FA2C46"/>
    <w:rsid w:val="00FA3525"/>
    <w:rsid w:val="00FA3FFC"/>
    <w:rsid w:val="00FA45B7"/>
    <w:rsid w:val="00FA5D1A"/>
    <w:rsid w:val="00FB317A"/>
    <w:rsid w:val="00FB3705"/>
    <w:rsid w:val="00FB41AB"/>
    <w:rsid w:val="00FB441C"/>
    <w:rsid w:val="00FB4769"/>
    <w:rsid w:val="00FB4CDA"/>
    <w:rsid w:val="00FB7F92"/>
    <w:rsid w:val="00FC0F81"/>
    <w:rsid w:val="00FC2079"/>
    <w:rsid w:val="00FC395C"/>
    <w:rsid w:val="00FC5BEB"/>
    <w:rsid w:val="00FC5F31"/>
    <w:rsid w:val="00FC61C7"/>
    <w:rsid w:val="00FC6934"/>
    <w:rsid w:val="00FD047A"/>
    <w:rsid w:val="00FD0DE0"/>
    <w:rsid w:val="00FD3766"/>
    <w:rsid w:val="00FD47C4"/>
    <w:rsid w:val="00FE2A5F"/>
    <w:rsid w:val="00FE2DCF"/>
    <w:rsid w:val="00FE4190"/>
    <w:rsid w:val="00FE4EB7"/>
    <w:rsid w:val="00FE674F"/>
    <w:rsid w:val="00FF1D7B"/>
    <w:rsid w:val="00FF1F52"/>
    <w:rsid w:val="00FF2FCE"/>
    <w:rsid w:val="00FF38D9"/>
    <w:rsid w:val="00FF3F41"/>
    <w:rsid w:val="00FF4920"/>
    <w:rsid w:val="00FF4F7D"/>
    <w:rsid w:val="00FF5B07"/>
    <w:rsid w:val="00FF65B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0337"/>
    <o:shapelayout v:ext="edit">
      <o:idmap v:ext="edit" data="1"/>
    </o:shapelayout>
  </w:shapeDefaults>
  <w:decimalSymbol w:val="."/>
  <w:listSeparator w:val=","/>
  <w14:docId w14:val="17BBC1B1"/>
  <w15:docId w15:val="{834F6D4B-E2F9-42AB-88C6-6FBB31F0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/>
    <w:lsdException w:name="heading 1" w:uiPriority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2C4A3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CA2D66"/>
    <w:pPr>
      <w:keepNext/>
      <w:keepLines/>
      <w:numPr>
        <w:numId w:val="9"/>
      </w:numPr>
      <w:spacing w:before="240" w:after="90" w:line="320" w:lineRule="atLeast"/>
      <w:outlineLvl w:val="1"/>
    </w:pPr>
    <w:rPr>
      <w:rFonts w:ascii="Arial" w:hAnsi="Arial"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aliases w:val="no ToC"/>
    <w:next w:val="DHHSbody"/>
    <w:link w:val="Heading4Char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6F5D2B"/>
    <w:rPr>
      <w:rFonts w:ascii="Arial" w:hAnsi="Arial"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aliases w:val="no ToC Char"/>
    <w:link w:val="Heading4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1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8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1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1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"/>
      </w:numPr>
    </w:pPr>
  </w:style>
  <w:style w:type="numbering" w:customStyle="1" w:styleId="ZZNumbers">
    <w:name w:val="ZZ Numbers"/>
    <w:rsid w:val="00152073"/>
    <w:pPr>
      <w:numPr>
        <w:numId w:val="2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1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2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Healthbody">
    <w:name w:val="Health body"/>
    <w:link w:val="HealthbodyChar"/>
    <w:uiPriority w:val="99"/>
    <w:rsid w:val="00F17569"/>
    <w:pPr>
      <w:spacing w:after="120" w:line="270" w:lineRule="atLeast"/>
    </w:pPr>
    <w:rPr>
      <w:rFonts w:ascii="Arial" w:hAnsi="Arial"/>
      <w:lang w:eastAsia="en-US"/>
    </w:rPr>
  </w:style>
  <w:style w:type="character" w:customStyle="1" w:styleId="HealthbodyChar">
    <w:name w:val="Health body Char"/>
    <w:basedOn w:val="DefaultParagraphFont"/>
    <w:link w:val="Healthbody"/>
    <w:uiPriority w:val="99"/>
    <w:locked/>
    <w:rsid w:val="00F17569"/>
    <w:rPr>
      <w:rFonts w:ascii="Arial" w:hAnsi="Arial"/>
      <w:lang w:eastAsia="en-US"/>
    </w:rPr>
  </w:style>
  <w:style w:type="paragraph" w:customStyle="1" w:styleId="Healthbullet1">
    <w:name w:val="Health bullet 1"/>
    <w:basedOn w:val="Normal"/>
    <w:link w:val="Healthbullet1Char"/>
    <w:qFormat/>
    <w:rsid w:val="00F17569"/>
    <w:pPr>
      <w:spacing w:after="40" w:line="270" w:lineRule="atLeast"/>
      <w:ind w:left="284" w:hanging="284"/>
    </w:pPr>
    <w:rPr>
      <w:rFonts w:ascii="Arial" w:eastAsia="MS Mincho" w:hAnsi="Arial"/>
      <w:szCs w:val="24"/>
    </w:rPr>
  </w:style>
  <w:style w:type="numbering" w:customStyle="1" w:styleId="ZZBullets1">
    <w:name w:val="ZZ Bullets1"/>
    <w:rsid w:val="00F17569"/>
  </w:style>
  <w:style w:type="paragraph" w:customStyle="1" w:styleId="BulletBold">
    <w:name w:val="Bullet Bold"/>
    <w:basedOn w:val="Normal"/>
    <w:next w:val="Normal"/>
    <w:uiPriority w:val="99"/>
    <w:rsid w:val="00F45955"/>
    <w:pPr>
      <w:numPr>
        <w:numId w:val="3"/>
      </w:numPr>
      <w:spacing w:before="60" w:after="60"/>
    </w:pPr>
    <w:rPr>
      <w:rFonts w:ascii="Verdana" w:hAnsi="Verdana"/>
      <w:b/>
      <w:szCs w:val="24"/>
      <w:lang w:eastAsia="en-AU"/>
    </w:rPr>
  </w:style>
  <w:style w:type="paragraph" w:customStyle="1" w:styleId="Bodytab1">
    <w:name w:val="Body tab 1"/>
    <w:basedOn w:val="Normal"/>
    <w:rsid w:val="00397BAE"/>
    <w:pPr>
      <w:numPr>
        <w:numId w:val="4"/>
      </w:numPr>
    </w:pPr>
    <w:rPr>
      <w:rFonts w:ascii="Verdana" w:hAnsi="Verdana"/>
    </w:rPr>
  </w:style>
  <w:style w:type="numbering" w:customStyle="1" w:styleId="Bullets">
    <w:name w:val="Bullets"/>
    <w:rsid w:val="0039156E"/>
    <w:pPr>
      <w:numPr>
        <w:numId w:val="5"/>
      </w:numPr>
    </w:pPr>
  </w:style>
  <w:style w:type="numbering" w:customStyle="1" w:styleId="Numbers">
    <w:name w:val="Numbers"/>
    <w:rsid w:val="0039156E"/>
    <w:pPr>
      <w:numPr>
        <w:numId w:val="6"/>
      </w:numPr>
    </w:pPr>
  </w:style>
  <w:style w:type="character" w:customStyle="1" w:styleId="Healthbullet1Char">
    <w:name w:val="Health bullet 1 Char"/>
    <w:link w:val="Healthbullet1"/>
    <w:rsid w:val="0039156E"/>
    <w:rPr>
      <w:rFonts w:ascii="Arial" w:eastAsia="MS Mincho" w:hAnsi="Arial"/>
      <w:szCs w:val="24"/>
      <w:lang w:eastAsia="en-US"/>
    </w:rPr>
  </w:style>
  <w:style w:type="numbering" w:customStyle="1" w:styleId="Bullets1">
    <w:name w:val="Bullets1"/>
    <w:rsid w:val="000C3824"/>
  </w:style>
  <w:style w:type="table" w:customStyle="1" w:styleId="TableGrid1">
    <w:name w:val="Table Grid1"/>
    <w:basedOn w:val="TableNormal"/>
    <w:next w:val="TableGrid"/>
    <w:uiPriority w:val="59"/>
    <w:rsid w:val="00B969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autoRedefine/>
    <w:rsid w:val="00C45BAF"/>
    <w:pPr>
      <w:tabs>
        <w:tab w:val="num" w:pos="397"/>
      </w:tabs>
      <w:ind w:left="360" w:hanging="397"/>
    </w:pPr>
    <w:rPr>
      <w:rFonts w:ascii="Verdana" w:hAnsi="Verdana"/>
      <w:sz w:val="22"/>
      <w:szCs w:val="24"/>
    </w:rPr>
  </w:style>
  <w:style w:type="numbering" w:customStyle="1" w:styleId="Numbers1">
    <w:name w:val="Numbers1"/>
    <w:rsid w:val="00C45BAF"/>
  </w:style>
  <w:style w:type="numbering" w:customStyle="1" w:styleId="ZZNumbers1">
    <w:name w:val="ZZ Numbers1"/>
    <w:rsid w:val="00123919"/>
  </w:style>
  <w:style w:type="table" w:customStyle="1" w:styleId="TableGrid2">
    <w:name w:val="Table Grid2"/>
    <w:basedOn w:val="TableNormal"/>
    <w:next w:val="TableGrid"/>
    <w:uiPriority w:val="59"/>
    <w:rsid w:val="004D56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2">
    <w:name w:val="Bullets2"/>
    <w:rsid w:val="00FB41AB"/>
  </w:style>
  <w:style w:type="paragraph" w:customStyle="1" w:styleId="Bullet2">
    <w:name w:val="Bullet 2"/>
    <w:basedOn w:val="Normal"/>
    <w:next w:val="Normal"/>
    <w:uiPriority w:val="99"/>
    <w:rsid w:val="005817A9"/>
    <w:pPr>
      <w:numPr>
        <w:numId w:val="7"/>
      </w:numPr>
      <w:tabs>
        <w:tab w:val="clear" w:pos="720"/>
        <w:tab w:val="num" w:pos="397"/>
        <w:tab w:val="num" w:pos="972"/>
      </w:tabs>
      <w:spacing w:before="60" w:after="60"/>
      <w:ind w:left="972" w:hanging="397"/>
    </w:pPr>
    <w:rPr>
      <w:rFonts w:ascii="Verdana" w:hAnsi="Verdana"/>
      <w:szCs w:val="24"/>
      <w:lang w:eastAsia="en-AU"/>
    </w:rPr>
  </w:style>
  <w:style w:type="numbering" w:customStyle="1" w:styleId="ZZNumbers2">
    <w:name w:val="ZZ Numbers2"/>
    <w:rsid w:val="00DA6875"/>
  </w:style>
  <w:style w:type="numbering" w:customStyle="1" w:styleId="Numbers2">
    <w:name w:val="Numbers2"/>
    <w:rsid w:val="00C46181"/>
  </w:style>
  <w:style w:type="numbering" w:customStyle="1" w:styleId="Numbers3">
    <w:name w:val="Numbers3"/>
    <w:rsid w:val="00C46181"/>
  </w:style>
  <w:style w:type="numbering" w:customStyle="1" w:styleId="ZZNumbers3">
    <w:name w:val="ZZ Numbers3"/>
    <w:rsid w:val="00FE2A5F"/>
  </w:style>
  <w:style w:type="numbering" w:customStyle="1" w:styleId="ZZNumbers4">
    <w:name w:val="ZZ Numbers4"/>
    <w:rsid w:val="00FE2A5F"/>
  </w:style>
  <w:style w:type="numbering" w:customStyle="1" w:styleId="ZZChapternumber">
    <w:name w:val="ZZ Chapter number"/>
    <w:basedOn w:val="NoList"/>
    <w:uiPriority w:val="99"/>
    <w:rsid w:val="004D6BDB"/>
    <w:pPr>
      <w:numPr>
        <w:numId w:val="8"/>
      </w:numPr>
    </w:pPr>
  </w:style>
  <w:style w:type="paragraph" w:styleId="BodyText">
    <w:name w:val="Body Text"/>
    <w:basedOn w:val="Normal"/>
    <w:link w:val="BodyTextChar"/>
    <w:rsid w:val="002A0FA5"/>
    <w:rPr>
      <w:rFonts w:ascii="Verdana" w:hAnsi="Verdana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2A0FA5"/>
    <w:rPr>
      <w:rFonts w:ascii="Verdana" w:hAnsi="Verdana"/>
      <w:color w:val="000000"/>
      <w:sz w:val="18"/>
      <w:lang w:eastAsia="en-US"/>
    </w:rPr>
  </w:style>
  <w:style w:type="numbering" w:customStyle="1" w:styleId="Bullets3">
    <w:name w:val="Bullets3"/>
    <w:rsid w:val="00BF7082"/>
  </w:style>
  <w:style w:type="numbering" w:customStyle="1" w:styleId="Numbers4">
    <w:name w:val="Numbers4"/>
    <w:rsid w:val="00BF7082"/>
  </w:style>
  <w:style w:type="numbering" w:customStyle="1" w:styleId="Numbers5">
    <w:name w:val="Numbers5"/>
    <w:rsid w:val="00B51E47"/>
  </w:style>
  <w:style w:type="paragraph" w:customStyle="1" w:styleId="Default">
    <w:name w:val="Default"/>
    <w:rsid w:val="00C237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58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3BBD"/>
    <w:pPr>
      <w:ind w:left="720"/>
      <w:contextualSpacing/>
    </w:pPr>
    <w:rPr>
      <w:rFonts w:ascii="Verdana" w:hAnsi="Verdana"/>
    </w:rPr>
  </w:style>
  <w:style w:type="character" w:customStyle="1" w:styleId="ManualHL7TBodyChar">
    <w:name w:val="ManualHL7TBody Char"/>
    <w:link w:val="ManualHL7TBody"/>
    <w:rsid w:val="00FC5F31"/>
    <w:rPr>
      <w:rFonts w:ascii="Verdana" w:hAnsi="Verdana" w:cs="Arial"/>
      <w:sz w:val="16"/>
      <w:szCs w:val="16"/>
      <w:lang w:eastAsia="ar-SA"/>
    </w:rPr>
  </w:style>
  <w:style w:type="paragraph" w:customStyle="1" w:styleId="ManualHL7TBody">
    <w:name w:val="ManualHL7TBody"/>
    <w:basedOn w:val="Normal"/>
    <w:link w:val="ManualHL7TBodyChar"/>
    <w:rsid w:val="00FC5F31"/>
    <w:pPr>
      <w:keepNext/>
      <w:keepLines/>
      <w:suppressAutoHyphens/>
      <w:ind w:left="85" w:right="85"/>
    </w:pPr>
    <w:rPr>
      <w:rFonts w:ascii="Verdana" w:hAnsi="Verdana" w:cs="Arial"/>
      <w:sz w:val="16"/>
      <w:szCs w:val="16"/>
      <w:lang w:eastAsia="ar-SA"/>
    </w:rPr>
  </w:style>
  <w:style w:type="character" w:customStyle="1" w:styleId="DHHSbodyChar">
    <w:name w:val="DHHS body Char"/>
    <w:basedOn w:val="DefaultParagraphFont"/>
    <w:link w:val="DHHSbody"/>
    <w:rsid w:val="00F427AF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2.health.vic.gov.au/about/news-and-events/hospitalcirculars" TargetMode="External"/><Relationship Id="rId18" Type="http://schemas.openxmlformats.org/officeDocument/2006/relationships/hyperlink" Target="mailto:Hosdata.frontdesk@vahi.vic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health.vic.gov.au/hospitals-and-health-services/data-reporting/health-data-standards-systems/hdss-communica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ealth.gov.au/internet/main/publishing.nsf/Content/health-phicirculars2019-index1" TargetMode="External"/><Relationship Id="rId17" Type="http://schemas.openxmlformats.org/officeDocument/2006/relationships/hyperlink" Target="https://vahi.freshdesk.com/support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DSS.helpdesk@dhhs.vic.gov.au" TargetMode="External"/><Relationship Id="rId20" Type="http://schemas.openxmlformats.org/officeDocument/2006/relationships/hyperlink" Target="mailto:HDSS.helpdesk@dhhs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2.health.vic.gov.au/hospitals-and-health-services/data-reporting/health-data-standards-system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Hosdata.frontdesk@vahi.vic.gov.au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2.health.vic.gov.au/hospitals-and-health-services/data-reporting/health-data-standards-systems/annual-changes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551D-FB79-4E02-94CA-B026E8A0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2945.dot</Template>
  <TotalTime>1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HDSS Bulletin 226</vt:lpstr>
    </vt:vector>
  </TitlesOfParts>
  <Company>Department of Health and Human Services</Company>
  <LinksUpToDate>false</LinksUpToDate>
  <CharactersWithSpaces>9045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HDSS Bulletin 226</dc:title>
  <dc:subject>HDSS Bulletin 226</dc:subject>
  <dc:creator>Customer Support Branch</dc:creator>
  <cp:keywords>HDSS, HDSS Bulletin 223</cp:keywords>
  <dc:description/>
  <cp:lastModifiedBy>Sarah Luscombe</cp:lastModifiedBy>
  <cp:revision>2</cp:revision>
  <cp:lastPrinted>2020-01-13T03:29:00Z</cp:lastPrinted>
  <dcterms:created xsi:type="dcterms:W3CDTF">2020-01-14T21:14:00Z</dcterms:created>
  <dcterms:modified xsi:type="dcterms:W3CDTF">2020-01-14T21:14:00Z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