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6BB0E" w14:textId="77777777" w:rsidR="00056EC4" w:rsidRDefault="00E9042A" w:rsidP="002B2FD9">
      <w:pPr>
        <w:pStyle w:val="Body"/>
      </w:pPr>
      <w:bookmarkStart w:id="0" w:name="_Toc75325125"/>
      <w:r w:rsidRPr="00977D59">
        <w:rPr>
          <w:noProof/>
          <w:lang w:eastAsia="en-AU"/>
        </w:rPr>
        <w:drawing>
          <wp:anchor distT="0" distB="0" distL="114300" distR="114300" simplePos="0" relativeHeight="251658240" behindDoc="1" locked="1" layoutInCell="1" allowOverlap="0" wp14:anchorId="74FEC765" wp14:editId="6D345C0F">
            <wp:simplePos x="0" y="0"/>
            <wp:positionH relativeFrom="page">
              <wp:posOffset>0</wp:posOffset>
            </wp:positionH>
            <wp:positionV relativeFrom="page">
              <wp:posOffset>0</wp:posOffset>
            </wp:positionV>
            <wp:extent cx="7555865" cy="10146665"/>
            <wp:effectExtent l="0" t="0" r="635"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bookmarkEnd w:id="0"/>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50C45B4E" w14:textId="77777777" w:rsidTr="00431F42">
        <w:trPr>
          <w:cantSplit/>
        </w:trPr>
        <w:tc>
          <w:tcPr>
            <w:tcW w:w="0" w:type="auto"/>
            <w:tcMar>
              <w:top w:w="0" w:type="dxa"/>
              <w:left w:w="0" w:type="dxa"/>
              <w:right w:w="0" w:type="dxa"/>
            </w:tcMar>
          </w:tcPr>
          <w:p w14:paraId="2962DCFB" w14:textId="6243DC98" w:rsidR="00AD784C" w:rsidRPr="00431F42" w:rsidRDefault="007B7978" w:rsidP="00431F42">
            <w:pPr>
              <w:pStyle w:val="Documenttitle"/>
            </w:pPr>
            <w:r>
              <w:t>Perioperative anaemia assessment and management in elective surgical procedures</w:t>
            </w:r>
          </w:p>
        </w:tc>
      </w:tr>
      <w:tr w:rsidR="00AD784C" w14:paraId="5E471FD8" w14:textId="77777777" w:rsidTr="00431F42">
        <w:trPr>
          <w:cantSplit/>
        </w:trPr>
        <w:tc>
          <w:tcPr>
            <w:tcW w:w="0" w:type="auto"/>
          </w:tcPr>
          <w:p w14:paraId="17EF9C2D" w14:textId="6072A748" w:rsidR="00386109" w:rsidRPr="00A1389F" w:rsidRDefault="007B7978" w:rsidP="009315BE">
            <w:pPr>
              <w:pStyle w:val="Documentsubtitle"/>
            </w:pPr>
            <w:r>
              <w:t>Preoperative, intraoperative and postoperative audit report 2020</w:t>
            </w:r>
          </w:p>
        </w:tc>
      </w:tr>
      <w:tr w:rsidR="00430393" w14:paraId="5D89E997" w14:textId="77777777" w:rsidTr="00431F42">
        <w:trPr>
          <w:cantSplit/>
        </w:trPr>
        <w:tc>
          <w:tcPr>
            <w:tcW w:w="0" w:type="auto"/>
          </w:tcPr>
          <w:p w14:paraId="699D95D5" w14:textId="77777777" w:rsidR="00430393" w:rsidRDefault="005E52B4" w:rsidP="00430393">
            <w:pPr>
              <w:pStyle w:val="Bannermarking"/>
            </w:pPr>
            <w:r>
              <w:fldChar w:fldCharType="begin"/>
            </w:r>
            <w:r>
              <w:instrText xml:space="preserve"> FILLIN  "Type the protective marking" \d OFFICIAL \o  \* MERGEFORMAT </w:instrText>
            </w:r>
            <w:r>
              <w:fldChar w:fldCharType="separate"/>
            </w:r>
            <w:r w:rsidR="00314412">
              <w:t>OFFICIAL</w:t>
            </w:r>
            <w:r>
              <w:fldChar w:fldCharType="end"/>
            </w:r>
          </w:p>
        </w:tc>
      </w:tr>
    </w:tbl>
    <w:p w14:paraId="0ED31E33" w14:textId="77777777" w:rsidR="00FE4081" w:rsidRDefault="00FE4081" w:rsidP="00FE4081">
      <w:pPr>
        <w:pStyle w:val="Body"/>
      </w:pPr>
    </w:p>
    <w:p w14:paraId="543A43EC" w14:textId="77777777" w:rsidR="00FE4081" w:rsidRPr="00FE4081" w:rsidRDefault="00FE4081" w:rsidP="00FE4081">
      <w:pPr>
        <w:pStyle w:val="Body"/>
        <w:sectPr w:rsidR="00FE4081" w:rsidRPr="00FE4081" w:rsidSect="002C5B7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969" w:right="1304" w:bottom="1418" w:left="1304" w:header="680" w:footer="851" w:gutter="0"/>
          <w:cols w:space="340"/>
          <w:docGrid w:linePitch="360"/>
        </w:sectPr>
      </w:pPr>
    </w:p>
    <w:p w14:paraId="0F2FEF6B" w14:textId="30505BDD" w:rsidR="000D2ABA" w:rsidRDefault="000D2ABA">
      <w:pPr>
        <w:pStyle w:val="Body"/>
      </w:pPr>
    </w:p>
    <w:p w14:paraId="3D008515"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1873BE01" w14:textId="77777777" w:rsidTr="00562507">
        <w:trPr>
          <w:cantSplit/>
          <w:trHeight w:val="7088"/>
        </w:trPr>
        <w:tc>
          <w:tcPr>
            <w:tcW w:w="9288" w:type="dxa"/>
          </w:tcPr>
          <w:p w14:paraId="57920918" w14:textId="7497DEB4" w:rsidR="009F2182" w:rsidRPr="00BA26F6" w:rsidRDefault="009F2182" w:rsidP="00BA26F6">
            <w:pPr>
              <w:pStyle w:val="Body"/>
              <w:rPr>
                <w:rFonts w:eastAsia="Times New Roman"/>
                <w:color w:val="87189D"/>
                <w:sz w:val="24"/>
                <w:szCs w:val="24"/>
              </w:rPr>
            </w:pPr>
          </w:p>
        </w:tc>
      </w:tr>
      <w:tr w:rsidR="009F2182" w14:paraId="2CECD7CF" w14:textId="77777777" w:rsidTr="00562507">
        <w:trPr>
          <w:cantSplit/>
          <w:trHeight w:val="5103"/>
        </w:trPr>
        <w:tc>
          <w:tcPr>
            <w:tcW w:w="9288" w:type="dxa"/>
            <w:vAlign w:val="bottom"/>
          </w:tcPr>
          <w:p w14:paraId="2B4CEF80" w14:textId="7EC827C8" w:rsidR="009F2182" w:rsidRPr="0055119B" w:rsidRDefault="009F2182" w:rsidP="009F2182">
            <w:pPr>
              <w:pStyle w:val="Accessibilitypara"/>
            </w:pPr>
            <w:r w:rsidRPr="0055119B">
              <w:t>To receive this document in another format</w:t>
            </w:r>
            <w:r>
              <w:t>,</w:t>
            </w:r>
            <w:r w:rsidRPr="0055119B">
              <w:t xml:space="preserve"> phone</w:t>
            </w:r>
            <w:r w:rsidR="007B7978">
              <w:t xml:space="preserve"> 03 9694 0102</w:t>
            </w:r>
            <w:r w:rsidRPr="0055119B">
              <w:t xml:space="preserve">, using the National Relay Service 13 36 77 if required, or email </w:t>
            </w:r>
            <w:hyperlink r:id="rId15" w:history="1">
              <w:r w:rsidR="007B7978" w:rsidRPr="007B7978">
                <w:rPr>
                  <w:rStyle w:val="Hyperlink"/>
                </w:rPr>
                <w:t>Blood Matters</w:t>
              </w:r>
            </w:hyperlink>
            <w:r w:rsidR="007B7978">
              <w:t xml:space="preserve"> &lt;bloodmattters@redcrossblood.org.au&gt;</w:t>
            </w:r>
            <w:r w:rsidRPr="0055119B">
              <w:t>.</w:t>
            </w:r>
          </w:p>
          <w:p w14:paraId="418CD1C0" w14:textId="77777777" w:rsidR="009F2182" w:rsidRPr="0055119B" w:rsidRDefault="009F2182" w:rsidP="009F2182">
            <w:pPr>
              <w:pStyle w:val="Imprint"/>
            </w:pPr>
            <w:r w:rsidRPr="0055119B">
              <w:t>Authorised and published by the Victorian Government, 1 Treasury Place, Melbourne.</w:t>
            </w:r>
          </w:p>
          <w:p w14:paraId="52577AD5" w14:textId="43A55F6E"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w:t>
            </w:r>
            <w:r w:rsidR="007B7978">
              <w:t xml:space="preserve"> July 2021</w:t>
            </w:r>
            <w:r w:rsidRPr="0055119B">
              <w:t>.</w:t>
            </w:r>
          </w:p>
          <w:p w14:paraId="28698C3E" w14:textId="77777777" w:rsidR="002A05E7" w:rsidRDefault="002A05E7" w:rsidP="009F2182">
            <w:pPr>
              <w:pStyle w:val="Imprint"/>
              <w:rPr>
                <w:rFonts w:cs="Arial"/>
                <w:color w:val="000000"/>
              </w:rPr>
            </w:pPr>
            <w:bookmarkStart w:id="1" w:name="_Hlk62746129"/>
            <w:r>
              <w:rPr>
                <w:rFonts w:cs="Arial"/>
                <w:b/>
                <w:bCs/>
                <w:color w:val="000000"/>
              </w:rPr>
              <w:t xml:space="preserve">ISBN </w:t>
            </w:r>
            <w:r>
              <w:rPr>
                <w:rFonts w:cs="Arial"/>
                <w:color w:val="000000"/>
              </w:rPr>
              <w:t>978-1-76096-459-7</w:t>
            </w:r>
            <w:r>
              <w:rPr>
                <w:rFonts w:cs="Arial"/>
                <w:b/>
                <w:bCs/>
                <w:color w:val="000000"/>
              </w:rPr>
              <w:t xml:space="preserve"> (pdf/online/MS word)</w:t>
            </w:r>
            <w:r>
              <w:rPr>
                <w:rFonts w:cs="Arial"/>
                <w:color w:val="000000"/>
              </w:rPr>
              <w:t xml:space="preserve"> </w:t>
            </w:r>
          </w:p>
          <w:p w14:paraId="76D77FFC" w14:textId="423FE60E" w:rsidR="009F2182" w:rsidRPr="0055119B" w:rsidRDefault="009F2182" w:rsidP="009F2182">
            <w:pPr>
              <w:pStyle w:val="Imprint"/>
            </w:pPr>
            <w:r w:rsidRPr="0055119B">
              <w:t>Available at</w:t>
            </w:r>
            <w:r w:rsidR="007B7978">
              <w:t xml:space="preserve"> </w:t>
            </w:r>
            <w:hyperlink r:id="rId16" w:history="1">
              <w:r w:rsidR="007B7978" w:rsidRPr="007B7978">
                <w:rPr>
                  <w:rStyle w:val="Hyperlink"/>
                </w:rPr>
                <w:t>Blood Matters</w:t>
              </w:r>
            </w:hyperlink>
            <w:r w:rsidR="007B7978">
              <w:t xml:space="preserve"> &lt;</w:t>
            </w:r>
            <w:r w:rsidR="007B7978" w:rsidRPr="002B2FD9">
              <w:t>https://www2.health.vic.gov.au/hospitals-and-health-services/patient-care/speciality-diagnostics-therapeutics/blood-matters</w:t>
            </w:r>
            <w:r w:rsidR="007B7978">
              <w:t>&gt;</w:t>
            </w:r>
          </w:p>
          <w:bookmarkEnd w:id="1"/>
          <w:p w14:paraId="4455DC2F" w14:textId="0C5C5E4E" w:rsidR="009F2182" w:rsidRDefault="009F2182" w:rsidP="009F2182">
            <w:pPr>
              <w:pStyle w:val="Body"/>
            </w:pPr>
          </w:p>
        </w:tc>
      </w:tr>
      <w:tr w:rsidR="0008204A" w14:paraId="03E5648C" w14:textId="77777777" w:rsidTr="0008204A">
        <w:trPr>
          <w:cantSplit/>
        </w:trPr>
        <w:tc>
          <w:tcPr>
            <w:tcW w:w="9288" w:type="dxa"/>
          </w:tcPr>
          <w:p w14:paraId="151FE6C9" w14:textId="77777777" w:rsidR="0008204A" w:rsidRPr="0055119B" w:rsidRDefault="0008204A" w:rsidP="0008204A">
            <w:pPr>
              <w:pStyle w:val="Body"/>
            </w:pPr>
          </w:p>
        </w:tc>
      </w:tr>
    </w:tbl>
    <w:p w14:paraId="03B8FB74" w14:textId="7E9D6A98" w:rsidR="007B7978" w:rsidRDefault="007B7978" w:rsidP="0008204A">
      <w:pPr>
        <w:pStyle w:val="Body"/>
        <w:sectPr w:rsidR="007B7978" w:rsidSect="00454A7D">
          <w:headerReference w:type="even" r:id="rId17"/>
          <w:headerReference w:type="default" r:id="rId18"/>
          <w:footerReference w:type="even" r:id="rId19"/>
          <w:footerReference w:type="default" r:id="rId20"/>
          <w:headerReference w:type="first" r:id="rId21"/>
          <w:pgSz w:w="11906" w:h="16838" w:code="9"/>
          <w:pgMar w:top="1418" w:right="1304" w:bottom="1134" w:left="1304" w:header="680" w:footer="851" w:gutter="0"/>
          <w:cols w:space="340"/>
          <w:titlePg/>
          <w:docGrid w:linePitch="360"/>
        </w:sectPr>
      </w:pPr>
    </w:p>
    <w:p w14:paraId="79C669AE" w14:textId="77777777" w:rsidR="00AD784C" w:rsidRPr="00B57329" w:rsidRDefault="00AD784C" w:rsidP="002B2FD9">
      <w:pPr>
        <w:pStyle w:val="TOCheadingreport"/>
        <w:pageBreakBefore w:val="0"/>
      </w:pPr>
      <w:r w:rsidRPr="00B57329">
        <w:lastRenderedPageBreak/>
        <w:t>Contents</w:t>
      </w:r>
    </w:p>
    <w:p w14:paraId="334F21E7" w14:textId="2E7216A4" w:rsidR="005C10D7"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78958766" w:history="1">
        <w:r w:rsidR="005C10D7" w:rsidRPr="00EF2CC1">
          <w:rPr>
            <w:rStyle w:val="Hyperlink"/>
          </w:rPr>
          <w:t>Acknowledgements</w:t>
        </w:r>
        <w:r w:rsidR="005C10D7">
          <w:rPr>
            <w:webHidden/>
          </w:rPr>
          <w:tab/>
        </w:r>
        <w:r w:rsidR="005C10D7">
          <w:rPr>
            <w:webHidden/>
          </w:rPr>
          <w:fldChar w:fldCharType="begin"/>
        </w:r>
        <w:r w:rsidR="005C10D7">
          <w:rPr>
            <w:webHidden/>
          </w:rPr>
          <w:instrText xml:space="preserve"> PAGEREF _Toc78958766 \h </w:instrText>
        </w:r>
        <w:r w:rsidR="005C10D7">
          <w:rPr>
            <w:webHidden/>
          </w:rPr>
        </w:r>
        <w:r w:rsidR="005C10D7">
          <w:rPr>
            <w:webHidden/>
          </w:rPr>
          <w:fldChar w:fldCharType="separate"/>
        </w:r>
        <w:r w:rsidR="005C10D7">
          <w:rPr>
            <w:webHidden/>
          </w:rPr>
          <w:t>5</w:t>
        </w:r>
        <w:r w:rsidR="005C10D7">
          <w:rPr>
            <w:webHidden/>
          </w:rPr>
          <w:fldChar w:fldCharType="end"/>
        </w:r>
      </w:hyperlink>
    </w:p>
    <w:p w14:paraId="7DD4792D" w14:textId="48E91A84" w:rsidR="005C10D7" w:rsidRDefault="005E52B4">
      <w:pPr>
        <w:pStyle w:val="TOC1"/>
        <w:rPr>
          <w:rFonts w:asciiTheme="minorHAnsi" w:eastAsiaTheme="minorEastAsia" w:hAnsiTheme="minorHAnsi" w:cstheme="minorBidi"/>
          <w:b w:val="0"/>
          <w:sz w:val="22"/>
          <w:szCs w:val="22"/>
          <w:lang w:eastAsia="en-AU"/>
        </w:rPr>
      </w:pPr>
      <w:hyperlink w:anchor="_Toc78958767" w:history="1">
        <w:r w:rsidR="005C10D7" w:rsidRPr="00EF2CC1">
          <w:rPr>
            <w:rStyle w:val="Hyperlink"/>
          </w:rPr>
          <w:t>Abbreviations, acronyms and definitions</w:t>
        </w:r>
        <w:r w:rsidR="005C10D7">
          <w:rPr>
            <w:webHidden/>
          </w:rPr>
          <w:tab/>
        </w:r>
        <w:r w:rsidR="005C10D7">
          <w:rPr>
            <w:webHidden/>
          </w:rPr>
          <w:fldChar w:fldCharType="begin"/>
        </w:r>
        <w:r w:rsidR="005C10D7">
          <w:rPr>
            <w:webHidden/>
          </w:rPr>
          <w:instrText xml:space="preserve"> PAGEREF _Toc78958767 \h </w:instrText>
        </w:r>
        <w:r w:rsidR="005C10D7">
          <w:rPr>
            <w:webHidden/>
          </w:rPr>
        </w:r>
        <w:r w:rsidR="005C10D7">
          <w:rPr>
            <w:webHidden/>
          </w:rPr>
          <w:fldChar w:fldCharType="separate"/>
        </w:r>
        <w:r w:rsidR="005C10D7">
          <w:rPr>
            <w:webHidden/>
          </w:rPr>
          <w:t>6</w:t>
        </w:r>
        <w:r w:rsidR="005C10D7">
          <w:rPr>
            <w:webHidden/>
          </w:rPr>
          <w:fldChar w:fldCharType="end"/>
        </w:r>
      </w:hyperlink>
    </w:p>
    <w:p w14:paraId="5B39A084" w14:textId="51206CB9" w:rsidR="005C10D7" w:rsidRDefault="005E52B4">
      <w:pPr>
        <w:pStyle w:val="TOC2"/>
        <w:rPr>
          <w:rFonts w:asciiTheme="minorHAnsi" w:eastAsiaTheme="minorEastAsia" w:hAnsiTheme="minorHAnsi" w:cstheme="minorBidi"/>
          <w:sz w:val="22"/>
          <w:szCs w:val="22"/>
          <w:lang w:eastAsia="en-AU"/>
        </w:rPr>
      </w:pPr>
      <w:hyperlink w:anchor="_Toc78958768" w:history="1">
        <w:r w:rsidR="005C10D7" w:rsidRPr="00EF2CC1">
          <w:rPr>
            <w:rStyle w:val="Hyperlink"/>
          </w:rPr>
          <w:t>Definitions</w:t>
        </w:r>
        <w:r w:rsidR="005C10D7">
          <w:rPr>
            <w:webHidden/>
          </w:rPr>
          <w:tab/>
        </w:r>
        <w:r w:rsidR="005C10D7">
          <w:rPr>
            <w:webHidden/>
          </w:rPr>
          <w:fldChar w:fldCharType="begin"/>
        </w:r>
        <w:r w:rsidR="005C10D7">
          <w:rPr>
            <w:webHidden/>
          </w:rPr>
          <w:instrText xml:space="preserve"> PAGEREF _Toc78958768 \h </w:instrText>
        </w:r>
        <w:r w:rsidR="005C10D7">
          <w:rPr>
            <w:webHidden/>
          </w:rPr>
        </w:r>
        <w:r w:rsidR="005C10D7">
          <w:rPr>
            <w:webHidden/>
          </w:rPr>
          <w:fldChar w:fldCharType="separate"/>
        </w:r>
        <w:r w:rsidR="005C10D7">
          <w:rPr>
            <w:webHidden/>
          </w:rPr>
          <w:t>6</w:t>
        </w:r>
        <w:r w:rsidR="005C10D7">
          <w:rPr>
            <w:webHidden/>
          </w:rPr>
          <w:fldChar w:fldCharType="end"/>
        </w:r>
      </w:hyperlink>
    </w:p>
    <w:p w14:paraId="4CCFDAD1" w14:textId="1A702E5C" w:rsidR="005C10D7" w:rsidRDefault="005E52B4">
      <w:pPr>
        <w:pStyle w:val="TOC2"/>
        <w:rPr>
          <w:rFonts w:asciiTheme="minorHAnsi" w:eastAsiaTheme="minorEastAsia" w:hAnsiTheme="minorHAnsi" w:cstheme="minorBidi"/>
          <w:sz w:val="22"/>
          <w:szCs w:val="22"/>
          <w:lang w:eastAsia="en-AU"/>
        </w:rPr>
      </w:pPr>
      <w:hyperlink w:anchor="_Toc78958769" w:history="1">
        <w:r w:rsidR="005C10D7" w:rsidRPr="00EF2CC1">
          <w:rPr>
            <w:rStyle w:val="Hyperlink"/>
          </w:rPr>
          <w:t>Abbreviations</w:t>
        </w:r>
        <w:r w:rsidR="005C10D7">
          <w:rPr>
            <w:webHidden/>
          </w:rPr>
          <w:tab/>
        </w:r>
        <w:r w:rsidR="005C10D7">
          <w:rPr>
            <w:webHidden/>
          </w:rPr>
          <w:fldChar w:fldCharType="begin"/>
        </w:r>
        <w:r w:rsidR="005C10D7">
          <w:rPr>
            <w:webHidden/>
          </w:rPr>
          <w:instrText xml:space="preserve"> PAGEREF _Toc78958769 \h </w:instrText>
        </w:r>
        <w:r w:rsidR="005C10D7">
          <w:rPr>
            <w:webHidden/>
          </w:rPr>
        </w:r>
        <w:r w:rsidR="005C10D7">
          <w:rPr>
            <w:webHidden/>
          </w:rPr>
          <w:fldChar w:fldCharType="separate"/>
        </w:r>
        <w:r w:rsidR="005C10D7">
          <w:rPr>
            <w:webHidden/>
          </w:rPr>
          <w:t>6</w:t>
        </w:r>
        <w:r w:rsidR="005C10D7">
          <w:rPr>
            <w:webHidden/>
          </w:rPr>
          <w:fldChar w:fldCharType="end"/>
        </w:r>
      </w:hyperlink>
    </w:p>
    <w:p w14:paraId="5D0A6F39" w14:textId="1F99B4BC" w:rsidR="005C10D7" w:rsidRDefault="005E52B4">
      <w:pPr>
        <w:pStyle w:val="TOC1"/>
        <w:rPr>
          <w:rFonts w:asciiTheme="minorHAnsi" w:eastAsiaTheme="minorEastAsia" w:hAnsiTheme="minorHAnsi" w:cstheme="minorBidi"/>
          <w:b w:val="0"/>
          <w:sz w:val="22"/>
          <w:szCs w:val="22"/>
          <w:lang w:eastAsia="en-AU"/>
        </w:rPr>
      </w:pPr>
      <w:hyperlink w:anchor="_Toc78958770" w:history="1">
        <w:r w:rsidR="005C10D7" w:rsidRPr="00EF2CC1">
          <w:rPr>
            <w:rStyle w:val="Hyperlink"/>
          </w:rPr>
          <w:t>Data considerations/limitations</w:t>
        </w:r>
        <w:r w:rsidR="005C10D7">
          <w:rPr>
            <w:webHidden/>
          </w:rPr>
          <w:tab/>
        </w:r>
        <w:r w:rsidR="005C10D7">
          <w:rPr>
            <w:webHidden/>
          </w:rPr>
          <w:fldChar w:fldCharType="begin"/>
        </w:r>
        <w:r w:rsidR="005C10D7">
          <w:rPr>
            <w:webHidden/>
          </w:rPr>
          <w:instrText xml:space="preserve"> PAGEREF _Toc78958770 \h </w:instrText>
        </w:r>
        <w:r w:rsidR="005C10D7">
          <w:rPr>
            <w:webHidden/>
          </w:rPr>
        </w:r>
        <w:r w:rsidR="005C10D7">
          <w:rPr>
            <w:webHidden/>
          </w:rPr>
          <w:fldChar w:fldCharType="separate"/>
        </w:r>
        <w:r w:rsidR="005C10D7">
          <w:rPr>
            <w:webHidden/>
          </w:rPr>
          <w:t>8</w:t>
        </w:r>
        <w:r w:rsidR="005C10D7">
          <w:rPr>
            <w:webHidden/>
          </w:rPr>
          <w:fldChar w:fldCharType="end"/>
        </w:r>
      </w:hyperlink>
    </w:p>
    <w:p w14:paraId="7459BBBD" w14:textId="363A9ADE" w:rsidR="005C10D7" w:rsidRDefault="005E52B4">
      <w:pPr>
        <w:pStyle w:val="TOC1"/>
        <w:rPr>
          <w:rFonts w:asciiTheme="minorHAnsi" w:eastAsiaTheme="minorEastAsia" w:hAnsiTheme="minorHAnsi" w:cstheme="minorBidi"/>
          <w:b w:val="0"/>
          <w:sz w:val="22"/>
          <w:szCs w:val="22"/>
          <w:lang w:eastAsia="en-AU"/>
        </w:rPr>
      </w:pPr>
      <w:hyperlink w:anchor="_Toc78958771" w:history="1">
        <w:r w:rsidR="005C10D7" w:rsidRPr="00EF2CC1">
          <w:rPr>
            <w:rStyle w:val="Hyperlink"/>
          </w:rPr>
          <w:t>Executive summary</w:t>
        </w:r>
        <w:r w:rsidR="005C10D7">
          <w:rPr>
            <w:webHidden/>
          </w:rPr>
          <w:tab/>
        </w:r>
        <w:r w:rsidR="005C10D7">
          <w:rPr>
            <w:webHidden/>
          </w:rPr>
          <w:fldChar w:fldCharType="begin"/>
        </w:r>
        <w:r w:rsidR="005C10D7">
          <w:rPr>
            <w:webHidden/>
          </w:rPr>
          <w:instrText xml:space="preserve"> PAGEREF _Toc78958771 \h </w:instrText>
        </w:r>
        <w:r w:rsidR="005C10D7">
          <w:rPr>
            <w:webHidden/>
          </w:rPr>
        </w:r>
        <w:r w:rsidR="005C10D7">
          <w:rPr>
            <w:webHidden/>
          </w:rPr>
          <w:fldChar w:fldCharType="separate"/>
        </w:r>
        <w:r w:rsidR="005C10D7">
          <w:rPr>
            <w:webHidden/>
          </w:rPr>
          <w:t>9</w:t>
        </w:r>
        <w:r w:rsidR="005C10D7">
          <w:rPr>
            <w:webHidden/>
          </w:rPr>
          <w:fldChar w:fldCharType="end"/>
        </w:r>
      </w:hyperlink>
    </w:p>
    <w:p w14:paraId="3184404A" w14:textId="30431E93" w:rsidR="005C10D7" w:rsidRDefault="005E52B4">
      <w:pPr>
        <w:pStyle w:val="TOC2"/>
        <w:rPr>
          <w:rFonts w:asciiTheme="minorHAnsi" w:eastAsiaTheme="minorEastAsia" w:hAnsiTheme="minorHAnsi" w:cstheme="minorBidi"/>
          <w:sz w:val="22"/>
          <w:szCs w:val="22"/>
          <w:lang w:eastAsia="en-AU"/>
        </w:rPr>
      </w:pPr>
      <w:hyperlink w:anchor="_Toc78958772" w:history="1">
        <w:r w:rsidR="005C10D7" w:rsidRPr="00EF2CC1">
          <w:rPr>
            <w:rStyle w:val="Hyperlink"/>
          </w:rPr>
          <w:t>Previous audits</w:t>
        </w:r>
        <w:r w:rsidR="005C10D7">
          <w:rPr>
            <w:webHidden/>
          </w:rPr>
          <w:tab/>
        </w:r>
        <w:r w:rsidR="005C10D7">
          <w:rPr>
            <w:webHidden/>
          </w:rPr>
          <w:fldChar w:fldCharType="begin"/>
        </w:r>
        <w:r w:rsidR="005C10D7">
          <w:rPr>
            <w:webHidden/>
          </w:rPr>
          <w:instrText xml:space="preserve"> PAGEREF _Toc78958772 \h </w:instrText>
        </w:r>
        <w:r w:rsidR="005C10D7">
          <w:rPr>
            <w:webHidden/>
          </w:rPr>
        </w:r>
        <w:r w:rsidR="005C10D7">
          <w:rPr>
            <w:webHidden/>
          </w:rPr>
          <w:fldChar w:fldCharType="separate"/>
        </w:r>
        <w:r w:rsidR="005C10D7">
          <w:rPr>
            <w:webHidden/>
          </w:rPr>
          <w:t>9</w:t>
        </w:r>
        <w:r w:rsidR="005C10D7">
          <w:rPr>
            <w:webHidden/>
          </w:rPr>
          <w:fldChar w:fldCharType="end"/>
        </w:r>
      </w:hyperlink>
    </w:p>
    <w:p w14:paraId="39A32FD3" w14:textId="6B20D666" w:rsidR="005C10D7" w:rsidRDefault="005E52B4">
      <w:pPr>
        <w:pStyle w:val="TOC2"/>
        <w:rPr>
          <w:rFonts w:asciiTheme="minorHAnsi" w:eastAsiaTheme="minorEastAsia" w:hAnsiTheme="minorHAnsi" w:cstheme="minorBidi"/>
          <w:sz w:val="22"/>
          <w:szCs w:val="22"/>
          <w:lang w:eastAsia="en-AU"/>
        </w:rPr>
      </w:pPr>
      <w:hyperlink w:anchor="_Toc78958773" w:history="1">
        <w:r w:rsidR="005C10D7" w:rsidRPr="00EF2CC1">
          <w:rPr>
            <w:rStyle w:val="Hyperlink"/>
          </w:rPr>
          <w:t>Overview of the current audit</w:t>
        </w:r>
        <w:r w:rsidR="005C10D7">
          <w:rPr>
            <w:webHidden/>
          </w:rPr>
          <w:tab/>
        </w:r>
        <w:r w:rsidR="005C10D7">
          <w:rPr>
            <w:webHidden/>
          </w:rPr>
          <w:fldChar w:fldCharType="begin"/>
        </w:r>
        <w:r w:rsidR="005C10D7">
          <w:rPr>
            <w:webHidden/>
          </w:rPr>
          <w:instrText xml:space="preserve"> PAGEREF _Toc78958773 \h </w:instrText>
        </w:r>
        <w:r w:rsidR="005C10D7">
          <w:rPr>
            <w:webHidden/>
          </w:rPr>
        </w:r>
        <w:r w:rsidR="005C10D7">
          <w:rPr>
            <w:webHidden/>
          </w:rPr>
          <w:fldChar w:fldCharType="separate"/>
        </w:r>
        <w:r w:rsidR="005C10D7">
          <w:rPr>
            <w:webHidden/>
          </w:rPr>
          <w:t>9</w:t>
        </w:r>
        <w:r w:rsidR="005C10D7">
          <w:rPr>
            <w:webHidden/>
          </w:rPr>
          <w:fldChar w:fldCharType="end"/>
        </w:r>
      </w:hyperlink>
    </w:p>
    <w:p w14:paraId="446E7C6E" w14:textId="34964929" w:rsidR="005C10D7" w:rsidRDefault="005E52B4">
      <w:pPr>
        <w:pStyle w:val="TOC2"/>
        <w:rPr>
          <w:rFonts w:asciiTheme="minorHAnsi" w:eastAsiaTheme="minorEastAsia" w:hAnsiTheme="minorHAnsi" w:cstheme="minorBidi"/>
          <w:sz w:val="22"/>
          <w:szCs w:val="22"/>
          <w:lang w:eastAsia="en-AU"/>
        </w:rPr>
      </w:pPr>
      <w:hyperlink w:anchor="_Toc78958774" w:history="1">
        <w:r w:rsidR="005C10D7" w:rsidRPr="00EF2CC1">
          <w:rPr>
            <w:rStyle w:val="Hyperlink"/>
          </w:rPr>
          <w:t>Preoperative anaemia assessment</w:t>
        </w:r>
        <w:r w:rsidR="005C10D7">
          <w:rPr>
            <w:webHidden/>
          </w:rPr>
          <w:tab/>
        </w:r>
        <w:r w:rsidR="005C10D7">
          <w:rPr>
            <w:webHidden/>
          </w:rPr>
          <w:fldChar w:fldCharType="begin"/>
        </w:r>
        <w:r w:rsidR="005C10D7">
          <w:rPr>
            <w:webHidden/>
          </w:rPr>
          <w:instrText xml:space="preserve"> PAGEREF _Toc78958774 \h </w:instrText>
        </w:r>
        <w:r w:rsidR="005C10D7">
          <w:rPr>
            <w:webHidden/>
          </w:rPr>
        </w:r>
        <w:r w:rsidR="005C10D7">
          <w:rPr>
            <w:webHidden/>
          </w:rPr>
          <w:fldChar w:fldCharType="separate"/>
        </w:r>
        <w:r w:rsidR="005C10D7">
          <w:rPr>
            <w:webHidden/>
          </w:rPr>
          <w:t>9</w:t>
        </w:r>
        <w:r w:rsidR="005C10D7">
          <w:rPr>
            <w:webHidden/>
          </w:rPr>
          <w:fldChar w:fldCharType="end"/>
        </w:r>
      </w:hyperlink>
    </w:p>
    <w:p w14:paraId="5DA86C70" w14:textId="2DCC1547" w:rsidR="005C10D7" w:rsidRDefault="005E52B4">
      <w:pPr>
        <w:pStyle w:val="TOC2"/>
        <w:rPr>
          <w:rFonts w:asciiTheme="minorHAnsi" w:eastAsiaTheme="minorEastAsia" w:hAnsiTheme="minorHAnsi" w:cstheme="minorBidi"/>
          <w:sz w:val="22"/>
          <w:szCs w:val="22"/>
          <w:lang w:eastAsia="en-AU"/>
        </w:rPr>
      </w:pPr>
      <w:hyperlink w:anchor="_Toc78958775" w:history="1">
        <w:r w:rsidR="005C10D7" w:rsidRPr="00EF2CC1">
          <w:rPr>
            <w:rStyle w:val="Hyperlink"/>
          </w:rPr>
          <w:t>Intraoperative blood loss</w:t>
        </w:r>
        <w:r w:rsidR="005C10D7">
          <w:rPr>
            <w:webHidden/>
          </w:rPr>
          <w:tab/>
        </w:r>
        <w:r w:rsidR="005C10D7">
          <w:rPr>
            <w:webHidden/>
          </w:rPr>
          <w:fldChar w:fldCharType="begin"/>
        </w:r>
        <w:r w:rsidR="005C10D7">
          <w:rPr>
            <w:webHidden/>
          </w:rPr>
          <w:instrText xml:space="preserve"> PAGEREF _Toc78958775 \h </w:instrText>
        </w:r>
        <w:r w:rsidR="005C10D7">
          <w:rPr>
            <w:webHidden/>
          </w:rPr>
        </w:r>
        <w:r w:rsidR="005C10D7">
          <w:rPr>
            <w:webHidden/>
          </w:rPr>
          <w:fldChar w:fldCharType="separate"/>
        </w:r>
        <w:r w:rsidR="005C10D7">
          <w:rPr>
            <w:webHidden/>
          </w:rPr>
          <w:t>9</w:t>
        </w:r>
        <w:r w:rsidR="005C10D7">
          <w:rPr>
            <w:webHidden/>
          </w:rPr>
          <w:fldChar w:fldCharType="end"/>
        </w:r>
      </w:hyperlink>
    </w:p>
    <w:p w14:paraId="2154F4C8" w14:textId="63A4A29C" w:rsidR="005C10D7" w:rsidRDefault="005E52B4">
      <w:pPr>
        <w:pStyle w:val="TOC2"/>
        <w:rPr>
          <w:rFonts w:asciiTheme="minorHAnsi" w:eastAsiaTheme="minorEastAsia" w:hAnsiTheme="minorHAnsi" w:cstheme="minorBidi"/>
          <w:sz w:val="22"/>
          <w:szCs w:val="22"/>
          <w:lang w:eastAsia="en-AU"/>
        </w:rPr>
      </w:pPr>
      <w:hyperlink w:anchor="_Toc78958776" w:history="1">
        <w:r w:rsidR="005C10D7" w:rsidRPr="00EF2CC1">
          <w:rPr>
            <w:rStyle w:val="Hyperlink"/>
          </w:rPr>
          <w:t>Postoperative anaemia management</w:t>
        </w:r>
        <w:r w:rsidR="005C10D7">
          <w:rPr>
            <w:webHidden/>
          </w:rPr>
          <w:tab/>
        </w:r>
        <w:r w:rsidR="005C10D7">
          <w:rPr>
            <w:webHidden/>
          </w:rPr>
          <w:fldChar w:fldCharType="begin"/>
        </w:r>
        <w:r w:rsidR="005C10D7">
          <w:rPr>
            <w:webHidden/>
          </w:rPr>
          <w:instrText xml:space="preserve"> PAGEREF _Toc78958776 \h </w:instrText>
        </w:r>
        <w:r w:rsidR="005C10D7">
          <w:rPr>
            <w:webHidden/>
          </w:rPr>
        </w:r>
        <w:r w:rsidR="005C10D7">
          <w:rPr>
            <w:webHidden/>
          </w:rPr>
          <w:fldChar w:fldCharType="separate"/>
        </w:r>
        <w:r w:rsidR="005C10D7">
          <w:rPr>
            <w:webHidden/>
          </w:rPr>
          <w:t>10</w:t>
        </w:r>
        <w:r w:rsidR="005C10D7">
          <w:rPr>
            <w:webHidden/>
          </w:rPr>
          <w:fldChar w:fldCharType="end"/>
        </w:r>
      </w:hyperlink>
    </w:p>
    <w:p w14:paraId="533F6C4E" w14:textId="450349C5" w:rsidR="005C10D7" w:rsidRDefault="005E52B4">
      <w:pPr>
        <w:pStyle w:val="TOC2"/>
        <w:rPr>
          <w:rFonts w:asciiTheme="minorHAnsi" w:eastAsiaTheme="minorEastAsia" w:hAnsiTheme="minorHAnsi" w:cstheme="minorBidi"/>
          <w:sz w:val="22"/>
          <w:szCs w:val="22"/>
          <w:lang w:eastAsia="en-AU"/>
        </w:rPr>
      </w:pPr>
      <w:hyperlink w:anchor="_Toc78958777" w:history="1">
        <w:r w:rsidR="005C10D7" w:rsidRPr="00EF2CC1">
          <w:rPr>
            <w:rStyle w:val="Hyperlink"/>
          </w:rPr>
          <w:t>Transfusion</w:t>
        </w:r>
        <w:r w:rsidR="005C10D7">
          <w:rPr>
            <w:webHidden/>
          </w:rPr>
          <w:tab/>
        </w:r>
        <w:r w:rsidR="005C10D7">
          <w:rPr>
            <w:webHidden/>
          </w:rPr>
          <w:fldChar w:fldCharType="begin"/>
        </w:r>
        <w:r w:rsidR="005C10D7">
          <w:rPr>
            <w:webHidden/>
          </w:rPr>
          <w:instrText xml:space="preserve"> PAGEREF _Toc78958777 \h </w:instrText>
        </w:r>
        <w:r w:rsidR="005C10D7">
          <w:rPr>
            <w:webHidden/>
          </w:rPr>
        </w:r>
        <w:r w:rsidR="005C10D7">
          <w:rPr>
            <w:webHidden/>
          </w:rPr>
          <w:fldChar w:fldCharType="separate"/>
        </w:r>
        <w:r w:rsidR="005C10D7">
          <w:rPr>
            <w:webHidden/>
          </w:rPr>
          <w:t>10</w:t>
        </w:r>
        <w:r w:rsidR="005C10D7">
          <w:rPr>
            <w:webHidden/>
          </w:rPr>
          <w:fldChar w:fldCharType="end"/>
        </w:r>
      </w:hyperlink>
    </w:p>
    <w:p w14:paraId="432AC966" w14:textId="125577B7" w:rsidR="005C10D7" w:rsidRDefault="005C10D7">
      <w:pPr>
        <w:pStyle w:val="TOC2"/>
        <w:rPr>
          <w:rFonts w:asciiTheme="minorHAnsi" w:eastAsiaTheme="minorEastAsia" w:hAnsiTheme="minorHAnsi" w:cstheme="minorBidi"/>
          <w:sz w:val="22"/>
          <w:szCs w:val="22"/>
          <w:lang w:eastAsia="en-AU"/>
        </w:rPr>
      </w:pPr>
      <w:hyperlink w:anchor="_Toc78958778" w:history="1">
        <w:r w:rsidRPr="00EF2CC1">
          <w:rPr>
            <w:rStyle w:val="Hyperlink"/>
          </w:rPr>
          <w:t>Conclusion</w:t>
        </w:r>
        <w:r>
          <w:rPr>
            <w:webHidden/>
          </w:rPr>
          <w:tab/>
        </w:r>
        <w:r>
          <w:rPr>
            <w:webHidden/>
          </w:rPr>
          <w:fldChar w:fldCharType="begin"/>
        </w:r>
        <w:r>
          <w:rPr>
            <w:webHidden/>
          </w:rPr>
          <w:instrText xml:space="preserve"> PAGEREF _Toc78958778 \h </w:instrText>
        </w:r>
        <w:r>
          <w:rPr>
            <w:webHidden/>
          </w:rPr>
        </w:r>
        <w:r>
          <w:rPr>
            <w:webHidden/>
          </w:rPr>
          <w:fldChar w:fldCharType="separate"/>
        </w:r>
        <w:r>
          <w:rPr>
            <w:webHidden/>
          </w:rPr>
          <w:t>10</w:t>
        </w:r>
        <w:r>
          <w:rPr>
            <w:webHidden/>
          </w:rPr>
          <w:fldChar w:fldCharType="end"/>
        </w:r>
      </w:hyperlink>
    </w:p>
    <w:p w14:paraId="5B7D1875" w14:textId="39F8C7AD" w:rsidR="005C10D7" w:rsidRDefault="005C10D7">
      <w:pPr>
        <w:pStyle w:val="TOC1"/>
        <w:rPr>
          <w:rFonts w:asciiTheme="minorHAnsi" w:eastAsiaTheme="minorEastAsia" w:hAnsiTheme="minorHAnsi" w:cstheme="minorBidi"/>
          <w:b w:val="0"/>
          <w:sz w:val="22"/>
          <w:szCs w:val="22"/>
          <w:lang w:eastAsia="en-AU"/>
        </w:rPr>
      </w:pPr>
      <w:hyperlink w:anchor="_Toc78958779" w:history="1">
        <w:r w:rsidRPr="00EF2CC1">
          <w:rPr>
            <w:rStyle w:val="Hyperlink"/>
          </w:rPr>
          <w:t>Recommendations</w:t>
        </w:r>
        <w:r>
          <w:rPr>
            <w:webHidden/>
          </w:rPr>
          <w:tab/>
        </w:r>
        <w:r>
          <w:rPr>
            <w:webHidden/>
          </w:rPr>
          <w:fldChar w:fldCharType="begin"/>
        </w:r>
        <w:r>
          <w:rPr>
            <w:webHidden/>
          </w:rPr>
          <w:instrText xml:space="preserve"> PAGEREF _Toc78958779 \h </w:instrText>
        </w:r>
        <w:r>
          <w:rPr>
            <w:webHidden/>
          </w:rPr>
        </w:r>
        <w:r>
          <w:rPr>
            <w:webHidden/>
          </w:rPr>
          <w:fldChar w:fldCharType="separate"/>
        </w:r>
        <w:r>
          <w:rPr>
            <w:webHidden/>
          </w:rPr>
          <w:t>11</w:t>
        </w:r>
        <w:r>
          <w:rPr>
            <w:webHidden/>
          </w:rPr>
          <w:fldChar w:fldCharType="end"/>
        </w:r>
      </w:hyperlink>
    </w:p>
    <w:p w14:paraId="69202881" w14:textId="69784E53" w:rsidR="005C10D7" w:rsidRDefault="005E52B4">
      <w:pPr>
        <w:pStyle w:val="TOC1"/>
        <w:rPr>
          <w:rFonts w:asciiTheme="minorHAnsi" w:eastAsiaTheme="minorEastAsia" w:hAnsiTheme="minorHAnsi" w:cstheme="minorBidi"/>
          <w:b w:val="0"/>
          <w:sz w:val="22"/>
          <w:szCs w:val="22"/>
          <w:lang w:eastAsia="en-AU"/>
        </w:rPr>
      </w:pPr>
      <w:hyperlink w:anchor="_Toc78958780" w:history="1">
        <w:r w:rsidR="005C10D7" w:rsidRPr="00EF2CC1">
          <w:rPr>
            <w:rStyle w:val="Hyperlink"/>
          </w:rPr>
          <w:t>Patient blood management checklist</w:t>
        </w:r>
        <w:r w:rsidR="005C10D7">
          <w:rPr>
            <w:webHidden/>
          </w:rPr>
          <w:tab/>
        </w:r>
        <w:r w:rsidR="005C10D7">
          <w:rPr>
            <w:webHidden/>
          </w:rPr>
          <w:fldChar w:fldCharType="begin"/>
        </w:r>
        <w:r w:rsidR="005C10D7">
          <w:rPr>
            <w:webHidden/>
          </w:rPr>
          <w:instrText xml:space="preserve"> PAGEREF _Toc78958780 \h </w:instrText>
        </w:r>
        <w:r w:rsidR="005C10D7">
          <w:rPr>
            <w:webHidden/>
          </w:rPr>
        </w:r>
        <w:r w:rsidR="005C10D7">
          <w:rPr>
            <w:webHidden/>
          </w:rPr>
          <w:fldChar w:fldCharType="separate"/>
        </w:r>
        <w:r w:rsidR="005C10D7">
          <w:rPr>
            <w:webHidden/>
          </w:rPr>
          <w:t>14</w:t>
        </w:r>
        <w:r w:rsidR="005C10D7">
          <w:rPr>
            <w:webHidden/>
          </w:rPr>
          <w:fldChar w:fldCharType="end"/>
        </w:r>
      </w:hyperlink>
    </w:p>
    <w:p w14:paraId="11BEBB33" w14:textId="3D12AE62" w:rsidR="005C10D7" w:rsidRDefault="005E52B4">
      <w:pPr>
        <w:pStyle w:val="TOC1"/>
        <w:rPr>
          <w:rFonts w:asciiTheme="minorHAnsi" w:eastAsiaTheme="minorEastAsia" w:hAnsiTheme="minorHAnsi" w:cstheme="minorBidi"/>
          <w:b w:val="0"/>
          <w:sz w:val="22"/>
          <w:szCs w:val="22"/>
          <w:lang w:eastAsia="en-AU"/>
        </w:rPr>
      </w:pPr>
      <w:hyperlink w:anchor="_Toc78958781" w:history="1">
        <w:r w:rsidR="005C10D7" w:rsidRPr="00EF2CC1">
          <w:rPr>
            <w:rStyle w:val="Hyperlink"/>
          </w:rPr>
          <w:t>Introduction</w:t>
        </w:r>
        <w:r w:rsidR="005C10D7">
          <w:rPr>
            <w:webHidden/>
          </w:rPr>
          <w:tab/>
        </w:r>
        <w:r w:rsidR="005C10D7">
          <w:rPr>
            <w:webHidden/>
          </w:rPr>
          <w:fldChar w:fldCharType="begin"/>
        </w:r>
        <w:r w:rsidR="005C10D7">
          <w:rPr>
            <w:webHidden/>
          </w:rPr>
          <w:instrText xml:space="preserve"> PAGEREF _Toc78958781 \h </w:instrText>
        </w:r>
        <w:r w:rsidR="005C10D7">
          <w:rPr>
            <w:webHidden/>
          </w:rPr>
        </w:r>
        <w:r w:rsidR="005C10D7">
          <w:rPr>
            <w:webHidden/>
          </w:rPr>
          <w:fldChar w:fldCharType="separate"/>
        </w:r>
        <w:r w:rsidR="005C10D7">
          <w:rPr>
            <w:webHidden/>
          </w:rPr>
          <w:t>16</w:t>
        </w:r>
        <w:r w:rsidR="005C10D7">
          <w:rPr>
            <w:webHidden/>
          </w:rPr>
          <w:fldChar w:fldCharType="end"/>
        </w:r>
      </w:hyperlink>
    </w:p>
    <w:p w14:paraId="5D20614D" w14:textId="2499E8D1" w:rsidR="005C10D7" w:rsidRDefault="005E52B4">
      <w:pPr>
        <w:pStyle w:val="TOC2"/>
        <w:rPr>
          <w:rFonts w:asciiTheme="minorHAnsi" w:eastAsiaTheme="minorEastAsia" w:hAnsiTheme="minorHAnsi" w:cstheme="minorBidi"/>
          <w:sz w:val="22"/>
          <w:szCs w:val="22"/>
          <w:lang w:eastAsia="en-AU"/>
        </w:rPr>
      </w:pPr>
      <w:hyperlink w:anchor="_Toc78958782" w:history="1">
        <w:r w:rsidR="005C10D7" w:rsidRPr="00EF2CC1">
          <w:rPr>
            <w:rStyle w:val="Hyperlink"/>
            <w:rFonts w:eastAsia="MS Gothic"/>
          </w:rPr>
          <w:t>Audit aims</w:t>
        </w:r>
        <w:r w:rsidR="005C10D7">
          <w:rPr>
            <w:webHidden/>
          </w:rPr>
          <w:tab/>
        </w:r>
        <w:r w:rsidR="005C10D7">
          <w:rPr>
            <w:webHidden/>
          </w:rPr>
          <w:fldChar w:fldCharType="begin"/>
        </w:r>
        <w:r w:rsidR="005C10D7">
          <w:rPr>
            <w:webHidden/>
          </w:rPr>
          <w:instrText xml:space="preserve"> PAGEREF _Toc78958782 \h </w:instrText>
        </w:r>
        <w:r w:rsidR="005C10D7">
          <w:rPr>
            <w:webHidden/>
          </w:rPr>
        </w:r>
        <w:r w:rsidR="005C10D7">
          <w:rPr>
            <w:webHidden/>
          </w:rPr>
          <w:fldChar w:fldCharType="separate"/>
        </w:r>
        <w:r w:rsidR="005C10D7">
          <w:rPr>
            <w:webHidden/>
          </w:rPr>
          <w:t>16</w:t>
        </w:r>
        <w:r w:rsidR="005C10D7">
          <w:rPr>
            <w:webHidden/>
          </w:rPr>
          <w:fldChar w:fldCharType="end"/>
        </w:r>
      </w:hyperlink>
    </w:p>
    <w:p w14:paraId="3E41B5A4" w14:textId="4BA73719" w:rsidR="005C10D7" w:rsidRDefault="005E52B4">
      <w:pPr>
        <w:pStyle w:val="TOC2"/>
        <w:rPr>
          <w:rFonts w:asciiTheme="minorHAnsi" w:eastAsiaTheme="minorEastAsia" w:hAnsiTheme="minorHAnsi" w:cstheme="minorBidi"/>
          <w:sz w:val="22"/>
          <w:szCs w:val="22"/>
          <w:lang w:eastAsia="en-AU"/>
        </w:rPr>
      </w:pPr>
      <w:hyperlink w:anchor="_Toc78958783" w:history="1">
        <w:r w:rsidR="005C10D7" w:rsidRPr="00EF2CC1">
          <w:rPr>
            <w:rStyle w:val="Hyperlink"/>
            <w:rFonts w:eastAsia="MS Gothic"/>
          </w:rPr>
          <w:t>Objectives</w:t>
        </w:r>
        <w:r w:rsidR="005C10D7">
          <w:rPr>
            <w:webHidden/>
          </w:rPr>
          <w:tab/>
        </w:r>
        <w:r w:rsidR="005C10D7">
          <w:rPr>
            <w:webHidden/>
          </w:rPr>
          <w:fldChar w:fldCharType="begin"/>
        </w:r>
        <w:r w:rsidR="005C10D7">
          <w:rPr>
            <w:webHidden/>
          </w:rPr>
          <w:instrText xml:space="preserve"> PAGEREF _Toc78958783 \h </w:instrText>
        </w:r>
        <w:r w:rsidR="005C10D7">
          <w:rPr>
            <w:webHidden/>
          </w:rPr>
        </w:r>
        <w:r w:rsidR="005C10D7">
          <w:rPr>
            <w:webHidden/>
          </w:rPr>
          <w:fldChar w:fldCharType="separate"/>
        </w:r>
        <w:r w:rsidR="005C10D7">
          <w:rPr>
            <w:webHidden/>
          </w:rPr>
          <w:t>16</w:t>
        </w:r>
        <w:r w:rsidR="005C10D7">
          <w:rPr>
            <w:webHidden/>
          </w:rPr>
          <w:fldChar w:fldCharType="end"/>
        </w:r>
      </w:hyperlink>
    </w:p>
    <w:p w14:paraId="79E23947" w14:textId="2C1827C4" w:rsidR="005C10D7" w:rsidRDefault="005E52B4">
      <w:pPr>
        <w:pStyle w:val="TOC2"/>
        <w:rPr>
          <w:rFonts w:asciiTheme="minorHAnsi" w:eastAsiaTheme="minorEastAsia" w:hAnsiTheme="minorHAnsi" w:cstheme="minorBidi"/>
          <w:sz w:val="22"/>
          <w:szCs w:val="22"/>
          <w:lang w:eastAsia="en-AU"/>
        </w:rPr>
      </w:pPr>
      <w:hyperlink w:anchor="_Toc78958784" w:history="1">
        <w:r w:rsidR="005C10D7" w:rsidRPr="00EF2CC1">
          <w:rPr>
            <w:rStyle w:val="Hyperlink"/>
            <w:rFonts w:eastAsia="MS Gothic"/>
          </w:rPr>
          <w:t>Inclusions</w:t>
        </w:r>
        <w:r w:rsidR="005C10D7">
          <w:rPr>
            <w:webHidden/>
          </w:rPr>
          <w:tab/>
        </w:r>
        <w:r w:rsidR="005C10D7">
          <w:rPr>
            <w:webHidden/>
          </w:rPr>
          <w:fldChar w:fldCharType="begin"/>
        </w:r>
        <w:r w:rsidR="005C10D7">
          <w:rPr>
            <w:webHidden/>
          </w:rPr>
          <w:instrText xml:space="preserve"> PAGEREF _Toc78958784 \h </w:instrText>
        </w:r>
        <w:r w:rsidR="005C10D7">
          <w:rPr>
            <w:webHidden/>
          </w:rPr>
        </w:r>
        <w:r w:rsidR="005C10D7">
          <w:rPr>
            <w:webHidden/>
          </w:rPr>
          <w:fldChar w:fldCharType="separate"/>
        </w:r>
        <w:r w:rsidR="005C10D7">
          <w:rPr>
            <w:webHidden/>
          </w:rPr>
          <w:t>16</w:t>
        </w:r>
        <w:r w:rsidR="005C10D7">
          <w:rPr>
            <w:webHidden/>
          </w:rPr>
          <w:fldChar w:fldCharType="end"/>
        </w:r>
      </w:hyperlink>
    </w:p>
    <w:p w14:paraId="76BC5DCA" w14:textId="1FFE325B" w:rsidR="005C10D7" w:rsidRDefault="005E52B4">
      <w:pPr>
        <w:pStyle w:val="TOC2"/>
        <w:rPr>
          <w:rFonts w:asciiTheme="minorHAnsi" w:eastAsiaTheme="minorEastAsia" w:hAnsiTheme="minorHAnsi" w:cstheme="minorBidi"/>
          <w:sz w:val="22"/>
          <w:szCs w:val="22"/>
          <w:lang w:eastAsia="en-AU"/>
        </w:rPr>
      </w:pPr>
      <w:hyperlink w:anchor="_Toc78958785" w:history="1">
        <w:r w:rsidR="005C10D7" w:rsidRPr="00EF2CC1">
          <w:rPr>
            <w:rStyle w:val="Hyperlink"/>
            <w:rFonts w:eastAsia="MS Gothic"/>
          </w:rPr>
          <w:t>Exclusions</w:t>
        </w:r>
        <w:r w:rsidR="005C10D7">
          <w:rPr>
            <w:webHidden/>
          </w:rPr>
          <w:tab/>
        </w:r>
        <w:r w:rsidR="005C10D7">
          <w:rPr>
            <w:webHidden/>
          </w:rPr>
          <w:fldChar w:fldCharType="begin"/>
        </w:r>
        <w:r w:rsidR="005C10D7">
          <w:rPr>
            <w:webHidden/>
          </w:rPr>
          <w:instrText xml:space="preserve"> PAGEREF _Toc78958785 \h </w:instrText>
        </w:r>
        <w:r w:rsidR="005C10D7">
          <w:rPr>
            <w:webHidden/>
          </w:rPr>
        </w:r>
        <w:r w:rsidR="005C10D7">
          <w:rPr>
            <w:webHidden/>
          </w:rPr>
          <w:fldChar w:fldCharType="separate"/>
        </w:r>
        <w:r w:rsidR="005C10D7">
          <w:rPr>
            <w:webHidden/>
          </w:rPr>
          <w:t>17</w:t>
        </w:r>
        <w:r w:rsidR="005C10D7">
          <w:rPr>
            <w:webHidden/>
          </w:rPr>
          <w:fldChar w:fldCharType="end"/>
        </w:r>
      </w:hyperlink>
    </w:p>
    <w:p w14:paraId="3366F81C" w14:textId="680103EB" w:rsidR="005C10D7" w:rsidRDefault="005E52B4">
      <w:pPr>
        <w:pStyle w:val="TOC1"/>
        <w:rPr>
          <w:rFonts w:asciiTheme="minorHAnsi" w:eastAsiaTheme="minorEastAsia" w:hAnsiTheme="minorHAnsi" w:cstheme="minorBidi"/>
          <w:b w:val="0"/>
          <w:sz w:val="22"/>
          <w:szCs w:val="22"/>
          <w:lang w:eastAsia="en-AU"/>
        </w:rPr>
      </w:pPr>
      <w:hyperlink w:anchor="_Toc78958786" w:history="1">
        <w:r w:rsidR="005C10D7" w:rsidRPr="00EF2CC1">
          <w:rPr>
            <w:rStyle w:val="Hyperlink"/>
          </w:rPr>
          <w:t>Method</w:t>
        </w:r>
        <w:r w:rsidR="005C10D7">
          <w:rPr>
            <w:webHidden/>
          </w:rPr>
          <w:tab/>
        </w:r>
        <w:r w:rsidR="005C10D7">
          <w:rPr>
            <w:webHidden/>
          </w:rPr>
          <w:fldChar w:fldCharType="begin"/>
        </w:r>
        <w:r w:rsidR="005C10D7">
          <w:rPr>
            <w:webHidden/>
          </w:rPr>
          <w:instrText xml:space="preserve"> PAGEREF _Toc78958786 \h </w:instrText>
        </w:r>
        <w:r w:rsidR="005C10D7">
          <w:rPr>
            <w:webHidden/>
          </w:rPr>
        </w:r>
        <w:r w:rsidR="005C10D7">
          <w:rPr>
            <w:webHidden/>
          </w:rPr>
          <w:fldChar w:fldCharType="separate"/>
        </w:r>
        <w:r w:rsidR="005C10D7">
          <w:rPr>
            <w:webHidden/>
          </w:rPr>
          <w:t>18</w:t>
        </w:r>
        <w:r w:rsidR="005C10D7">
          <w:rPr>
            <w:webHidden/>
          </w:rPr>
          <w:fldChar w:fldCharType="end"/>
        </w:r>
      </w:hyperlink>
    </w:p>
    <w:p w14:paraId="1049090A" w14:textId="1D2AE6BD" w:rsidR="005C10D7" w:rsidRDefault="005E52B4">
      <w:pPr>
        <w:pStyle w:val="TOC1"/>
        <w:rPr>
          <w:rFonts w:asciiTheme="minorHAnsi" w:eastAsiaTheme="minorEastAsia" w:hAnsiTheme="minorHAnsi" w:cstheme="minorBidi"/>
          <w:b w:val="0"/>
          <w:sz w:val="22"/>
          <w:szCs w:val="22"/>
          <w:lang w:eastAsia="en-AU"/>
        </w:rPr>
      </w:pPr>
      <w:hyperlink w:anchor="_Toc78958787" w:history="1">
        <w:r w:rsidR="005C10D7" w:rsidRPr="00EF2CC1">
          <w:rPr>
            <w:rStyle w:val="Hyperlink"/>
          </w:rPr>
          <w:t>Results</w:t>
        </w:r>
        <w:r w:rsidR="005C10D7">
          <w:rPr>
            <w:webHidden/>
          </w:rPr>
          <w:tab/>
        </w:r>
        <w:r w:rsidR="005C10D7">
          <w:rPr>
            <w:webHidden/>
          </w:rPr>
          <w:fldChar w:fldCharType="begin"/>
        </w:r>
        <w:r w:rsidR="005C10D7">
          <w:rPr>
            <w:webHidden/>
          </w:rPr>
          <w:instrText xml:space="preserve"> PAGEREF _Toc78958787 \h </w:instrText>
        </w:r>
        <w:r w:rsidR="005C10D7">
          <w:rPr>
            <w:webHidden/>
          </w:rPr>
        </w:r>
        <w:r w:rsidR="005C10D7">
          <w:rPr>
            <w:webHidden/>
          </w:rPr>
          <w:fldChar w:fldCharType="separate"/>
        </w:r>
        <w:r w:rsidR="005C10D7">
          <w:rPr>
            <w:webHidden/>
          </w:rPr>
          <w:t>20</w:t>
        </w:r>
        <w:r w:rsidR="005C10D7">
          <w:rPr>
            <w:webHidden/>
          </w:rPr>
          <w:fldChar w:fldCharType="end"/>
        </w:r>
      </w:hyperlink>
    </w:p>
    <w:p w14:paraId="5CEC8751" w14:textId="56FE3C95" w:rsidR="005C10D7" w:rsidRDefault="005E52B4">
      <w:pPr>
        <w:pStyle w:val="TOC2"/>
        <w:rPr>
          <w:rFonts w:asciiTheme="minorHAnsi" w:eastAsiaTheme="minorEastAsia" w:hAnsiTheme="minorHAnsi" w:cstheme="minorBidi"/>
          <w:sz w:val="22"/>
          <w:szCs w:val="22"/>
          <w:lang w:eastAsia="en-AU"/>
        </w:rPr>
      </w:pPr>
      <w:hyperlink w:anchor="_Toc78958788" w:history="1">
        <w:r w:rsidR="005C10D7" w:rsidRPr="00EF2CC1">
          <w:rPr>
            <w:rStyle w:val="Hyperlink"/>
          </w:rPr>
          <w:t>Preoperative anaemia</w:t>
        </w:r>
        <w:r w:rsidR="005C10D7">
          <w:rPr>
            <w:webHidden/>
          </w:rPr>
          <w:tab/>
        </w:r>
        <w:r w:rsidR="005C10D7">
          <w:rPr>
            <w:webHidden/>
          </w:rPr>
          <w:fldChar w:fldCharType="begin"/>
        </w:r>
        <w:r w:rsidR="005C10D7">
          <w:rPr>
            <w:webHidden/>
          </w:rPr>
          <w:instrText xml:space="preserve"> PAGEREF _Toc78958788 \h </w:instrText>
        </w:r>
        <w:r w:rsidR="005C10D7">
          <w:rPr>
            <w:webHidden/>
          </w:rPr>
        </w:r>
        <w:r w:rsidR="005C10D7">
          <w:rPr>
            <w:webHidden/>
          </w:rPr>
          <w:fldChar w:fldCharType="separate"/>
        </w:r>
        <w:r w:rsidR="005C10D7">
          <w:rPr>
            <w:webHidden/>
          </w:rPr>
          <w:t>20</w:t>
        </w:r>
        <w:r w:rsidR="005C10D7">
          <w:rPr>
            <w:webHidden/>
          </w:rPr>
          <w:fldChar w:fldCharType="end"/>
        </w:r>
      </w:hyperlink>
    </w:p>
    <w:p w14:paraId="79102196" w14:textId="5BFE8590" w:rsidR="005C10D7" w:rsidRDefault="005E52B4">
      <w:pPr>
        <w:pStyle w:val="TOC2"/>
        <w:rPr>
          <w:rFonts w:asciiTheme="minorHAnsi" w:eastAsiaTheme="minorEastAsia" w:hAnsiTheme="minorHAnsi" w:cstheme="minorBidi"/>
          <w:sz w:val="22"/>
          <w:szCs w:val="22"/>
          <w:lang w:eastAsia="en-AU"/>
        </w:rPr>
      </w:pPr>
      <w:hyperlink w:anchor="_Toc78958789" w:history="1">
        <w:r w:rsidR="005C10D7" w:rsidRPr="00EF2CC1">
          <w:rPr>
            <w:rStyle w:val="Hyperlink"/>
          </w:rPr>
          <w:t>Intraoperative interventions</w:t>
        </w:r>
        <w:r w:rsidR="005C10D7">
          <w:rPr>
            <w:webHidden/>
          </w:rPr>
          <w:tab/>
        </w:r>
        <w:r w:rsidR="005C10D7">
          <w:rPr>
            <w:webHidden/>
          </w:rPr>
          <w:fldChar w:fldCharType="begin"/>
        </w:r>
        <w:r w:rsidR="005C10D7">
          <w:rPr>
            <w:webHidden/>
          </w:rPr>
          <w:instrText xml:space="preserve"> PAGEREF _Toc78958789 \h </w:instrText>
        </w:r>
        <w:r w:rsidR="005C10D7">
          <w:rPr>
            <w:webHidden/>
          </w:rPr>
        </w:r>
        <w:r w:rsidR="005C10D7">
          <w:rPr>
            <w:webHidden/>
          </w:rPr>
          <w:fldChar w:fldCharType="separate"/>
        </w:r>
        <w:r w:rsidR="005C10D7">
          <w:rPr>
            <w:webHidden/>
          </w:rPr>
          <w:t>42</w:t>
        </w:r>
        <w:r w:rsidR="005C10D7">
          <w:rPr>
            <w:webHidden/>
          </w:rPr>
          <w:fldChar w:fldCharType="end"/>
        </w:r>
      </w:hyperlink>
    </w:p>
    <w:p w14:paraId="7AE57EA9" w14:textId="23A78633" w:rsidR="005C10D7" w:rsidRDefault="005E52B4">
      <w:pPr>
        <w:pStyle w:val="TOC2"/>
        <w:rPr>
          <w:rFonts w:asciiTheme="minorHAnsi" w:eastAsiaTheme="minorEastAsia" w:hAnsiTheme="minorHAnsi" w:cstheme="minorBidi"/>
          <w:sz w:val="22"/>
          <w:szCs w:val="22"/>
          <w:lang w:eastAsia="en-AU"/>
        </w:rPr>
      </w:pPr>
      <w:hyperlink w:anchor="_Toc78958790" w:history="1">
        <w:r w:rsidR="005C10D7" w:rsidRPr="00EF2CC1">
          <w:rPr>
            <w:rStyle w:val="Hyperlink"/>
          </w:rPr>
          <w:t>Postoperative interventions</w:t>
        </w:r>
        <w:r w:rsidR="005C10D7">
          <w:rPr>
            <w:webHidden/>
          </w:rPr>
          <w:tab/>
        </w:r>
        <w:r w:rsidR="005C10D7">
          <w:rPr>
            <w:webHidden/>
          </w:rPr>
          <w:fldChar w:fldCharType="begin"/>
        </w:r>
        <w:r w:rsidR="005C10D7">
          <w:rPr>
            <w:webHidden/>
          </w:rPr>
          <w:instrText xml:space="preserve"> PAGEREF _Toc78958790 \h </w:instrText>
        </w:r>
        <w:r w:rsidR="005C10D7">
          <w:rPr>
            <w:webHidden/>
          </w:rPr>
        </w:r>
        <w:r w:rsidR="005C10D7">
          <w:rPr>
            <w:webHidden/>
          </w:rPr>
          <w:fldChar w:fldCharType="separate"/>
        </w:r>
        <w:r w:rsidR="005C10D7">
          <w:rPr>
            <w:webHidden/>
          </w:rPr>
          <w:t>50</w:t>
        </w:r>
        <w:r w:rsidR="005C10D7">
          <w:rPr>
            <w:webHidden/>
          </w:rPr>
          <w:fldChar w:fldCharType="end"/>
        </w:r>
      </w:hyperlink>
    </w:p>
    <w:p w14:paraId="51390D4F" w14:textId="167D559C" w:rsidR="005C10D7" w:rsidRDefault="005E52B4">
      <w:pPr>
        <w:pStyle w:val="TOC1"/>
        <w:rPr>
          <w:rFonts w:asciiTheme="minorHAnsi" w:eastAsiaTheme="minorEastAsia" w:hAnsiTheme="minorHAnsi" w:cstheme="minorBidi"/>
          <w:b w:val="0"/>
          <w:sz w:val="22"/>
          <w:szCs w:val="22"/>
          <w:lang w:eastAsia="en-AU"/>
        </w:rPr>
      </w:pPr>
      <w:hyperlink w:anchor="_Toc78958791" w:history="1">
        <w:r w:rsidR="005C10D7" w:rsidRPr="00EF2CC1">
          <w:rPr>
            <w:rStyle w:val="Hyperlink"/>
          </w:rPr>
          <w:t>References</w:t>
        </w:r>
        <w:r w:rsidR="005C10D7">
          <w:rPr>
            <w:webHidden/>
          </w:rPr>
          <w:tab/>
        </w:r>
        <w:r w:rsidR="005C10D7">
          <w:rPr>
            <w:webHidden/>
          </w:rPr>
          <w:fldChar w:fldCharType="begin"/>
        </w:r>
        <w:r w:rsidR="005C10D7">
          <w:rPr>
            <w:webHidden/>
          </w:rPr>
          <w:instrText xml:space="preserve"> PAGEREF _Toc78958791 \h </w:instrText>
        </w:r>
        <w:r w:rsidR="005C10D7">
          <w:rPr>
            <w:webHidden/>
          </w:rPr>
        </w:r>
        <w:r w:rsidR="005C10D7">
          <w:rPr>
            <w:webHidden/>
          </w:rPr>
          <w:fldChar w:fldCharType="separate"/>
        </w:r>
        <w:r w:rsidR="005C10D7">
          <w:rPr>
            <w:webHidden/>
          </w:rPr>
          <w:t>59</w:t>
        </w:r>
        <w:r w:rsidR="005C10D7">
          <w:rPr>
            <w:webHidden/>
          </w:rPr>
          <w:fldChar w:fldCharType="end"/>
        </w:r>
      </w:hyperlink>
    </w:p>
    <w:p w14:paraId="14C0698B" w14:textId="07CBC9BD" w:rsidR="005C10D7" w:rsidRDefault="005E52B4">
      <w:pPr>
        <w:pStyle w:val="TOC1"/>
        <w:rPr>
          <w:rFonts w:asciiTheme="minorHAnsi" w:eastAsiaTheme="minorEastAsia" w:hAnsiTheme="minorHAnsi" w:cstheme="minorBidi"/>
          <w:b w:val="0"/>
          <w:sz w:val="22"/>
          <w:szCs w:val="22"/>
          <w:lang w:eastAsia="en-AU"/>
        </w:rPr>
      </w:pPr>
      <w:hyperlink w:anchor="_Toc78958792" w:history="1">
        <w:r w:rsidR="005C10D7" w:rsidRPr="00EF2CC1">
          <w:rPr>
            <w:rStyle w:val="Hyperlink"/>
          </w:rPr>
          <w:t>Appendix 1: Data comparison of the 2015 and 2020 audit results</w:t>
        </w:r>
        <w:r w:rsidR="005C10D7">
          <w:rPr>
            <w:webHidden/>
          </w:rPr>
          <w:tab/>
        </w:r>
        <w:r w:rsidR="005C10D7">
          <w:rPr>
            <w:webHidden/>
          </w:rPr>
          <w:fldChar w:fldCharType="begin"/>
        </w:r>
        <w:r w:rsidR="005C10D7">
          <w:rPr>
            <w:webHidden/>
          </w:rPr>
          <w:instrText xml:space="preserve"> PAGEREF _Toc78958792 \h </w:instrText>
        </w:r>
        <w:r w:rsidR="005C10D7">
          <w:rPr>
            <w:webHidden/>
          </w:rPr>
        </w:r>
        <w:r w:rsidR="005C10D7">
          <w:rPr>
            <w:webHidden/>
          </w:rPr>
          <w:fldChar w:fldCharType="separate"/>
        </w:r>
        <w:r w:rsidR="005C10D7">
          <w:rPr>
            <w:webHidden/>
          </w:rPr>
          <w:t>61</w:t>
        </w:r>
        <w:r w:rsidR="005C10D7">
          <w:rPr>
            <w:webHidden/>
          </w:rPr>
          <w:fldChar w:fldCharType="end"/>
        </w:r>
      </w:hyperlink>
    </w:p>
    <w:p w14:paraId="349DA4CE" w14:textId="4BADAC9F" w:rsidR="005C10D7" w:rsidRDefault="005E52B4">
      <w:pPr>
        <w:pStyle w:val="TOC2"/>
        <w:rPr>
          <w:rFonts w:asciiTheme="minorHAnsi" w:eastAsiaTheme="minorEastAsia" w:hAnsiTheme="minorHAnsi" w:cstheme="minorBidi"/>
          <w:sz w:val="22"/>
          <w:szCs w:val="22"/>
          <w:lang w:eastAsia="en-AU"/>
        </w:rPr>
      </w:pPr>
      <w:hyperlink w:anchor="_Toc78958793" w:history="1">
        <w:r w:rsidR="005C10D7" w:rsidRPr="00EF2CC1">
          <w:rPr>
            <w:rStyle w:val="Hyperlink"/>
          </w:rPr>
          <w:t>Preoperative</w:t>
        </w:r>
        <w:r w:rsidR="005C10D7">
          <w:rPr>
            <w:webHidden/>
          </w:rPr>
          <w:tab/>
        </w:r>
        <w:r w:rsidR="005C10D7">
          <w:rPr>
            <w:webHidden/>
          </w:rPr>
          <w:fldChar w:fldCharType="begin"/>
        </w:r>
        <w:r w:rsidR="005C10D7">
          <w:rPr>
            <w:webHidden/>
          </w:rPr>
          <w:instrText xml:space="preserve"> PAGEREF _Toc78958793 \h </w:instrText>
        </w:r>
        <w:r w:rsidR="005C10D7">
          <w:rPr>
            <w:webHidden/>
          </w:rPr>
        </w:r>
        <w:r w:rsidR="005C10D7">
          <w:rPr>
            <w:webHidden/>
          </w:rPr>
          <w:fldChar w:fldCharType="separate"/>
        </w:r>
        <w:r w:rsidR="005C10D7">
          <w:rPr>
            <w:webHidden/>
          </w:rPr>
          <w:t>61</w:t>
        </w:r>
        <w:r w:rsidR="005C10D7">
          <w:rPr>
            <w:webHidden/>
          </w:rPr>
          <w:fldChar w:fldCharType="end"/>
        </w:r>
      </w:hyperlink>
    </w:p>
    <w:p w14:paraId="1EC84C3A" w14:textId="72B65C13" w:rsidR="005C10D7" w:rsidRDefault="005E52B4">
      <w:pPr>
        <w:pStyle w:val="TOC2"/>
        <w:rPr>
          <w:rFonts w:asciiTheme="minorHAnsi" w:eastAsiaTheme="minorEastAsia" w:hAnsiTheme="minorHAnsi" w:cstheme="minorBidi"/>
          <w:sz w:val="22"/>
          <w:szCs w:val="22"/>
          <w:lang w:eastAsia="en-AU"/>
        </w:rPr>
      </w:pPr>
      <w:hyperlink w:anchor="_Toc78958794" w:history="1">
        <w:r w:rsidR="005C10D7" w:rsidRPr="00EF2CC1">
          <w:rPr>
            <w:rStyle w:val="Hyperlink"/>
          </w:rPr>
          <w:t>Intraoperative</w:t>
        </w:r>
        <w:r w:rsidR="005C10D7">
          <w:rPr>
            <w:webHidden/>
          </w:rPr>
          <w:tab/>
        </w:r>
        <w:r w:rsidR="005C10D7">
          <w:rPr>
            <w:webHidden/>
          </w:rPr>
          <w:fldChar w:fldCharType="begin"/>
        </w:r>
        <w:r w:rsidR="005C10D7">
          <w:rPr>
            <w:webHidden/>
          </w:rPr>
          <w:instrText xml:space="preserve"> PAGEREF _Toc78958794 \h </w:instrText>
        </w:r>
        <w:r w:rsidR="005C10D7">
          <w:rPr>
            <w:webHidden/>
          </w:rPr>
        </w:r>
        <w:r w:rsidR="005C10D7">
          <w:rPr>
            <w:webHidden/>
          </w:rPr>
          <w:fldChar w:fldCharType="separate"/>
        </w:r>
        <w:r w:rsidR="005C10D7">
          <w:rPr>
            <w:webHidden/>
          </w:rPr>
          <w:t>61</w:t>
        </w:r>
        <w:r w:rsidR="005C10D7">
          <w:rPr>
            <w:webHidden/>
          </w:rPr>
          <w:fldChar w:fldCharType="end"/>
        </w:r>
      </w:hyperlink>
    </w:p>
    <w:p w14:paraId="05211B4D" w14:textId="5FC8F2AA" w:rsidR="005C10D7" w:rsidRDefault="005E52B4">
      <w:pPr>
        <w:pStyle w:val="TOC2"/>
        <w:rPr>
          <w:rFonts w:asciiTheme="minorHAnsi" w:eastAsiaTheme="minorEastAsia" w:hAnsiTheme="minorHAnsi" w:cstheme="minorBidi"/>
          <w:sz w:val="22"/>
          <w:szCs w:val="22"/>
          <w:lang w:eastAsia="en-AU"/>
        </w:rPr>
      </w:pPr>
      <w:hyperlink w:anchor="_Toc78958795" w:history="1">
        <w:r w:rsidR="005C10D7" w:rsidRPr="00EF2CC1">
          <w:rPr>
            <w:rStyle w:val="Hyperlink"/>
          </w:rPr>
          <w:t>Postoperative</w:t>
        </w:r>
        <w:r w:rsidR="005C10D7">
          <w:rPr>
            <w:webHidden/>
          </w:rPr>
          <w:tab/>
        </w:r>
        <w:r w:rsidR="005C10D7">
          <w:rPr>
            <w:webHidden/>
          </w:rPr>
          <w:fldChar w:fldCharType="begin"/>
        </w:r>
        <w:r w:rsidR="005C10D7">
          <w:rPr>
            <w:webHidden/>
          </w:rPr>
          <w:instrText xml:space="preserve"> PAGEREF _Toc78958795 \h </w:instrText>
        </w:r>
        <w:r w:rsidR="005C10D7">
          <w:rPr>
            <w:webHidden/>
          </w:rPr>
        </w:r>
        <w:r w:rsidR="005C10D7">
          <w:rPr>
            <w:webHidden/>
          </w:rPr>
          <w:fldChar w:fldCharType="separate"/>
        </w:r>
        <w:r w:rsidR="005C10D7">
          <w:rPr>
            <w:webHidden/>
          </w:rPr>
          <w:t>62</w:t>
        </w:r>
        <w:r w:rsidR="005C10D7">
          <w:rPr>
            <w:webHidden/>
          </w:rPr>
          <w:fldChar w:fldCharType="end"/>
        </w:r>
      </w:hyperlink>
    </w:p>
    <w:p w14:paraId="6220FE5C" w14:textId="08A1279D" w:rsidR="005C10D7" w:rsidRDefault="005E52B4">
      <w:pPr>
        <w:pStyle w:val="TOC1"/>
        <w:rPr>
          <w:rFonts w:asciiTheme="minorHAnsi" w:eastAsiaTheme="minorEastAsia" w:hAnsiTheme="minorHAnsi" w:cstheme="minorBidi"/>
          <w:b w:val="0"/>
          <w:sz w:val="22"/>
          <w:szCs w:val="22"/>
          <w:lang w:eastAsia="en-AU"/>
        </w:rPr>
      </w:pPr>
      <w:hyperlink w:anchor="_Toc78958796" w:history="1">
        <w:r w:rsidR="005C10D7" w:rsidRPr="00EF2CC1">
          <w:rPr>
            <w:rStyle w:val="Hyperlink"/>
          </w:rPr>
          <w:t>Appendix 2: Patient blood management information and education resources</w:t>
        </w:r>
        <w:r w:rsidR="005C10D7">
          <w:rPr>
            <w:webHidden/>
          </w:rPr>
          <w:tab/>
        </w:r>
        <w:r w:rsidR="005C10D7">
          <w:rPr>
            <w:webHidden/>
          </w:rPr>
          <w:fldChar w:fldCharType="begin"/>
        </w:r>
        <w:r w:rsidR="005C10D7">
          <w:rPr>
            <w:webHidden/>
          </w:rPr>
          <w:instrText xml:space="preserve"> PAGEREF _Toc78958796 \h </w:instrText>
        </w:r>
        <w:r w:rsidR="005C10D7">
          <w:rPr>
            <w:webHidden/>
          </w:rPr>
        </w:r>
        <w:r w:rsidR="005C10D7">
          <w:rPr>
            <w:webHidden/>
          </w:rPr>
          <w:fldChar w:fldCharType="separate"/>
        </w:r>
        <w:r w:rsidR="005C10D7">
          <w:rPr>
            <w:webHidden/>
          </w:rPr>
          <w:t>63</w:t>
        </w:r>
        <w:r w:rsidR="005C10D7">
          <w:rPr>
            <w:webHidden/>
          </w:rPr>
          <w:fldChar w:fldCharType="end"/>
        </w:r>
      </w:hyperlink>
    </w:p>
    <w:p w14:paraId="26CB01C4" w14:textId="43EC4062" w:rsidR="005C10D7" w:rsidRDefault="005E52B4">
      <w:pPr>
        <w:pStyle w:val="TOC2"/>
        <w:rPr>
          <w:rFonts w:asciiTheme="minorHAnsi" w:eastAsiaTheme="minorEastAsia" w:hAnsiTheme="minorHAnsi" w:cstheme="minorBidi"/>
          <w:sz w:val="22"/>
          <w:szCs w:val="22"/>
          <w:lang w:eastAsia="en-AU"/>
        </w:rPr>
      </w:pPr>
      <w:hyperlink w:anchor="_Toc78958797" w:history="1">
        <w:r w:rsidR="005C10D7" w:rsidRPr="00EF2CC1">
          <w:rPr>
            <w:rStyle w:val="Hyperlink"/>
          </w:rPr>
          <w:t>Blood Matters</w:t>
        </w:r>
        <w:r w:rsidR="005C10D7">
          <w:rPr>
            <w:webHidden/>
          </w:rPr>
          <w:tab/>
        </w:r>
        <w:r w:rsidR="005C10D7">
          <w:rPr>
            <w:webHidden/>
          </w:rPr>
          <w:fldChar w:fldCharType="begin"/>
        </w:r>
        <w:r w:rsidR="005C10D7">
          <w:rPr>
            <w:webHidden/>
          </w:rPr>
          <w:instrText xml:space="preserve"> PAGEREF _Toc78958797 \h </w:instrText>
        </w:r>
        <w:r w:rsidR="005C10D7">
          <w:rPr>
            <w:webHidden/>
          </w:rPr>
        </w:r>
        <w:r w:rsidR="005C10D7">
          <w:rPr>
            <w:webHidden/>
          </w:rPr>
          <w:fldChar w:fldCharType="separate"/>
        </w:r>
        <w:r w:rsidR="005C10D7">
          <w:rPr>
            <w:webHidden/>
          </w:rPr>
          <w:t>63</w:t>
        </w:r>
        <w:r w:rsidR="005C10D7">
          <w:rPr>
            <w:webHidden/>
          </w:rPr>
          <w:fldChar w:fldCharType="end"/>
        </w:r>
      </w:hyperlink>
    </w:p>
    <w:p w14:paraId="550F76B9" w14:textId="42B4E9B1" w:rsidR="005C10D7" w:rsidRDefault="005E52B4">
      <w:pPr>
        <w:pStyle w:val="TOC2"/>
        <w:rPr>
          <w:rFonts w:asciiTheme="minorHAnsi" w:eastAsiaTheme="minorEastAsia" w:hAnsiTheme="minorHAnsi" w:cstheme="minorBidi"/>
          <w:sz w:val="22"/>
          <w:szCs w:val="22"/>
          <w:lang w:eastAsia="en-AU"/>
        </w:rPr>
      </w:pPr>
      <w:hyperlink w:anchor="_Toc78958798" w:history="1">
        <w:r w:rsidR="005C10D7" w:rsidRPr="00EF2CC1">
          <w:rPr>
            <w:rStyle w:val="Hyperlink"/>
          </w:rPr>
          <w:t>BloodSafe eLearning Australia</w:t>
        </w:r>
        <w:r w:rsidR="005C10D7">
          <w:rPr>
            <w:webHidden/>
          </w:rPr>
          <w:tab/>
        </w:r>
        <w:r w:rsidR="005C10D7">
          <w:rPr>
            <w:webHidden/>
          </w:rPr>
          <w:fldChar w:fldCharType="begin"/>
        </w:r>
        <w:r w:rsidR="005C10D7">
          <w:rPr>
            <w:webHidden/>
          </w:rPr>
          <w:instrText xml:space="preserve"> PAGEREF _Toc78958798 \h </w:instrText>
        </w:r>
        <w:r w:rsidR="005C10D7">
          <w:rPr>
            <w:webHidden/>
          </w:rPr>
        </w:r>
        <w:r w:rsidR="005C10D7">
          <w:rPr>
            <w:webHidden/>
          </w:rPr>
          <w:fldChar w:fldCharType="separate"/>
        </w:r>
        <w:r w:rsidR="005C10D7">
          <w:rPr>
            <w:webHidden/>
          </w:rPr>
          <w:t>63</w:t>
        </w:r>
        <w:r w:rsidR="005C10D7">
          <w:rPr>
            <w:webHidden/>
          </w:rPr>
          <w:fldChar w:fldCharType="end"/>
        </w:r>
      </w:hyperlink>
    </w:p>
    <w:p w14:paraId="4D4A6BBA" w14:textId="54C5392C" w:rsidR="005C10D7" w:rsidRDefault="005E52B4">
      <w:pPr>
        <w:pStyle w:val="TOC2"/>
        <w:rPr>
          <w:rFonts w:asciiTheme="minorHAnsi" w:eastAsiaTheme="minorEastAsia" w:hAnsiTheme="minorHAnsi" w:cstheme="minorBidi"/>
          <w:sz w:val="22"/>
          <w:szCs w:val="22"/>
          <w:lang w:eastAsia="en-AU"/>
        </w:rPr>
      </w:pPr>
      <w:hyperlink w:anchor="_Toc78958799" w:history="1">
        <w:r w:rsidR="005C10D7" w:rsidRPr="00EF2CC1">
          <w:rPr>
            <w:rStyle w:val="Hyperlink"/>
          </w:rPr>
          <w:t>Australian Red Cross Lifeblood</w:t>
        </w:r>
        <w:r w:rsidR="005C10D7">
          <w:rPr>
            <w:webHidden/>
          </w:rPr>
          <w:tab/>
        </w:r>
        <w:r w:rsidR="005C10D7">
          <w:rPr>
            <w:webHidden/>
          </w:rPr>
          <w:fldChar w:fldCharType="begin"/>
        </w:r>
        <w:r w:rsidR="005C10D7">
          <w:rPr>
            <w:webHidden/>
          </w:rPr>
          <w:instrText xml:space="preserve"> PAGEREF _Toc78958799 \h </w:instrText>
        </w:r>
        <w:r w:rsidR="005C10D7">
          <w:rPr>
            <w:webHidden/>
          </w:rPr>
        </w:r>
        <w:r w:rsidR="005C10D7">
          <w:rPr>
            <w:webHidden/>
          </w:rPr>
          <w:fldChar w:fldCharType="separate"/>
        </w:r>
        <w:r w:rsidR="005C10D7">
          <w:rPr>
            <w:webHidden/>
          </w:rPr>
          <w:t>63</w:t>
        </w:r>
        <w:r w:rsidR="005C10D7">
          <w:rPr>
            <w:webHidden/>
          </w:rPr>
          <w:fldChar w:fldCharType="end"/>
        </w:r>
      </w:hyperlink>
    </w:p>
    <w:p w14:paraId="3B139437" w14:textId="66BCE5B6" w:rsidR="005C10D7" w:rsidRDefault="005E52B4">
      <w:pPr>
        <w:pStyle w:val="TOC2"/>
        <w:rPr>
          <w:rFonts w:asciiTheme="minorHAnsi" w:eastAsiaTheme="minorEastAsia" w:hAnsiTheme="minorHAnsi" w:cstheme="minorBidi"/>
          <w:sz w:val="22"/>
          <w:szCs w:val="22"/>
          <w:lang w:eastAsia="en-AU"/>
        </w:rPr>
      </w:pPr>
      <w:hyperlink w:anchor="_Toc78958800" w:history="1">
        <w:r w:rsidR="005C10D7" w:rsidRPr="00EF2CC1">
          <w:rPr>
            <w:rStyle w:val="Hyperlink"/>
          </w:rPr>
          <w:t>BloodSafe, SA Health</w:t>
        </w:r>
        <w:r w:rsidR="005C10D7">
          <w:rPr>
            <w:webHidden/>
          </w:rPr>
          <w:tab/>
        </w:r>
        <w:r w:rsidR="005C10D7">
          <w:rPr>
            <w:webHidden/>
          </w:rPr>
          <w:fldChar w:fldCharType="begin"/>
        </w:r>
        <w:r w:rsidR="005C10D7">
          <w:rPr>
            <w:webHidden/>
          </w:rPr>
          <w:instrText xml:space="preserve"> PAGEREF _Toc78958800 \h </w:instrText>
        </w:r>
        <w:r w:rsidR="005C10D7">
          <w:rPr>
            <w:webHidden/>
          </w:rPr>
        </w:r>
        <w:r w:rsidR="005C10D7">
          <w:rPr>
            <w:webHidden/>
          </w:rPr>
          <w:fldChar w:fldCharType="separate"/>
        </w:r>
        <w:r w:rsidR="005C10D7">
          <w:rPr>
            <w:webHidden/>
          </w:rPr>
          <w:t>63</w:t>
        </w:r>
        <w:r w:rsidR="005C10D7">
          <w:rPr>
            <w:webHidden/>
          </w:rPr>
          <w:fldChar w:fldCharType="end"/>
        </w:r>
      </w:hyperlink>
    </w:p>
    <w:p w14:paraId="7929CD0E" w14:textId="0AF8138A" w:rsidR="005C10D7" w:rsidRDefault="005E52B4">
      <w:pPr>
        <w:pStyle w:val="TOC2"/>
        <w:rPr>
          <w:rFonts w:asciiTheme="minorHAnsi" w:eastAsiaTheme="minorEastAsia" w:hAnsiTheme="minorHAnsi" w:cstheme="minorBidi"/>
          <w:sz w:val="22"/>
          <w:szCs w:val="22"/>
          <w:lang w:eastAsia="en-AU"/>
        </w:rPr>
      </w:pPr>
      <w:hyperlink w:anchor="_Toc78958801" w:history="1">
        <w:r w:rsidR="005C10D7" w:rsidRPr="00EF2CC1">
          <w:rPr>
            <w:rStyle w:val="Hyperlink"/>
            <w:shd w:val="clear" w:color="auto" w:fill="FFFFFF"/>
          </w:rPr>
          <w:t xml:space="preserve">The Australian and New Zealand College of </w:t>
        </w:r>
        <w:r w:rsidR="005C10D7" w:rsidRPr="00EF2CC1">
          <w:rPr>
            <w:rStyle w:val="Hyperlink"/>
          </w:rPr>
          <w:t>Perfusionists</w:t>
        </w:r>
        <w:r w:rsidR="005C10D7" w:rsidRPr="00EF2CC1">
          <w:rPr>
            <w:rStyle w:val="Hyperlink"/>
            <w:shd w:val="clear" w:color="auto" w:fill="FFFFFF"/>
          </w:rPr>
          <w:t xml:space="preserve"> (ANZCP):</w:t>
        </w:r>
        <w:r w:rsidR="005C10D7">
          <w:rPr>
            <w:webHidden/>
          </w:rPr>
          <w:tab/>
        </w:r>
        <w:r w:rsidR="005C10D7">
          <w:rPr>
            <w:webHidden/>
          </w:rPr>
          <w:fldChar w:fldCharType="begin"/>
        </w:r>
        <w:r w:rsidR="005C10D7">
          <w:rPr>
            <w:webHidden/>
          </w:rPr>
          <w:instrText xml:space="preserve"> PAGEREF _Toc78958801 \h </w:instrText>
        </w:r>
        <w:r w:rsidR="005C10D7">
          <w:rPr>
            <w:webHidden/>
          </w:rPr>
        </w:r>
        <w:r w:rsidR="005C10D7">
          <w:rPr>
            <w:webHidden/>
          </w:rPr>
          <w:fldChar w:fldCharType="separate"/>
        </w:r>
        <w:r w:rsidR="005C10D7">
          <w:rPr>
            <w:webHidden/>
          </w:rPr>
          <w:t>64</w:t>
        </w:r>
        <w:r w:rsidR="005C10D7">
          <w:rPr>
            <w:webHidden/>
          </w:rPr>
          <w:fldChar w:fldCharType="end"/>
        </w:r>
      </w:hyperlink>
    </w:p>
    <w:p w14:paraId="53AC9270" w14:textId="546D9226" w:rsidR="005C10D7" w:rsidRDefault="005E52B4">
      <w:pPr>
        <w:pStyle w:val="TOC1"/>
        <w:rPr>
          <w:rFonts w:asciiTheme="minorHAnsi" w:eastAsiaTheme="minorEastAsia" w:hAnsiTheme="minorHAnsi" w:cstheme="minorBidi"/>
          <w:b w:val="0"/>
          <w:sz w:val="22"/>
          <w:szCs w:val="22"/>
          <w:lang w:eastAsia="en-AU"/>
        </w:rPr>
      </w:pPr>
      <w:hyperlink w:anchor="_Toc78958802" w:history="1">
        <w:r w:rsidR="005C10D7" w:rsidRPr="00EF2CC1">
          <w:rPr>
            <w:rStyle w:val="Hyperlink"/>
          </w:rPr>
          <w:t>Appendix 3: Audit instructions</w:t>
        </w:r>
        <w:r w:rsidR="005C10D7">
          <w:rPr>
            <w:webHidden/>
          </w:rPr>
          <w:tab/>
        </w:r>
        <w:r w:rsidR="005C10D7">
          <w:rPr>
            <w:webHidden/>
          </w:rPr>
          <w:fldChar w:fldCharType="begin"/>
        </w:r>
        <w:r w:rsidR="005C10D7">
          <w:rPr>
            <w:webHidden/>
          </w:rPr>
          <w:instrText xml:space="preserve"> PAGEREF _Toc78958802 \h </w:instrText>
        </w:r>
        <w:r w:rsidR="005C10D7">
          <w:rPr>
            <w:webHidden/>
          </w:rPr>
        </w:r>
        <w:r w:rsidR="005C10D7">
          <w:rPr>
            <w:webHidden/>
          </w:rPr>
          <w:fldChar w:fldCharType="separate"/>
        </w:r>
        <w:r w:rsidR="005C10D7">
          <w:rPr>
            <w:webHidden/>
          </w:rPr>
          <w:t>65</w:t>
        </w:r>
        <w:r w:rsidR="005C10D7">
          <w:rPr>
            <w:webHidden/>
          </w:rPr>
          <w:fldChar w:fldCharType="end"/>
        </w:r>
      </w:hyperlink>
    </w:p>
    <w:p w14:paraId="1E7AB260" w14:textId="34914457" w:rsidR="005C10D7" w:rsidRDefault="005E52B4">
      <w:pPr>
        <w:pStyle w:val="TOC1"/>
        <w:rPr>
          <w:rFonts w:asciiTheme="minorHAnsi" w:eastAsiaTheme="minorEastAsia" w:hAnsiTheme="minorHAnsi" w:cstheme="minorBidi"/>
          <w:b w:val="0"/>
          <w:sz w:val="22"/>
          <w:szCs w:val="22"/>
          <w:lang w:eastAsia="en-AU"/>
        </w:rPr>
      </w:pPr>
      <w:hyperlink w:anchor="_Toc78958803" w:history="1">
        <w:r w:rsidR="005C10D7" w:rsidRPr="00EF2CC1">
          <w:rPr>
            <w:rStyle w:val="Hyperlink"/>
          </w:rPr>
          <w:t>Appendix 4: Data collection tool</w:t>
        </w:r>
        <w:r w:rsidR="005C10D7">
          <w:rPr>
            <w:webHidden/>
          </w:rPr>
          <w:tab/>
        </w:r>
        <w:r w:rsidR="005C10D7">
          <w:rPr>
            <w:webHidden/>
          </w:rPr>
          <w:fldChar w:fldCharType="begin"/>
        </w:r>
        <w:r w:rsidR="005C10D7">
          <w:rPr>
            <w:webHidden/>
          </w:rPr>
          <w:instrText xml:space="preserve"> PAGEREF _Toc78958803 \h </w:instrText>
        </w:r>
        <w:r w:rsidR="005C10D7">
          <w:rPr>
            <w:webHidden/>
          </w:rPr>
        </w:r>
        <w:r w:rsidR="005C10D7">
          <w:rPr>
            <w:webHidden/>
          </w:rPr>
          <w:fldChar w:fldCharType="separate"/>
        </w:r>
        <w:r w:rsidR="005C10D7">
          <w:rPr>
            <w:webHidden/>
          </w:rPr>
          <w:t>66</w:t>
        </w:r>
        <w:r w:rsidR="005C10D7">
          <w:rPr>
            <w:webHidden/>
          </w:rPr>
          <w:fldChar w:fldCharType="end"/>
        </w:r>
      </w:hyperlink>
    </w:p>
    <w:p w14:paraId="6419BEA0" w14:textId="63CF21C8" w:rsidR="005C10D7" w:rsidRDefault="005E52B4">
      <w:pPr>
        <w:pStyle w:val="TOC1"/>
        <w:rPr>
          <w:rFonts w:asciiTheme="minorHAnsi" w:eastAsiaTheme="minorEastAsia" w:hAnsiTheme="minorHAnsi" w:cstheme="minorBidi"/>
          <w:b w:val="0"/>
          <w:sz w:val="22"/>
          <w:szCs w:val="22"/>
          <w:lang w:eastAsia="en-AU"/>
        </w:rPr>
      </w:pPr>
      <w:hyperlink w:anchor="_Toc78958804" w:history="1">
        <w:r w:rsidR="005C10D7" w:rsidRPr="00EF2CC1">
          <w:rPr>
            <w:rStyle w:val="Hyperlink"/>
          </w:rPr>
          <w:t>Appendix 5: Consolidated information for specific surgical groups on preoperative management</w:t>
        </w:r>
        <w:r w:rsidR="005C10D7">
          <w:rPr>
            <w:webHidden/>
          </w:rPr>
          <w:tab/>
        </w:r>
        <w:r w:rsidR="005C10D7">
          <w:rPr>
            <w:webHidden/>
          </w:rPr>
          <w:fldChar w:fldCharType="begin"/>
        </w:r>
        <w:r w:rsidR="005C10D7">
          <w:rPr>
            <w:webHidden/>
          </w:rPr>
          <w:instrText xml:space="preserve"> PAGEREF _Toc78958804 \h </w:instrText>
        </w:r>
        <w:r w:rsidR="005C10D7">
          <w:rPr>
            <w:webHidden/>
          </w:rPr>
        </w:r>
        <w:r w:rsidR="005C10D7">
          <w:rPr>
            <w:webHidden/>
          </w:rPr>
          <w:fldChar w:fldCharType="separate"/>
        </w:r>
        <w:r w:rsidR="005C10D7">
          <w:rPr>
            <w:webHidden/>
          </w:rPr>
          <w:t>67</w:t>
        </w:r>
        <w:r w:rsidR="005C10D7">
          <w:rPr>
            <w:webHidden/>
          </w:rPr>
          <w:fldChar w:fldCharType="end"/>
        </w:r>
      </w:hyperlink>
    </w:p>
    <w:p w14:paraId="4AB2F157" w14:textId="4BC7BB2D" w:rsidR="005C10D7" w:rsidRDefault="005E52B4">
      <w:pPr>
        <w:pStyle w:val="TOC2"/>
        <w:rPr>
          <w:rFonts w:asciiTheme="minorHAnsi" w:eastAsiaTheme="minorEastAsia" w:hAnsiTheme="minorHAnsi" w:cstheme="minorBidi"/>
          <w:sz w:val="22"/>
          <w:szCs w:val="22"/>
          <w:lang w:eastAsia="en-AU"/>
        </w:rPr>
      </w:pPr>
      <w:hyperlink w:anchor="_Toc78958805" w:history="1">
        <w:r w:rsidR="005C10D7" w:rsidRPr="00EF2CC1">
          <w:rPr>
            <w:rStyle w:val="Hyperlink"/>
            <w:rFonts w:eastAsiaTheme="minorHAnsi"/>
          </w:rPr>
          <w:t>Orthopaedic surgery</w:t>
        </w:r>
        <w:r w:rsidR="005C10D7">
          <w:rPr>
            <w:webHidden/>
          </w:rPr>
          <w:tab/>
        </w:r>
        <w:r w:rsidR="005C10D7">
          <w:rPr>
            <w:webHidden/>
          </w:rPr>
          <w:fldChar w:fldCharType="begin"/>
        </w:r>
        <w:r w:rsidR="005C10D7">
          <w:rPr>
            <w:webHidden/>
          </w:rPr>
          <w:instrText xml:space="preserve"> PAGEREF _Toc78958805 \h </w:instrText>
        </w:r>
        <w:r w:rsidR="005C10D7">
          <w:rPr>
            <w:webHidden/>
          </w:rPr>
        </w:r>
        <w:r w:rsidR="005C10D7">
          <w:rPr>
            <w:webHidden/>
          </w:rPr>
          <w:fldChar w:fldCharType="separate"/>
        </w:r>
        <w:r w:rsidR="005C10D7">
          <w:rPr>
            <w:webHidden/>
          </w:rPr>
          <w:t>67</w:t>
        </w:r>
        <w:r w:rsidR="005C10D7">
          <w:rPr>
            <w:webHidden/>
          </w:rPr>
          <w:fldChar w:fldCharType="end"/>
        </w:r>
      </w:hyperlink>
    </w:p>
    <w:p w14:paraId="4DE1820D" w14:textId="7CD5E4B3" w:rsidR="005C10D7" w:rsidRDefault="005E52B4">
      <w:pPr>
        <w:pStyle w:val="TOC2"/>
        <w:rPr>
          <w:rFonts w:asciiTheme="minorHAnsi" w:eastAsiaTheme="minorEastAsia" w:hAnsiTheme="minorHAnsi" w:cstheme="minorBidi"/>
          <w:sz w:val="22"/>
          <w:szCs w:val="22"/>
          <w:lang w:eastAsia="en-AU"/>
        </w:rPr>
      </w:pPr>
      <w:hyperlink w:anchor="_Toc78958806" w:history="1">
        <w:r w:rsidR="005C10D7" w:rsidRPr="00EF2CC1">
          <w:rPr>
            <w:rStyle w:val="Hyperlink"/>
            <w:rFonts w:eastAsiaTheme="minorHAnsi"/>
          </w:rPr>
          <w:t>Treatment</w:t>
        </w:r>
        <w:r w:rsidR="005C10D7">
          <w:rPr>
            <w:webHidden/>
          </w:rPr>
          <w:tab/>
        </w:r>
        <w:r w:rsidR="005C10D7">
          <w:rPr>
            <w:webHidden/>
          </w:rPr>
          <w:fldChar w:fldCharType="begin"/>
        </w:r>
        <w:r w:rsidR="005C10D7">
          <w:rPr>
            <w:webHidden/>
          </w:rPr>
          <w:instrText xml:space="preserve"> PAGEREF _Toc78958806 \h </w:instrText>
        </w:r>
        <w:r w:rsidR="005C10D7">
          <w:rPr>
            <w:webHidden/>
          </w:rPr>
        </w:r>
        <w:r w:rsidR="005C10D7">
          <w:rPr>
            <w:webHidden/>
          </w:rPr>
          <w:fldChar w:fldCharType="separate"/>
        </w:r>
        <w:r w:rsidR="005C10D7">
          <w:rPr>
            <w:webHidden/>
          </w:rPr>
          <w:t>68</w:t>
        </w:r>
        <w:r w:rsidR="005C10D7">
          <w:rPr>
            <w:webHidden/>
          </w:rPr>
          <w:fldChar w:fldCharType="end"/>
        </w:r>
      </w:hyperlink>
    </w:p>
    <w:p w14:paraId="5F4718B1" w14:textId="429EE390" w:rsidR="005C10D7" w:rsidRDefault="005E52B4">
      <w:pPr>
        <w:pStyle w:val="TOC2"/>
        <w:rPr>
          <w:rFonts w:asciiTheme="minorHAnsi" w:eastAsiaTheme="minorEastAsia" w:hAnsiTheme="minorHAnsi" w:cstheme="minorBidi"/>
          <w:sz w:val="22"/>
          <w:szCs w:val="22"/>
          <w:lang w:eastAsia="en-AU"/>
        </w:rPr>
      </w:pPr>
      <w:hyperlink w:anchor="_Toc78958807" w:history="1">
        <w:r w:rsidR="005C10D7" w:rsidRPr="00EF2CC1">
          <w:rPr>
            <w:rStyle w:val="Hyperlink"/>
            <w:rFonts w:eastAsiaTheme="minorHAnsi"/>
          </w:rPr>
          <w:t>Gynaecologic surgery</w:t>
        </w:r>
        <w:r w:rsidR="005C10D7">
          <w:rPr>
            <w:webHidden/>
          </w:rPr>
          <w:tab/>
        </w:r>
        <w:r w:rsidR="005C10D7">
          <w:rPr>
            <w:webHidden/>
          </w:rPr>
          <w:fldChar w:fldCharType="begin"/>
        </w:r>
        <w:r w:rsidR="005C10D7">
          <w:rPr>
            <w:webHidden/>
          </w:rPr>
          <w:instrText xml:space="preserve"> PAGEREF _Toc78958807 \h </w:instrText>
        </w:r>
        <w:r w:rsidR="005C10D7">
          <w:rPr>
            <w:webHidden/>
          </w:rPr>
        </w:r>
        <w:r w:rsidR="005C10D7">
          <w:rPr>
            <w:webHidden/>
          </w:rPr>
          <w:fldChar w:fldCharType="separate"/>
        </w:r>
        <w:r w:rsidR="005C10D7">
          <w:rPr>
            <w:webHidden/>
          </w:rPr>
          <w:t>69</w:t>
        </w:r>
        <w:r w:rsidR="005C10D7">
          <w:rPr>
            <w:webHidden/>
          </w:rPr>
          <w:fldChar w:fldCharType="end"/>
        </w:r>
      </w:hyperlink>
    </w:p>
    <w:p w14:paraId="458B34B0" w14:textId="12768E30" w:rsidR="005C10D7" w:rsidRDefault="005E52B4">
      <w:pPr>
        <w:pStyle w:val="TOC2"/>
        <w:rPr>
          <w:rFonts w:asciiTheme="minorHAnsi" w:eastAsiaTheme="minorEastAsia" w:hAnsiTheme="minorHAnsi" w:cstheme="minorBidi"/>
          <w:sz w:val="22"/>
          <w:szCs w:val="22"/>
          <w:lang w:eastAsia="en-AU"/>
        </w:rPr>
      </w:pPr>
      <w:hyperlink w:anchor="_Toc78958808" w:history="1">
        <w:r w:rsidR="005C10D7" w:rsidRPr="00EF2CC1">
          <w:rPr>
            <w:rStyle w:val="Hyperlink"/>
          </w:rPr>
          <w:t>Major gastrointestinal surgery</w:t>
        </w:r>
        <w:r w:rsidR="005C10D7">
          <w:rPr>
            <w:webHidden/>
          </w:rPr>
          <w:tab/>
        </w:r>
        <w:r w:rsidR="005C10D7">
          <w:rPr>
            <w:webHidden/>
          </w:rPr>
          <w:fldChar w:fldCharType="begin"/>
        </w:r>
        <w:r w:rsidR="005C10D7">
          <w:rPr>
            <w:webHidden/>
          </w:rPr>
          <w:instrText xml:space="preserve"> PAGEREF _Toc78958808 \h </w:instrText>
        </w:r>
        <w:r w:rsidR="005C10D7">
          <w:rPr>
            <w:webHidden/>
          </w:rPr>
        </w:r>
        <w:r w:rsidR="005C10D7">
          <w:rPr>
            <w:webHidden/>
          </w:rPr>
          <w:fldChar w:fldCharType="separate"/>
        </w:r>
        <w:r w:rsidR="005C10D7">
          <w:rPr>
            <w:webHidden/>
          </w:rPr>
          <w:t>71</w:t>
        </w:r>
        <w:r w:rsidR="005C10D7">
          <w:rPr>
            <w:webHidden/>
          </w:rPr>
          <w:fldChar w:fldCharType="end"/>
        </w:r>
      </w:hyperlink>
    </w:p>
    <w:p w14:paraId="08711D7B" w14:textId="153BA958" w:rsidR="005C10D7" w:rsidRDefault="005E52B4">
      <w:pPr>
        <w:pStyle w:val="TOC2"/>
        <w:rPr>
          <w:rFonts w:asciiTheme="minorHAnsi" w:eastAsiaTheme="minorEastAsia" w:hAnsiTheme="minorHAnsi" w:cstheme="minorBidi"/>
          <w:sz w:val="22"/>
          <w:szCs w:val="22"/>
          <w:lang w:eastAsia="en-AU"/>
        </w:rPr>
      </w:pPr>
      <w:hyperlink w:anchor="_Toc78958809" w:history="1">
        <w:r w:rsidR="005C10D7" w:rsidRPr="00EF2CC1">
          <w:rPr>
            <w:rStyle w:val="Hyperlink"/>
          </w:rPr>
          <w:t>Cardiothoracic surgery</w:t>
        </w:r>
        <w:r w:rsidR="005C10D7">
          <w:rPr>
            <w:webHidden/>
          </w:rPr>
          <w:tab/>
        </w:r>
        <w:r w:rsidR="005C10D7">
          <w:rPr>
            <w:webHidden/>
          </w:rPr>
          <w:fldChar w:fldCharType="begin"/>
        </w:r>
        <w:r w:rsidR="005C10D7">
          <w:rPr>
            <w:webHidden/>
          </w:rPr>
          <w:instrText xml:space="preserve"> PAGEREF _Toc78958809 \h </w:instrText>
        </w:r>
        <w:r w:rsidR="005C10D7">
          <w:rPr>
            <w:webHidden/>
          </w:rPr>
        </w:r>
        <w:r w:rsidR="005C10D7">
          <w:rPr>
            <w:webHidden/>
          </w:rPr>
          <w:fldChar w:fldCharType="separate"/>
        </w:r>
        <w:r w:rsidR="005C10D7">
          <w:rPr>
            <w:webHidden/>
          </w:rPr>
          <w:t>72</w:t>
        </w:r>
        <w:r w:rsidR="005C10D7">
          <w:rPr>
            <w:webHidden/>
          </w:rPr>
          <w:fldChar w:fldCharType="end"/>
        </w:r>
      </w:hyperlink>
    </w:p>
    <w:p w14:paraId="7684AD7B" w14:textId="0F5B3A55" w:rsidR="005C10D7" w:rsidRDefault="005E52B4">
      <w:pPr>
        <w:pStyle w:val="TOC1"/>
        <w:rPr>
          <w:rFonts w:asciiTheme="minorHAnsi" w:eastAsiaTheme="minorEastAsia" w:hAnsiTheme="minorHAnsi" w:cstheme="minorBidi"/>
          <w:b w:val="0"/>
          <w:sz w:val="22"/>
          <w:szCs w:val="22"/>
          <w:lang w:eastAsia="en-AU"/>
        </w:rPr>
      </w:pPr>
      <w:hyperlink w:anchor="_Toc78958810" w:history="1">
        <w:r w:rsidR="005C10D7" w:rsidRPr="00EF2CC1">
          <w:rPr>
            <w:rStyle w:val="Hyperlink"/>
          </w:rPr>
          <w:t>Appendix 6: Recommendations and practice points relevant to preoperative anaemia assessment and management from PBM Module 2 – perioperative</w:t>
        </w:r>
        <w:r w:rsidR="005C10D7">
          <w:rPr>
            <w:webHidden/>
          </w:rPr>
          <w:tab/>
        </w:r>
        <w:r w:rsidR="005C10D7">
          <w:rPr>
            <w:webHidden/>
          </w:rPr>
          <w:fldChar w:fldCharType="begin"/>
        </w:r>
        <w:r w:rsidR="005C10D7">
          <w:rPr>
            <w:webHidden/>
          </w:rPr>
          <w:instrText xml:space="preserve"> PAGEREF _Toc78958810 \h </w:instrText>
        </w:r>
        <w:r w:rsidR="005C10D7">
          <w:rPr>
            <w:webHidden/>
          </w:rPr>
        </w:r>
        <w:r w:rsidR="005C10D7">
          <w:rPr>
            <w:webHidden/>
          </w:rPr>
          <w:fldChar w:fldCharType="separate"/>
        </w:r>
        <w:r w:rsidR="005C10D7">
          <w:rPr>
            <w:webHidden/>
          </w:rPr>
          <w:t>74</w:t>
        </w:r>
        <w:r w:rsidR="005C10D7">
          <w:rPr>
            <w:webHidden/>
          </w:rPr>
          <w:fldChar w:fldCharType="end"/>
        </w:r>
      </w:hyperlink>
    </w:p>
    <w:p w14:paraId="5B00318E" w14:textId="59C7EDCE" w:rsidR="005C10D7" w:rsidRDefault="005E52B4">
      <w:pPr>
        <w:pStyle w:val="TOC2"/>
        <w:rPr>
          <w:rFonts w:asciiTheme="minorHAnsi" w:eastAsiaTheme="minorEastAsia" w:hAnsiTheme="minorHAnsi" w:cstheme="minorBidi"/>
          <w:sz w:val="22"/>
          <w:szCs w:val="22"/>
          <w:lang w:eastAsia="en-AU"/>
        </w:rPr>
      </w:pPr>
      <w:hyperlink w:anchor="_Toc78958811" w:history="1">
        <w:r w:rsidR="005C10D7" w:rsidRPr="00EF2CC1">
          <w:rPr>
            <w:rStyle w:val="Hyperlink"/>
          </w:rPr>
          <w:t>Patient blood management program</w:t>
        </w:r>
        <w:r w:rsidR="005C10D7">
          <w:rPr>
            <w:webHidden/>
          </w:rPr>
          <w:tab/>
        </w:r>
        <w:r w:rsidR="005C10D7">
          <w:rPr>
            <w:webHidden/>
          </w:rPr>
          <w:fldChar w:fldCharType="begin"/>
        </w:r>
        <w:r w:rsidR="005C10D7">
          <w:rPr>
            <w:webHidden/>
          </w:rPr>
          <w:instrText xml:space="preserve"> PAGEREF _Toc78958811 \h </w:instrText>
        </w:r>
        <w:r w:rsidR="005C10D7">
          <w:rPr>
            <w:webHidden/>
          </w:rPr>
        </w:r>
        <w:r w:rsidR="005C10D7">
          <w:rPr>
            <w:webHidden/>
          </w:rPr>
          <w:fldChar w:fldCharType="separate"/>
        </w:r>
        <w:r w:rsidR="005C10D7">
          <w:rPr>
            <w:webHidden/>
          </w:rPr>
          <w:t>74</w:t>
        </w:r>
        <w:r w:rsidR="005C10D7">
          <w:rPr>
            <w:webHidden/>
          </w:rPr>
          <w:fldChar w:fldCharType="end"/>
        </w:r>
      </w:hyperlink>
    </w:p>
    <w:p w14:paraId="317A07C0" w14:textId="271D6275" w:rsidR="005C10D7" w:rsidRDefault="005E52B4">
      <w:pPr>
        <w:pStyle w:val="TOC2"/>
        <w:rPr>
          <w:rFonts w:asciiTheme="minorHAnsi" w:eastAsiaTheme="minorEastAsia" w:hAnsiTheme="minorHAnsi" w:cstheme="minorBidi"/>
          <w:sz w:val="22"/>
          <w:szCs w:val="22"/>
          <w:lang w:eastAsia="en-AU"/>
        </w:rPr>
      </w:pPr>
      <w:hyperlink w:anchor="_Toc78958812" w:history="1">
        <w:r w:rsidR="005C10D7" w:rsidRPr="00EF2CC1">
          <w:rPr>
            <w:rStyle w:val="Hyperlink"/>
          </w:rPr>
          <w:t>Anaemia and haemostasis management</w:t>
        </w:r>
        <w:r w:rsidR="005C10D7">
          <w:rPr>
            <w:webHidden/>
          </w:rPr>
          <w:tab/>
        </w:r>
        <w:r w:rsidR="005C10D7">
          <w:rPr>
            <w:webHidden/>
          </w:rPr>
          <w:fldChar w:fldCharType="begin"/>
        </w:r>
        <w:r w:rsidR="005C10D7">
          <w:rPr>
            <w:webHidden/>
          </w:rPr>
          <w:instrText xml:space="preserve"> PAGEREF _Toc78958812 \h </w:instrText>
        </w:r>
        <w:r w:rsidR="005C10D7">
          <w:rPr>
            <w:webHidden/>
          </w:rPr>
        </w:r>
        <w:r w:rsidR="005C10D7">
          <w:rPr>
            <w:webHidden/>
          </w:rPr>
          <w:fldChar w:fldCharType="separate"/>
        </w:r>
        <w:r w:rsidR="005C10D7">
          <w:rPr>
            <w:webHidden/>
          </w:rPr>
          <w:t>74</w:t>
        </w:r>
        <w:r w:rsidR="005C10D7">
          <w:rPr>
            <w:webHidden/>
          </w:rPr>
          <w:fldChar w:fldCharType="end"/>
        </w:r>
      </w:hyperlink>
    </w:p>
    <w:p w14:paraId="3188318F" w14:textId="59A4A8E3" w:rsidR="005C10D7" w:rsidRDefault="005E52B4">
      <w:pPr>
        <w:pStyle w:val="TOC2"/>
        <w:rPr>
          <w:rFonts w:asciiTheme="minorHAnsi" w:eastAsiaTheme="minorEastAsia" w:hAnsiTheme="minorHAnsi" w:cstheme="minorBidi"/>
          <w:sz w:val="22"/>
          <w:szCs w:val="22"/>
          <w:lang w:eastAsia="en-AU"/>
        </w:rPr>
      </w:pPr>
      <w:hyperlink w:anchor="_Toc78958813" w:history="1">
        <w:r w:rsidR="005C10D7" w:rsidRPr="00EF2CC1">
          <w:rPr>
            <w:rStyle w:val="Hyperlink"/>
          </w:rPr>
          <w:t>Intraoperative</w:t>
        </w:r>
        <w:r w:rsidR="005C10D7">
          <w:rPr>
            <w:webHidden/>
          </w:rPr>
          <w:tab/>
        </w:r>
        <w:r w:rsidR="005C10D7">
          <w:rPr>
            <w:webHidden/>
          </w:rPr>
          <w:fldChar w:fldCharType="begin"/>
        </w:r>
        <w:r w:rsidR="005C10D7">
          <w:rPr>
            <w:webHidden/>
          </w:rPr>
          <w:instrText xml:space="preserve"> PAGEREF _Toc78958813 \h </w:instrText>
        </w:r>
        <w:r w:rsidR="005C10D7">
          <w:rPr>
            <w:webHidden/>
          </w:rPr>
        </w:r>
        <w:r w:rsidR="005C10D7">
          <w:rPr>
            <w:webHidden/>
          </w:rPr>
          <w:fldChar w:fldCharType="separate"/>
        </w:r>
        <w:r w:rsidR="005C10D7">
          <w:rPr>
            <w:webHidden/>
          </w:rPr>
          <w:t>75</w:t>
        </w:r>
        <w:r w:rsidR="005C10D7">
          <w:rPr>
            <w:webHidden/>
          </w:rPr>
          <w:fldChar w:fldCharType="end"/>
        </w:r>
      </w:hyperlink>
    </w:p>
    <w:p w14:paraId="50E20880" w14:textId="19BD9AB4" w:rsidR="005C10D7" w:rsidRDefault="005E52B4">
      <w:pPr>
        <w:pStyle w:val="TOC2"/>
        <w:rPr>
          <w:rFonts w:asciiTheme="minorHAnsi" w:eastAsiaTheme="minorEastAsia" w:hAnsiTheme="minorHAnsi" w:cstheme="minorBidi"/>
          <w:sz w:val="22"/>
          <w:szCs w:val="22"/>
          <w:lang w:eastAsia="en-AU"/>
        </w:rPr>
      </w:pPr>
      <w:hyperlink w:anchor="_Toc78958814" w:history="1">
        <w:r w:rsidR="005C10D7" w:rsidRPr="00EF2CC1">
          <w:rPr>
            <w:rStyle w:val="Hyperlink"/>
          </w:rPr>
          <w:t>Postoperative</w:t>
        </w:r>
        <w:r w:rsidR="005C10D7">
          <w:rPr>
            <w:webHidden/>
          </w:rPr>
          <w:tab/>
        </w:r>
        <w:r w:rsidR="005C10D7">
          <w:rPr>
            <w:webHidden/>
          </w:rPr>
          <w:fldChar w:fldCharType="begin"/>
        </w:r>
        <w:r w:rsidR="005C10D7">
          <w:rPr>
            <w:webHidden/>
          </w:rPr>
          <w:instrText xml:space="preserve"> PAGEREF _Toc78958814 \h </w:instrText>
        </w:r>
        <w:r w:rsidR="005C10D7">
          <w:rPr>
            <w:webHidden/>
          </w:rPr>
        </w:r>
        <w:r w:rsidR="005C10D7">
          <w:rPr>
            <w:webHidden/>
          </w:rPr>
          <w:fldChar w:fldCharType="separate"/>
        </w:r>
        <w:r w:rsidR="005C10D7">
          <w:rPr>
            <w:webHidden/>
          </w:rPr>
          <w:t>77</w:t>
        </w:r>
        <w:r w:rsidR="005C10D7">
          <w:rPr>
            <w:webHidden/>
          </w:rPr>
          <w:fldChar w:fldCharType="end"/>
        </w:r>
      </w:hyperlink>
    </w:p>
    <w:p w14:paraId="0A6CF045" w14:textId="3222A5F2" w:rsidR="005C10D7" w:rsidRDefault="005E52B4">
      <w:pPr>
        <w:pStyle w:val="TOC1"/>
        <w:rPr>
          <w:rFonts w:asciiTheme="minorHAnsi" w:eastAsiaTheme="minorEastAsia" w:hAnsiTheme="minorHAnsi" w:cstheme="minorBidi"/>
          <w:b w:val="0"/>
          <w:sz w:val="22"/>
          <w:szCs w:val="22"/>
          <w:lang w:eastAsia="en-AU"/>
        </w:rPr>
      </w:pPr>
      <w:hyperlink w:anchor="_Toc78958815" w:history="1">
        <w:r w:rsidR="005C10D7" w:rsidRPr="00EF2CC1">
          <w:rPr>
            <w:rStyle w:val="Hyperlink"/>
          </w:rPr>
          <w:t>Appendix 7: Impact of anaemia severity on length of stay and readmission rates</w:t>
        </w:r>
        <w:r w:rsidR="005C10D7">
          <w:rPr>
            <w:webHidden/>
          </w:rPr>
          <w:tab/>
        </w:r>
        <w:r w:rsidR="005C10D7">
          <w:rPr>
            <w:webHidden/>
          </w:rPr>
          <w:fldChar w:fldCharType="begin"/>
        </w:r>
        <w:r w:rsidR="005C10D7">
          <w:rPr>
            <w:webHidden/>
          </w:rPr>
          <w:instrText xml:space="preserve"> PAGEREF _Toc78958815 \h </w:instrText>
        </w:r>
        <w:r w:rsidR="005C10D7">
          <w:rPr>
            <w:webHidden/>
          </w:rPr>
        </w:r>
        <w:r w:rsidR="005C10D7">
          <w:rPr>
            <w:webHidden/>
          </w:rPr>
          <w:fldChar w:fldCharType="separate"/>
        </w:r>
        <w:r w:rsidR="005C10D7">
          <w:rPr>
            <w:webHidden/>
          </w:rPr>
          <w:t>78</w:t>
        </w:r>
        <w:r w:rsidR="005C10D7">
          <w:rPr>
            <w:webHidden/>
          </w:rPr>
          <w:fldChar w:fldCharType="end"/>
        </w:r>
      </w:hyperlink>
    </w:p>
    <w:p w14:paraId="08B8C41F" w14:textId="093AE425" w:rsidR="00FB1F6E" w:rsidRDefault="00AD784C" w:rsidP="00D079AA">
      <w:pPr>
        <w:pStyle w:val="Body"/>
      </w:pPr>
      <w:r>
        <w:fldChar w:fldCharType="end"/>
      </w:r>
    </w:p>
    <w:p w14:paraId="31059EDB" w14:textId="77777777" w:rsidR="007B7978" w:rsidRDefault="007B7978" w:rsidP="007B7978">
      <w:pPr>
        <w:pStyle w:val="Heading1"/>
        <w:sectPr w:rsidR="007B7978" w:rsidSect="00454A7D">
          <w:headerReference w:type="first" r:id="rId22"/>
          <w:pgSz w:w="11906" w:h="16838" w:code="9"/>
          <w:pgMar w:top="1418" w:right="1304" w:bottom="1134" w:left="1304" w:header="680" w:footer="851" w:gutter="0"/>
          <w:cols w:space="340"/>
          <w:titlePg/>
          <w:docGrid w:linePitch="360"/>
        </w:sectPr>
      </w:pPr>
    </w:p>
    <w:p w14:paraId="2666616A" w14:textId="77777777" w:rsidR="00576948" w:rsidRPr="008843F0" w:rsidRDefault="00576948">
      <w:pPr>
        <w:pStyle w:val="Heading1"/>
      </w:pPr>
      <w:bookmarkStart w:id="2" w:name="_Toc61867181"/>
      <w:bookmarkStart w:id="3" w:name="_Toc69106565"/>
      <w:bookmarkStart w:id="4" w:name="_Toc72314116"/>
      <w:bookmarkStart w:id="5" w:name="_Toc78958766"/>
      <w:bookmarkStart w:id="6" w:name="_Hlk66712316"/>
      <w:r w:rsidRPr="007B7978">
        <w:lastRenderedPageBreak/>
        <w:t>Acknowledgements</w:t>
      </w:r>
      <w:bookmarkEnd w:id="2"/>
      <w:bookmarkEnd w:id="3"/>
      <w:bookmarkEnd w:id="4"/>
      <w:bookmarkEnd w:id="5"/>
    </w:p>
    <w:p w14:paraId="40B3DB87" w14:textId="0F5A7AA6" w:rsidR="00576948" w:rsidRPr="008843F0" w:rsidRDefault="00576948" w:rsidP="00576948">
      <w:pPr>
        <w:pStyle w:val="Body"/>
      </w:pPr>
      <w:r w:rsidRPr="008843F0">
        <w:t>Blood Matters thanks all the health services that contributed data to this</w:t>
      </w:r>
      <w:r w:rsidR="00EE69D7">
        <w:rPr>
          <w:i/>
          <w:iCs/>
        </w:rPr>
        <w:t xml:space="preserve"> </w:t>
      </w:r>
      <w:r w:rsidRPr="002B2FD9">
        <w:rPr>
          <w:i/>
          <w:iCs/>
        </w:rPr>
        <w:t>Perioperative anaemia assessment and management in elective surgical procedures</w:t>
      </w:r>
      <w:r w:rsidR="00EE69D7">
        <w:rPr>
          <w:i/>
          <w:iCs/>
        </w:rPr>
        <w:t>:</w:t>
      </w:r>
      <w:r w:rsidRPr="002B2FD9">
        <w:rPr>
          <w:i/>
          <w:iCs/>
        </w:rPr>
        <w:t xml:space="preserve"> preoperative, intraoperative and postoperative</w:t>
      </w:r>
      <w:r w:rsidR="00EE69D7">
        <w:rPr>
          <w:i/>
          <w:iCs/>
        </w:rPr>
        <w:t xml:space="preserve"> audit 2020</w:t>
      </w:r>
      <w:r w:rsidRPr="008843F0">
        <w:t>.</w:t>
      </w:r>
    </w:p>
    <w:p w14:paraId="4EF9907A" w14:textId="77777777" w:rsidR="00576948" w:rsidRPr="008843F0" w:rsidRDefault="00576948" w:rsidP="00576948">
      <w:pPr>
        <w:pStyle w:val="Body"/>
      </w:pPr>
      <w:r w:rsidRPr="008843F0">
        <w:t xml:space="preserve">The data submitted has enabled us to prepare this report and compare the results with the </w:t>
      </w:r>
      <w:r w:rsidRPr="008843F0">
        <w:rPr>
          <w:i/>
        </w:rPr>
        <w:t xml:space="preserve">Clinical audit of preoperative anaemia assessment and management in elective surgical procedures </w:t>
      </w:r>
      <w:r w:rsidRPr="008843F0">
        <w:t>audit conducted in 2015.</w:t>
      </w:r>
    </w:p>
    <w:p w14:paraId="57286845" w14:textId="77777777" w:rsidR="00576948" w:rsidRPr="008843F0" w:rsidRDefault="00576948" w:rsidP="00576948">
      <w:pPr>
        <w:pStyle w:val="Body"/>
      </w:pPr>
      <w:r w:rsidRPr="008843F0">
        <w:t xml:space="preserve">Thank you to the project team </w:t>
      </w:r>
      <w:r w:rsidRPr="001059AB">
        <w:t>involved</w:t>
      </w:r>
      <w:r w:rsidRPr="008843F0">
        <w:t xml:space="preserve"> in the various stages of the audit:</w:t>
      </w:r>
    </w:p>
    <w:p w14:paraId="4434F1A3" w14:textId="77777777" w:rsidR="00576948" w:rsidRPr="002C2F9D" w:rsidRDefault="00576948" w:rsidP="00576948">
      <w:pPr>
        <w:pStyle w:val="Bullet1"/>
      </w:pPr>
      <w:r w:rsidRPr="002C2F9D">
        <w:t>Blood Matters team</w:t>
      </w:r>
    </w:p>
    <w:p w14:paraId="3E26DA80" w14:textId="77777777" w:rsidR="00576948" w:rsidRPr="002C2F9D" w:rsidRDefault="00576948" w:rsidP="00576948">
      <w:pPr>
        <w:pStyle w:val="Bullet1"/>
      </w:pPr>
      <w:r w:rsidRPr="002C2F9D">
        <w:t>Blood Matters Advisory Committee.</w:t>
      </w:r>
    </w:p>
    <w:p w14:paraId="739923A2" w14:textId="77777777" w:rsidR="00576948" w:rsidRPr="008843F0" w:rsidRDefault="00576948" w:rsidP="00576948">
      <w:pPr>
        <w:pStyle w:val="Heading1"/>
      </w:pPr>
      <w:r w:rsidRPr="008843F0">
        <w:br w:type="page"/>
      </w:r>
      <w:bookmarkStart w:id="7" w:name="_Toc61867182"/>
      <w:bookmarkStart w:id="8" w:name="_Toc69106566"/>
      <w:bookmarkStart w:id="9" w:name="_Toc72314117"/>
      <w:bookmarkStart w:id="10" w:name="_Toc78958767"/>
      <w:r w:rsidRPr="001059AB">
        <w:lastRenderedPageBreak/>
        <w:t>Abbreviations</w:t>
      </w:r>
      <w:r w:rsidRPr="008843F0">
        <w:t xml:space="preserve">, </w:t>
      </w:r>
      <w:r w:rsidRPr="001059AB">
        <w:t>acronyms</w:t>
      </w:r>
      <w:r w:rsidRPr="008843F0">
        <w:t xml:space="preserve"> and definitions</w:t>
      </w:r>
      <w:bookmarkEnd w:id="7"/>
      <w:bookmarkEnd w:id="8"/>
      <w:bookmarkEnd w:id="9"/>
      <w:bookmarkEnd w:id="10"/>
    </w:p>
    <w:p w14:paraId="54F8F476" w14:textId="77777777" w:rsidR="00576948" w:rsidRPr="008843F0" w:rsidRDefault="00576948" w:rsidP="00576948">
      <w:pPr>
        <w:pStyle w:val="Heading2"/>
      </w:pPr>
      <w:bookmarkStart w:id="11" w:name="_Toc323798639"/>
      <w:bookmarkStart w:id="12" w:name="_Toc61867183"/>
      <w:bookmarkStart w:id="13" w:name="_Toc69106567"/>
      <w:bookmarkStart w:id="14" w:name="_Toc72314118"/>
      <w:bookmarkStart w:id="15" w:name="_Toc75325128"/>
      <w:bookmarkStart w:id="16" w:name="_Toc78958768"/>
      <w:bookmarkStart w:id="17" w:name="_Hlk66441291"/>
      <w:r w:rsidRPr="008843F0">
        <w:t>Definitions</w:t>
      </w:r>
      <w:bookmarkEnd w:id="11"/>
      <w:bookmarkEnd w:id="12"/>
      <w:bookmarkEnd w:id="13"/>
      <w:bookmarkEnd w:id="14"/>
      <w:bookmarkEnd w:id="15"/>
      <w:bookmarkEnd w:id="16"/>
    </w:p>
    <w:bookmarkEnd w:id="17"/>
    <w:p w14:paraId="63D63394" w14:textId="1A10C4E0" w:rsidR="00EE69D7" w:rsidRPr="008843F0" w:rsidRDefault="00EE69D7" w:rsidP="00EE69D7">
      <w:pPr>
        <w:pStyle w:val="Body"/>
      </w:pPr>
      <w:r w:rsidRPr="00085EE3">
        <w:rPr>
          <w:b/>
          <w:bCs/>
          <w:lang w:val="en"/>
        </w:rPr>
        <w:t>Anaemia</w:t>
      </w:r>
      <w:r w:rsidR="00085EE3">
        <w:rPr>
          <w:lang w:val="en"/>
        </w:rPr>
        <w:t xml:space="preserve">: </w:t>
      </w:r>
      <w:r w:rsidR="000B3101">
        <w:rPr>
          <w:lang w:val="en"/>
        </w:rPr>
        <w:t>M</w:t>
      </w:r>
      <w:r w:rsidRPr="00085EE3">
        <w:rPr>
          <w:lang w:val="en"/>
        </w:rPr>
        <w:t>odule</w:t>
      </w:r>
      <w:r w:rsidRPr="008843F0">
        <w:rPr>
          <w:lang w:val="en"/>
        </w:rPr>
        <w:t xml:space="preserve"> 2 defines </w:t>
      </w:r>
      <w:r w:rsidRPr="002B2FD9">
        <w:rPr>
          <w:lang w:val="en"/>
        </w:rPr>
        <w:t>anaemia</w:t>
      </w:r>
      <w:r w:rsidRPr="008843F0">
        <w:rPr>
          <w:lang w:val="en"/>
        </w:rPr>
        <w:t xml:space="preserve"> as haemoglobin level &lt;</w:t>
      </w:r>
      <w:r>
        <w:rPr>
          <w:lang w:val="en"/>
        </w:rPr>
        <w:t> </w:t>
      </w:r>
      <w:r w:rsidRPr="008843F0">
        <w:rPr>
          <w:lang w:val="en"/>
        </w:rPr>
        <w:t>130</w:t>
      </w:r>
      <w:r>
        <w:rPr>
          <w:lang w:val="en"/>
        </w:rPr>
        <w:t> </w:t>
      </w:r>
      <w:r w:rsidRPr="008843F0">
        <w:rPr>
          <w:lang w:val="en"/>
        </w:rPr>
        <w:t>g/L in males and &lt;</w:t>
      </w:r>
      <w:r>
        <w:rPr>
          <w:lang w:val="en"/>
        </w:rPr>
        <w:t> </w:t>
      </w:r>
      <w:r w:rsidRPr="008843F0">
        <w:rPr>
          <w:lang w:val="en"/>
        </w:rPr>
        <w:t>120</w:t>
      </w:r>
      <w:r>
        <w:rPr>
          <w:lang w:val="en"/>
        </w:rPr>
        <w:t> </w:t>
      </w:r>
      <w:r w:rsidRPr="008843F0">
        <w:rPr>
          <w:lang w:val="en"/>
        </w:rPr>
        <w:t>g/L in females, as defined by the World Health Organization (WHO)</w:t>
      </w:r>
      <w:r>
        <w:rPr>
          <w:lang w:val="en"/>
        </w:rPr>
        <w:t>.</w:t>
      </w:r>
    </w:p>
    <w:p w14:paraId="6DC74162" w14:textId="1D027672" w:rsidR="00576948" w:rsidRDefault="00576948" w:rsidP="00576948">
      <w:pPr>
        <w:pStyle w:val="Body"/>
      </w:pPr>
      <w:r w:rsidRPr="002B2FD9">
        <w:rPr>
          <w:b/>
          <w:bCs/>
          <w:lang w:val="en"/>
        </w:rPr>
        <w:t>Elective surgery</w:t>
      </w:r>
      <w:r w:rsidRPr="008843F0">
        <w:rPr>
          <w:lang w:val="en"/>
        </w:rPr>
        <w:t xml:space="preserve">: planned, </w:t>
      </w:r>
      <w:r w:rsidRPr="008843F0">
        <w:t xml:space="preserve">non-emergency surgery that is medically necessary or beneficial to the patient but does not need be done at a </w:t>
      </w:r>
      <w:proofErr w:type="gramStart"/>
      <w:r w:rsidRPr="008843F0">
        <w:t>particular time</w:t>
      </w:r>
      <w:proofErr w:type="gramEnd"/>
      <w:r w:rsidRPr="008843F0">
        <w:t>.</w:t>
      </w:r>
    </w:p>
    <w:p w14:paraId="0286A505" w14:textId="0D39AA5B" w:rsidR="00085EE3" w:rsidRPr="00085EE3" w:rsidRDefault="00085EE3" w:rsidP="00576948">
      <w:pPr>
        <w:pStyle w:val="Body"/>
      </w:pPr>
      <w:r>
        <w:rPr>
          <w:b/>
          <w:bCs/>
        </w:rPr>
        <w:t>Pathway</w:t>
      </w:r>
      <w:r>
        <w:t>:</w:t>
      </w:r>
      <w:r w:rsidRPr="00085EE3">
        <w:t xml:space="preserve"> </w:t>
      </w:r>
      <w:r w:rsidRPr="008843F0">
        <w:t>a course of action or route to guide actions. It is expected that preoperative anaemia screening pathways for surgical patients with or at risk of anaemia will vary across health services.</w:t>
      </w:r>
    </w:p>
    <w:p w14:paraId="102449BC" w14:textId="6BA51C7D" w:rsidR="00576948" w:rsidRPr="008843F0" w:rsidRDefault="00576948" w:rsidP="00576948">
      <w:pPr>
        <w:pStyle w:val="Body"/>
        <w:rPr>
          <w:lang w:val="en"/>
        </w:rPr>
      </w:pPr>
      <w:r w:rsidRPr="002B2FD9">
        <w:rPr>
          <w:b/>
          <w:bCs/>
          <w:lang w:val="en"/>
        </w:rPr>
        <w:t>Patient blood management</w:t>
      </w:r>
      <w:r w:rsidRPr="008843F0">
        <w:rPr>
          <w:lang w:val="en"/>
        </w:rPr>
        <w:t xml:space="preserve"> (PBM): the management and preservation of patients’ own blood to reduce or avoid the need for a blood transfusion (NBA 2012)</w:t>
      </w:r>
      <w:r w:rsidR="005157DF">
        <w:rPr>
          <w:lang w:val="en"/>
        </w:rPr>
        <w:t>.</w:t>
      </w:r>
      <w:r w:rsidRPr="008843F0" w:rsidDel="0055460F">
        <w:rPr>
          <w:vertAlign w:val="superscript"/>
          <w:lang w:val="en"/>
        </w:rPr>
        <w:t xml:space="preserve"> </w:t>
      </w:r>
    </w:p>
    <w:p w14:paraId="5B2D71F5" w14:textId="3842E5E4" w:rsidR="00576948" w:rsidRPr="008843F0" w:rsidRDefault="00576948" w:rsidP="00576948">
      <w:pPr>
        <w:pStyle w:val="Body"/>
        <w:rPr>
          <w:lang w:val="en"/>
        </w:rPr>
      </w:pPr>
      <w:r w:rsidRPr="002B2FD9">
        <w:rPr>
          <w:b/>
          <w:bCs/>
          <w:lang w:val="en"/>
        </w:rPr>
        <w:t>Preoperative period</w:t>
      </w:r>
      <w:r w:rsidRPr="008843F0">
        <w:rPr>
          <w:lang w:val="en"/>
        </w:rPr>
        <w:t>: ‘pertaining to the period before a surgical procedure. Commonly the preoperative period begins with the first preparation of the patient for surgery, such as when the surgery is scheduled’</w:t>
      </w:r>
      <w:r w:rsidR="00EE69D7" w:rsidRPr="008843F0" w:rsidDel="00EE69D7">
        <w:rPr>
          <w:lang w:val="en"/>
        </w:rPr>
        <w:t xml:space="preserve"> </w:t>
      </w:r>
      <w:r w:rsidRPr="008843F0">
        <w:rPr>
          <w:lang w:val="en"/>
        </w:rPr>
        <w:t>(Mosby 2009)</w:t>
      </w:r>
      <w:r w:rsidR="00EE69D7">
        <w:rPr>
          <w:lang w:val="en"/>
        </w:rPr>
        <w:t>.</w:t>
      </w:r>
    </w:p>
    <w:p w14:paraId="7979BAD6" w14:textId="77777777" w:rsidR="00576948" w:rsidRPr="008843F0" w:rsidRDefault="00576948" w:rsidP="00576948">
      <w:pPr>
        <w:pStyle w:val="Body"/>
        <w:rPr>
          <w:lang w:val="en"/>
        </w:rPr>
      </w:pPr>
      <w:r w:rsidRPr="002B2FD9">
        <w:rPr>
          <w:b/>
          <w:bCs/>
          <w:lang w:val="en"/>
        </w:rPr>
        <w:t>Postoperative period</w:t>
      </w:r>
      <w:r w:rsidRPr="008843F0">
        <w:rPr>
          <w:lang w:val="en"/>
        </w:rPr>
        <w:t>: defined as within seven days of surgery.</w:t>
      </w:r>
    </w:p>
    <w:p w14:paraId="51A5A7DB" w14:textId="30EA7EEF" w:rsidR="00576948" w:rsidRPr="008843F0" w:rsidRDefault="00576948" w:rsidP="00576948">
      <w:pPr>
        <w:pStyle w:val="Heading2"/>
      </w:pPr>
      <w:bookmarkStart w:id="18" w:name="_Toc75325129"/>
      <w:bookmarkStart w:id="19" w:name="_Toc69106568"/>
      <w:bookmarkStart w:id="20" w:name="_Toc72314119"/>
      <w:bookmarkStart w:id="21" w:name="_Toc78958769"/>
      <w:r w:rsidRPr="008843F0">
        <w:t>Abbreviations</w:t>
      </w:r>
      <w:bookmarkEnd w:id="18"/>
      <w:bookmarkEnd w:id="19"/>
      <w:bookmarkEnd w:id="20"/>
      <w:bookmarkEnd w:id="21"/>
    </w:p>
    <w:tbl>
      <w:tblPr>
        <w:tblStyle w:val="TableGrid1"/>
        <w:tblW w:w="8959" w:type="dxa"/>
        <w:tblLook w:val="04A0" w:firstRow="1" w:lastRow="0" w:firstColumn="1" w:lastColumn="0" w:noHBand="0" w:noVBand="1"/>
      </w:tblPr>
      <w:tblGrid>
        <w:gridCol w:w="1730"/>
        <w:gridCol w:w="7229"/>
      </w:tblGrid>
      <w:tr w:rsidR="00085EE3" w:rsidRPr="008843F0" w14:paraId="3191958F" w14:textId="77777777" w:rsidTr="002B2FD9">
        <w:trPr>
          <w:tblHeader/>
        </w:trPr>
        <w:tc>
          <w:tcPr>
            <w:tcW w:w="1730" w:type="dxa"/>
          </w:tcPr>
          <w:p w14:paraId="7292468D" w14:textId="0AD8BC93" w:rsidR="00085EE3" w:rsidRPr="00085EE3" w:rsidRDefault="00085EE3" w:rsidP="002B2FD9">
            <w:pPr>
              <w:pStyle w:val="Tablecolhead"/>
              <w:rPr>
                <w:rFonts w:eastAsia="Times"/>
              </w:rPr>
            </w:pPr>
            <w:r w:rsidRPr="00085EE3">
              <w:rPr>
                <w:rFonts w:eastAsia="Times"/>
              </w:rPr>
              <w:t>Abbreviation</w:t>
            </w:r>
          </w:p>
        </w:tc>
        <w:tc>
          <w:tcPr>
            <w:tcW w:w="7229" w:type="dxa"/>
          </w:tcPr>
          <w:p w14:paraId="70A97F9D" w14:textId="2978716F" w:rsidR="00085EE3" w:rsidRPr="00F95181" w:rsidRDefault="00085EE3" w:rsidP="002B2FD9">
            <w:pPr>
              <w:pStyle w:val="Tablecolhead"/>
              <w:rPr>
                <w:rFonts w:eastAsia="Times"/>
              </w:rPr>
            </w:pPr>
            <w:r w:rsidRPr="00F95181">
              <w:rPr>
                <w:rFonts w:eastAsia="Times"/>
              </w:rPr>
              <w:t>Definition</w:t>
            </w:r>
          </w:p>
        </w:tc>
      </w:tr>
      <w:tr w:rsidR="00576948" w:rsidRPr="008843F0" w14:paraId="576836C9" w14:textId="77777777" w:rsidTr="003C2836">
        <w:tc>
          <w:tcPr>
            <w:tcW w:w="1730" w:type="dxa"/>
          </w:tcPr>
          <w:p w14:paraId="5B2553C6" w14:textId="77777777" w:rsidR="00576948" w:rsidRPr="008843F0" w:rsidRDefault="00576948" w:rsidP="003C2836">
            <w:pPr>
              <w:pStyle w:val="Tabletext"/>
              <w:rPr>
                <w:rFonts w:eastAsia="Times"/>
              </w:rPr>
            </w:pPr>
            <w:r w:rsidRPr="008843F0">
              <w:rPr>
                <w:rFonts w:eastAsia="Times"/>
              </w:rPr>
              <w:t>ACPAN</w:t>
            </w:r>
          </w:p>
        </w:tc>
        <w:tc>
          <w:tcPr>
            <w:tcW w:w="7229" w:type="dxa"/>
          </w:tcPr>
          <w:p w14:paraId="420BBD41" w14:textId="77777777" w:rsidR="00576948" w:rsidRPr="008843F0" w:rsidRDefault="00576948" w:rsidP="003C2836">
            <w:pPr>
              <w:pStyle w:val="Tabletext"/>
              <w:rPr>
                <w:rFonts w:eastAsia="Times"/>
              </w:rPr>
            </w:pPr>
            <w:bookmarkStart w:id="22" w:name="_Hlk68944061"/>
            <w:r w:rsidRPr="008843F0">
              <w:rPr>
                <w:rFonts w:eastAsia="Times"/>
              </w:rPr>
              <w:t xml:space="preserve">Australian College of </w:t>
            </w:r>
            <w:proofErr w:type="spellStart"/>
            <w:r w:rsidRPr="008843F0">
              <w:rPr>
                <w:rFonts w:eastAsia="Times"/>
              </w:rPr>
              <w:t>Perianaesthesia</w:t>
            </w:r>
            <w:proofErr w:type="spellEnd"/>
            <w:r w:rsidRPr="008843F0">
              <w:rPr>
                <w:rFonts w:eastAsia="Times"/>
              </w:rPr>
              <w:t xml:space="preserve"> Nurses</w:t>
            </w:r>
            <w:bookmarkEnd w:id="22"/>
          </w:p>
        </w:tc>
      </w:tr>
      <w:tr w:rsidR="00576948" w:rsidRPr="008843F0" w14:paraId="63B8B3B5" w14:textId="77777777" w:rsidTr="003C2836">
        <w:tc>
          <w:tcPr>
            <w:tcW w:w="1730" w:type="dxa"/>
          </w:tcPr>
          <w:p w14:paraId="540AA47F" w14:textId="77777777" w:rsidR="00576948" w:rsidRPr="008843F0" w:rsidRDefault="00576948" w:rsidP="003C2836">
            <w:pPr>
              <w:pStyle w:val="Tabletext"/>
              <w:rPr>
                <w:rFonts w:eastAsia="Times"/>
              </w:rPr>
            </w:pPr>
            <w:r w:rsidRPr="008843F0">
              <w:rPr>
                <w:rFonts w:eastAsia="Times"/>
              </w:rPr>
              <w:t>ANH</w:t>
            </w:r>
          </w:p>
        </w:tc>
        <w:tc>
          <w:tcPr>
            <w:tcW w:w="7229" w:type="dxa"/>
          </w:tcPr>
          <w:p w14:paraId="3755700F" w14:textId="77777777" w:rsidR="00576948" w:rsidRPr="008843F0" w:rsidRDefault="00576948" w:rsidP="003C2836">
            <w:pPr>
              <w:pStyle w:val="Tabletext"/>
              <w:rPr>
                <w:rFonts w:eastAsia="Times"/>
              </w:rPr>
            </w:pPr>
            <w:r w:rsidRPr="008843F0">
              <w:rPr>
                <w:rFonts w:eastAsia="Times"/>
                <w:bCs/>
              </w:rPr>
              <w:t>acute normovolemic haemodilution</w:t>
            </w:r>
          </w:p>
        </w:tc>
      </w:tr>
      <w:tr w:rsidR="00576948" w:rsidRPr="008843F0" w14:paraId="502EBFA6" w14:textId="77777777" w:rsidTr="003C2836">
        <w:tc>
          <w:tcPr>
            <w:tcW w:w="1730" w:type="dxa"/>
          </w:tcPr>
          <w:p w14:paraId="3FD312CD" w14:textId="77777777" w:rsidR="00576948" w:rsidRPr="008843F0" w:rsidRDefault="00576948" w:rsidP="003C2836">
            <w:pPr>
              <w:pStyle w:val="Tabletext"/>
              <w:rPr>
                <w:rFonts w:eastAsia="Times" w:cs="Arial"/>
              </w:rPr>
            </w:pPr>
            <w:r w:rsidRPr="008843F0">
              <w:rPr>
                <w:rFonts w:eastAsia="Times" w:cs="Arial"/>
              </w:rPr>
              <w:t>ACSQHC</w:t>
            </w:r>
          </w:p>
        </w:tc>
        <w:tc>
          <w:tcPr>
            <w:tcW w:w="7229" w:type="dxa"/>
          </w:tcPr>
          <w:p w14:paraId="1F851977" w14:textId="77777777" w:rsidR="00576948" w:rsidRPr="008843F0" w:rsidRDefault="00576948" w:rsidP="003C2836">
            <w:pPr>
              <w:pStyle w:val="Tabletext"/>
              <w:rPr>
                <w:rFonts w:eastAsia="Times"/>
              </w:rPr>
            </w:pPr>
            <w:r w:rsidRPr="008843F0">
              <w:rPr>
                <w:rFonts w:eastAsia="Times"/>
              </w:rPr>
              <w:t>Australian Commission on Safety and Quality in Health Care</w:t>
            </w:r>
          </w:p>
        </w:tc>
      </w:tr>
      <w:tr w:rsidR="00576948" w:rsidRPr="008843F0" w14:paraId="2084A3FE" w14:textId="77777777" w:rsidTr="003C2836">
        <w:tc>
          <w:tcPr>
            <w:tcW w:w="1730" w:type="dxa"/>
          </w:tcPr>
          <w:p w14:paraId="2C7B1FD8" w14:textId="77777777" w:rsidR="00576948" w:rsidRPr="008843F0" w:rsidRDefault="00576948" w:rsidP="003C2836">
            <w:pPr>
              <w:pStyle w:val="Tabletext"/>
              <w:rPr>
                <w:rFonts w:eastAsia="Times"/>
              </w:rPr>
            </w:pPr>
            <w:r w:rsidRPr="008843F0">
              <w:rPr>
                <w:rFonts w:eastAsia="Times" w:cs="Arial"/>
                <w:vertAlign w:val="superscript"/>
              </w:rPr>
              <w:t>◦</w:t>
            </w:r>
            <w:r w:rsidRPr="008843F0">
              <w:rPr>
                <w:rFonts w:eastAsia="Times"/>
              </w:rPr>
              <w:t>C</w:t>
            </w:r>
          </w:p>
        </w:tc>
        <w:tc>
          <w:tcPr>
            <w:tcW w:w="7229" w:type="dxa"/>
          </w:tcPr>
          <w:p w14:paraId="0A816176" w14:textId="77777777" w:rsidR="00576948" w:rsidRPr="008843F0" w:rsidRDefault="00576948" w:rsidP="003C2836">
            <w:pPr>
              <w:pStyle w:val="Tabletext"/>
              <w:rPr>
                <w:rFonts w:eastAsia="Times"/>
              </w:rPr>
            </w:pPr>
            <w:r w:rsidRPr="008843F0">
              <w:rPr>
                <w:rFonts w:eastAsia="Times"/>
              </w:rPr>
              <w:t>degree Celsius</w:t>
            </w:r>
          </w:p>
        </w:tc>
      </w:tr>
      <w:tr w:rsidR="00576948" w:rsidRPr="008843F0" w14:paraId="574484E4" w14:textId="77777777" w:rsidTr="003C2836">
        <w:tc>
          <w:tcPr>
            <w:tcW w:w="1730" w:type="dxa"/>
          </w:tcPr>
          <w:p w14:paraId="1B93FCA0" w14:textId="77777777" w:rsidR="00576948" w:rsidRPr="008843F0" w:rsidRDefault="00576948" w:rsidP="003C2836">
            <w:pPr>
              <w:pStyle w:val="Tabletext"/>
              <w:rPr>
                <w:rFonts w:eastAsia="Times"/>
              </w:rPr>
            </w:pPr>
            <w:r w:rsidRPr="008843F0">
              <w:rPr>
                <w:rFonts w:eastAsia="Times"/>
              </w:rPr>
              <w:t>CRP</w:t>
            </w:r>
          </w:p>
        </w:tc>
        <w:tc>
          <w:tcPr>
            <w:tcW w:w="7229" w:type="dxa"/>
          </w:tcPr>
          <w:p w14:paraId="174F4631" w14:textId="77777777" w:rsidR="00576948" w:rsidRPr="008843F0" w:rsidRDefault="00576948" w:rsidP="003C2836">
            <w:pPr>
              <w:pStyle w:val="Tabletext"/>
              <w:rPr>
                <w:rFonts w:eastAsia="Times"/>
              </w:rPr>
            </w:pPr>
            <w:r w:rsidRPr="008843F0">
              <w:rPr>
                <w:rFonts w:eastAsia="Times" w:cs="Arial"/>
                <w:bCs/>
                <w:szCs w:val="21"/>
              </w:rPr>
              <w:t>C-reactive protein</w:t>
            </w:r>
          </w:p>
        </w:tc>
      </w:tr>
      <w:tr w:rsidR="00576948" w:rsidRPr="008843F0" w14:paraId="51FCA16A" w14:textId="77777777" w:rsidTr="003C2836">
        <w:tc>
          <w:tcPr>
            <w:tcW w:w="1730" w:type="dxa"/>
          </w:tcPr>
          <w:p w14:paraId="7AAAF66B" w14:textId="77777777" w:rsidR="00576948" w:rsidRPr="008843F0" w:rsidRDefault="00576948" w:rsidP="003C2836">
            <w:pPr>
              <w:pStyle w:val="Tabletext"/>
              <w:rPr>
                <w:rFonts w:eastAsia="Times"/>
              </w:rPr>
            </w:pPr>
            <w:r w:rsidRPr="008843F0">
              <w:rPr>
                <w:rFonts w:eastAsia="Times"/>
              </w:rPr>
              <w:t>DoS</w:t>
            </w:r>
          </w:p>
        </w:tc>
        <w:tc>
          <w:tcPr>
            <w:tcW w:w="7229" w:type="dxa"/>
          </w:tcPr>
          <w:p w14:paraId="0BBC4DAD" w14:textId="77777777" w:rsidR="00576948" w:rsidRPr="008843F0" w:rsidRDefault="00576948" w:rsidP="003C2836">
            <w:pPr>
              <w:pStyle w:val="Tabletext"/>
              <w:rPr>
                <w:rFonts w:eastAsia="Times"/>
              </w:rPr>
            </w:pPr>
            <w:r w:rsidRPr="008843F0">
              <w:rPr>
                <w:rFonts w:eastAsia="Times"/>
              </w:rPr>
              <w:t>day of surgery</w:t>
            </w:r>
          </w:p>
        </w:tc>
      </w:tr>
      <w:tr w:rsidR="00576948" w:rsidRPr="008843F0" w14:paraId="6F7FE81E" w14:textId="77777777" w:rsidTr="003C2836">
        <w:tc>
          <w:tcPr>
            <w:tcW w:w="1730" w:type="dxa"/>
          </w:tcPr>
          <w:p w14:paraId="63C948DB" w14:textId="77777777" w:rsidR="00576948" w:rsidRPr="008843F0" w:rsidRDefault="00576948" w:rsidP="003C2836">
            <w:pPr>
              <w:pStyle w:val="Tabletext"/>
              <w:rPr>
                <w:rFonts w:eastAsia="Times"/>
              </w:rPr>
            </w:pPr>
            <w:r w:rsidRPr="008843F0">
              <w:rPr>
                <w:rFonts w:eastAsia="Times"/>
              </w:rPr>
              <w:t>FBE</w:t>
            </w:r>
          </w:p>
        </w:tc>
        <w:tc>
          <w:tcPr>
            <w:tcW w:w="7229" w:type="dxa"/>
          </w:tcPr>
          <w:p w14:paraId="3BFCE23C" w14:textId="494DDE03" w:rsidR="00576948" w:rsidRPr="008843F0" w:rsidRDefault="00085EE3" w:rsidP="003C2836">
            <w:pPr>
              <w:pStyle w:val="Tabletext"/>
              <w:rPr>
                <w:rFonts w:eastAsia="Times"/>
              </w:rPr>
            </w:pPr>
            <w:r>
              <w:rPr>
                <w:rFonts w:eastAsia="Times"/>
              </w:rPr>
              <w:t>f</w:t>
            </w:r>
            <w:r w:rsidRPr="008843F0">
              <w:rPr>
                <w:rFonts w:eastAsia="Times"/>
              </w:rPr>
              <w:t>ull</w:t>
            </w:r>
            <w:r w:rsidR="00173908">
              <w:rPr>
                <w:rFonts w:eastAsia="Times"/>
              </w:rPr>
              <w:t xml:space="preserve"> </w:t>
            </w:r>
            <w:r w:rsidR="00576948" w:rsidRPr="008843F0">
              <w:rPr>
                <w:rFonts w:eastAsia="Times"/>
              </w:rPr>
              <w:t>blood examination</w:t>
            </w:r>
          </w:p>
        </w:tc>
      </w:tr>
      <w:tr w:rsidR="0080220B" w:rsidRPr="008843F0" w14:paraId="1C61FCE5" w14:textId="77777777" w:rsidTr="003C2836">
        <w:tc>
          <w:tcPr>
            <w:tcW w:w="1730" w:type="dxa"/>
          </w:tcPr>
          <w:p w14:paraId="2F92A3CB" w14:textId="46D3E72E" w:rsidR="0080220B" w:rsidRPr="008843F0" w:rsidRDefault="0080220B" w:rsidP="003C2836">
            <w:pPr>
              <w:pStyle w:val="Tabletext"/>
              <w:rPr>
                <w:rFonts w:eastAsia="Times"/>
              </w:rPr>
            </w:pPr>
            <w:r>
              <w:rPr>
                <w:rFonts w:eastAsia="Times"/>
              </w:rPr>
              <w:t xml:space="preserve">GI </w:t>
            </w:r>
          </w:p>
        </w:tc>
        <w:tc>
          <w:tcPr>
            <w:tcW w:w="7229" w:type="dxa"/>
          </w:tcPr>
          <w:p w14:paraId="27A2674F" w14:textId="76ECD30D" w:rsidR="0080220B" w:rsidRPr="008843F0" w:rsidRDefault="0080220B" w:rsidP="003C2836">
            <w:pPr>
              <w:pStyle w:val="Tabletext"/>
              <w:rPr>
                <w:rFonts w:eastAsia="Times"/>
              </w:rPr>
            </w:pPr>
            <w:r>
              <w:rPr>
                <w:rFonts w:eastAsia="Times"/>
              </w:rPr>
              <w:t>gastrointestinal</w:t>
            </w:r>
          </w:p>
        </w:tc>
      </w:tr>
      <w:tr w:rsidR="00576948" w:rsidRPr="008843F0" w14:paraId="22F461E8" w14:textId="77777777" w:rsidTr="003C2836">
        <w:tc>
          <w:tcPr>
            <w:tcW w:w="1730" w:type="dxa"/>
          </w:tcPr>
          <w:p w14:paraId="18F8BC50" w14:textId="77777777" w:rsidR="00576948" w:rsidRPr="008843F0" w:rsidRDefault="00576948" w:rsidP="003C2836">
            <w:pPr>
              <w:pStyle w:val="Tabletext"/>
              <w:rPr>
                <w:rFonts w:eastAsia="Times"/>
              </w:rPr>
            </w:pPr>
            <w:r w:rsidRPr="008843F0">
              <w:rPr>
                <w:rFonts w:eastAsia="Times"/>
              </w:rPr>
              <w:t>GP</w:t>
            </w:r>
          </w:p>
        </w:tc>
        <w:tc>
          <w:tcPr>
            <w:tcW w:w="7229" w:type="dxa"/>
          </w:tcPr>
          <w:p w14:paraId="195D14D1" w14:textId="77777777" w:rsidR="00576948" w:rsidRPr="008843F0" w:rsidRDefault="00576948" w:rsidP="003C2836">
            <w:pPr>
              <w:pStyle w:val="Tabletext"/>
              <w:rPr>
                <w:rFonts w:eastAsia="Times"/>
              </w:rPr>
            </w:pPr>
            <w:r w:rsidRPr="008843F0">
              <w:rPr>
                <w:rFonts w:eastAsia="Times"/>
              </w:rPr>
              <w:t>general practitioner</w:t>
            </w:r>
          </w:p>
        </w:tc>
      </w:tr>
      <w:tr w:rsidR="00576948" w:rsidRPr="008843F0" w14:paraId="68AA94EA" w14:textId="77777777" w:rsidTr="003C2836">
        <w:tc>
          <w:tcPr>
            <w:tcW w:w="1730" w:type="dxa"/>
          </w:tcPr>
          <w:p w14:paraId="145CBBCE" w14:textId="77777777" w:rsidR="00576948" w:rsidRPr="008843F0" w:rsidRDefault="00576948" w:rsidP="003C2836">
            <w:pPr>
              <w:pStyle w:val="Tabletext"/>
              <w:rPr>
                <w:rFonts w:eastAsia="Times"/>
              </w:rPr>
            </w:pPr>
            <w:r w:rsidRPr="008843F0">
              <w:rPr>
                <w:rFonts w:eastAsia="Times"/>
              </w:rPr>
              <w:t>Hb</w:t>
            </w:r>
          </w:p>
        </w:tc>
        <w:tc>
          <w:tcPr>
            <w:tcW w:w="7229" w:type="dxa"/>
          </w:tcPr>
          <w:p w14:paraId="449D7BFE" w14:textId="77777777" w:rsidR="00576948" w:rsidRPr="008843F0" w:rsidRDefault="00576948" w:rsidP="003C2836">
            <w:pPr>
              <w:pStyle w:val="Tabletext"/>
              <w:rPr>
                <w:rFonts w:eastAsia="Times"/>
              </w:rPr>
            </w:pPr>
            <w:r w:rsidRPr="008843F0">
              <w:rPr>
                <w:rFonts w:eastAsia="Times"/>
              </w:rPr>
              <w:t>haemoglobin</w:t>
            </w:r>
          </w:p>
        </w:tc>
      </w:tr>
      <w:tr w:rsidR="00576948" w:rsidRPr="008843F0" w14:paraId="7F5655E2" w14:textId="77777777" w:rsidTr="003C2836">
        <w:tc>
          <w:tcPr>
            <w:tcW w:w="1730" w:type="dxa"/>
          </w:tcPr>
          <w:p w14:paraId="731FC672" w14:textId="77777777" w:rsidR="00576948" w:rsidRPr="008843F0" w:rsidRDefault="00576948" w:rsidP="003C2836">
            <w:pPr>
              <w:pStyle w:val="Tabletext"/>
              <w:rPr>
                <w:rFonts w:eastAsia="Times"/>
              </w:rPr>
            </w:pPr>
            <w:r w:rsidRPr="008843F0">
              <w:rPr>
                <w:rFonts w:eastAsia="Times"/>
              </w:rPr>
              <w:t>IV</w:t>
            </w:r>
          </w:p>
        </w:tc>
        <w:tc>
          <w:tcPr>
            <w:tcW w:w="7229" w:type="dxa"/>
          </w:tcPr>
          <w:p w14:paraId="250D03C5" w14:textId="77777777" w:rsidR="00576948" w:rsidRPr="008843F0" w:rsidRDefault="00576948" w:rsidP="003C2836">
            <w:pPr>
              <w:pStyle w:val="Tabletext"/>
              <w:rPr>
                <w:rFonts w:eastAsia="Times"/>
              </w:rPr>
            </w:pPr>
            <w:r w:rsidRPr="008843F0">
              <w:rPr>
                <w:rFonts w:eastAsia="Times"/>
              </w:rPr>
              <w:t>intravenous</w:t>
            </w:r>
          </w:p>
        </w:tc>
      </w:tr>
      <w:tr w:rsidR="00576948" w:rsidRPr="008843F0" w14:paraId="3FB6D3A2" w14:textId="77777777" w:rsidTr="003C2836">
        <w:tc>
          <w:tcPr>
            <w:tcW w:w="1730" w:type="dxa"/>
          </w:tcPr>
          <w:p w14:paraId="2E29BD95" w14:textId="77777777" w:rsidR="00576948" w:rsidRPr="008843F0" w:rsidRDefault="00576948" w:rsidP="003C2836">
            <w:pPr>
              <w:pStyle w:val="Tabletext"/>
              <w:rPr>
                <w:rFonts w:eastAsia="Times"/>
              </w:rPr>
            </w:pPr>
            <w:r w:rsidRPr="008843F0">
              <w:rPr>
                <w:rFonts w:eastAsia="Times"/>
              </w:rPr>
              <w:t>mcg</w:t>
            </w:r>
          </w:p>
        </w:tc>
        <w:tc>
          <w:tcPr>
            <w:tcW w:w="7229" w:type="dxa"/>
          </w:tcPr>
          <w:p w14:paraId="125AC7FC" w14:textId="77777777" w:rsidR="00576948" w:rsidRPr="008843F0" w:rsidRDefault="00576948" w:rsidP="003C2836">
            <w:pPr>
              <w:pStyle w:val="Tabletext"/>
              <w:rPr>
                <w:rFonts w:eastAsia="Times"/>
              </w:rPr>
            </w:pPr>
            <w:r w:rsidRPr="008843F0">
              <w:rPr>
                <w:rFonts w:eastAsia="Times"/>
              </w:rPr>
              <w:t>microgram</w:t>
            </w:r>
          </w:p>
        </w:tc>
      </w:tr>
      <w:tr w:rsidR="00576948" w:rsidRPr="008843F0" w14:paraId="1653555F" w14:textId="77777777" w:rsidTr="003C2836">
        <w:tc>
          <w:tcPr>
            <w:tcW w:w="1730" w:type="dxa"/>
          </w:tcPr>
          <w:p w14:paraId="63E1B375" w14:textId="77777777" w:rsidR="00576948" w:rsidRPr="008843F0" w:rsidRDefault="00576948" w:rsidP="003C2836">
            <w:pPr>
              <w:pStyle w:val="Tabletext"/>
              <w:rPr>
                <w:rFonts w:eastAsia="Times"/>
              </w:rPr>
            </w:pPr>
            <w:r w:rsidRPr="008843F0">
              <w:rPr>
                <w:rFonts w:eastAsia="Times"/>
              </w:rPr>
              <w:t>mL</w:t>
            </w:r>
          </w:p>
        </w:tc>
        <w:tc>
          <w:tcPr>
            <w:tcW w:w="7229" w:type="dxa"/>
          </w:tcPr>
          <w:p w14:paraId="64AE85E4" w14:textId="77777777" w:rsidR="00576948" w:rsidRPr="008843F0" w:rsidRDefault="00576948" w:rsidP="003C2836">
            <w:pPr>
              <w:pStyle w:val="Tabletext"/>
              <w:rPr>
                <w:rFonts w:eastAsia="Times"/>
              </w:rPr>
            </w:pPr>
            <w:r w:rsidRPr="008843F0">
              <w:rPr>
                <w:rFonts w:eastAsia="Times"/>
              </w:rPr>
              <w:t>millilitre</w:t>
            </w:r>
          </w:p>
        </w:tc>
      </w:tr>
      <w:tr w:rsidR="00576948" w:rsidRPr="008843F0" w14:paraId="737B3F20" w14:textId="77777777" w:rsidTr="003C2836">
        <w:tc>
          <w:tcPr>
            <w:tcW w:w="1730" w:type="dxa"/>
          </w:tcPr>
          <w:p w14:paraId="15FED350" w14:textId="77777777" w:rsidR="00576948" w:rsidRPr="008843F0" w:rsidRDefault="00576948" w:rsidP="003C2836">
            <w:pPr>
              <w:pStyle w:val="Tabletext"/>
              <w:rPr>
                <w:rFonts w:eastAsia="Times"/>
              </w:rPr>
            </w:pPr>
            <w:r w:rsidRPr="008843F0">
              <w:rPr>
                <w:rFonts w:eastAsia="Times"/>
              </w:rPr>
              <w:t>Module 2</w:t>
            </w:r>
          </w:p>
        </w:tc>
        <w:tc>
          <w:tcPr>
            <w:tcW w:w="7229" w:type="dxa"/>
          </w:tcPr>
          <w:p w14:paraId="6BFD6792" w14:textId="77777777" w:rsidR="00576948" w:rsidRPr="008843F0" w:rsidRDefault="00576948" w:rsidP="003C2836">
            <w:pPr>
              <w:pStyle w:val="Tabletext"/>
              <w:rPr>
                <w:rFonts w:eastAsia="Times"/>
              </w:rPr>
            </w:pPr>
            <w:r w:rsidRPr="008843F0">
              <w:rPr>
                <w:rFonts w:eastAsia="Times"/>
              </w:rPr>
              <w:t>National Blood Authority PBM guidelines ‘Module 2: Perioperative’ (Module 2)</w:t>
            </w:r>
          </w:p>
        </w:tc>
      </w:tr>
      <w:tr w:rsidR="00576948" w:rsidRPr="008843F0" w14:paraId="69183532" w14:textId="77777777" w:rsidTr="003C2836">
        <w:tc>
          <w:tcPr>
            <w:tcW w:w="1730" w:type="dxa"/>
          </w:tcPr>
          <w:p w14:paraId="5A31AED3" w14:textId="77777777" w:rsidR="00576948" w:rsidRPr="008843F0" w:rsidRDefault="00576948" w:rsidP="003C2836">
            <w:pPr>
              <w:pStyle w:val="Tabletext"/>
              <w:rPr>
                <w:rFonts w:eastAsia="Times"/>
              </w:rPr>
            </w:pPr>
            <w:r w:rsidRPr="008843F0">
              <w:rPr>
                <w:rFonts w:eastAsia="Times"/>
              </w:rPr>
              <w:t>NBA</w:t>
            </w:r>
          </w:p>
        </w:tc>
        <w:tc>
          <w:tcPr>
            <w:tcW w:w="7229" w:type="dxa"/>
          </w:tcPr>
          <w:p w14:paraId="3F0CCCC3" w14:textId="77777777" w:rsidR="00576948" w:rsidRPr="008843F0" w:rsidRDefault="00576948" w:rsidP="003C2836">
            <w:pPr>
              <w:pStyle w:val="Tabletext"/>
              <w:rPr>
                <w:rFonts w:eastAsia="Times"/>
              </w:rPr>
            </w:pPr>
            <w:r w:rsidRPr="008843F0">
              <w:rPr>
                <w:rFonts w:eastAsia="Times"/>
              </w:rPr>
              <w:t>National Blood Authority</w:t>
            </w:r>
          </w:p>
        </w:tc>
      </w:tr>
      <w:tr w:rsidR="00576948" w:rsidRPr="008843F0" w14:paraId="087756A5" w14:textId="77777777" w:rsidTr="003C2836">
        <w:tc>
          <w:tcPr>
            <w:tcW w:w="1730" w:type="dxa"/>
          </w:tcPr>
          <w:p w14:paraId="60BDAFA1" w14:textId="77777777" w:rsidR="00576948" w:rsidRPr="008843F0" w:rsidRDefault="00576948" w:rsidP="003C2836">
            <w:pPr>
              <w:pStyle w:val="Tabletext"/>
              <w:rPr>
                <w:rFonts w:eastAsia="Times"/>
              </w:rPr>
            </w:pPr>
            <w:r w:rsidRPr="008843F0">
              <w:rPr>
                <w:rFonts w:eastAsia="Times"/>
              </w:rPr>
              <w:t>NICE</w:t>
            </w:r>
          </w:p>
        </w:tc>
        <w:tc>
          <w:tcPr>
            <w:tcW w:w="7229" w:type="dxa"/>
          </w:tcPr>
          <w:p w14:paraId="6807A5FA" w14:textId="77777777" w:rsidR="00576948" w:rsidRPr="008843F0" w:rsidRDefault="00576948" w:rsidP="003C2836">
            <w:pPr>
              <w:pStyle w:val="Tabletext"/>
              <w:rPr>
                <w:rFonts w:eastAsia="Times"/>
              </w:rPr>
            </w:pPr>
            <w:r w:rsidRPr="008843F0">
              <w:rPr>
                <w:rFonts w:eastAsia="Times"/>
              </w:rPr>
              <w:t>National Institute for Health and Care Excellence</w:t>
            </w:r>
          </w:p>
        </w:tc>
      </w:tr>
      <w:tr w:rsidR="00576948" w:rsidRPr="008843F0" w14:paraId="519044AD" w14:textId="77777777" w:rsidTr="003C2836">
        <w:tc>
          <w:tcPr>
            <w:tcW w:w="1730" w:type="dxa"/>
          </w:tcPr>
          <w:p w14:paraId="65439DDA" w14:textId="77777777" w:rsidR="00576948" w:rsidRPr="008843F0" w:rsidRDefault="00576948" w:rsidP="003C2836">
            <w:pPr>
              <w:pStyle w:val="Tabletext"/>
              <w:rPr>
                <w:rFonts w:eastAsia="Times"/>
              </w:rPr>
            </w:pPr>
            <w:r w:rsidRPr="008843F0">
              <w:rPr>
                <w:rFonts w:eastAsia="Times"/>
              </w:rPr>
              <w:t>NSQHS</w:t>
            </w:r>
          </w:p>
        </w:tc>
        <w:tc>
          <w:tcPr>
            <w:tcW w:w="7229" w:type="dxa"/>
          </w:tcPr>
          <w:p w14:paraId="6E0BB0F3" w14:textId="77777777" w:rsidR="00576948" w:rsidRPr="008843F0" w:rsidRDefault="00576948" w:rsidP="003C2836">
            <w:pPr>
              <w:pStyle w:val="Tabletext"/>
              <w:rPr>
                <w:rFonts w:eastAsia="Times"/>
              </w:rPr>
            </w:pPr>
            <w:r w:rsidRPr="008843F0">
              <w:rPr>
                <w:rFonts w:eastAsia="Times"/>
              </w:rPr>
              <w:t>National Safety and Quality Health Services Standards</w:t>
            </w:r>
          </w:p>
        </w:tc>
      </w:tr>
      <w:tr w:rsidR="00576948" w:rsidRPr="008843F0" w14:paraId="4C50ECFF" w14:textId="77777777" w:rsidTr="003C2836">
        <w:tc>
          <w:tcPr>
            <w:tcW w:w="1730" w:type="dxa"/>
          </w:tcPr>
          <w:p w14:paraId="26A777FE" w14:textId="77777777" w:rsidR="00576948" w:rsidRPr="008843F0" w:rsidRDefault="00576948" w:rsidP="003C2836">
            <w:pPr>
              <w:pStyle w:val="Tabletext"/>
              <w:rPr>
                <w:rFonts w:eastAsia="Times"/>
              </w:rPr>
            </w:pPr>
            <w:r w:rsidRPr="008843F0">
              <w:rPr>
                <w:rFonts w:eastAsia="Times"/>
              </w:rPr>
              <w:t>PBM</w:t>
            </w:r>
          </w:p>
        </w:tc>
        <w:tc>
          <w:tcPr>
            <w:tcW w:w="7229" w:type="dxa"/>
          </w:tcPr>
          <w:p w14:paraId="01B30845" w14:textId="77777777" w:rsidR="00576948" w:rsidRPr="008843F0" w:rsidRDefault="00576948" w:rsidP="003C2836">
            <w:pPr>
              <w:pStyle w:val="Tabletext"/>
              <w:rPr>
                <w:rFonts w:eastAsia="Times"/>
              </w:rPr>
            </w:pPr>
            <w:r w:rsidRPr="008843F0">
              <w:rPr>
                <w:rFonts w:eastAsia="Times"/>
              </w:rPr>
              <w:t>patient blood management</w:t>
            </w:r>
          </w:p>
        </w:tc>
      </w:tr>
      <w:tr w:rsidR="00576948" w:rsidRPr="008843F0" w14:paraId="0D32D99C" w14:textId="77777777" w:rsidTr="003C2836">
        <w:tc>
          <w:tcPr>
            <w:tcW w:w="1730" w:type="dxa"/>
          </w:tcPr>
          <w:p w14:paraId="57A0D9BD" w14:textId="4B4AFB9F" w:rsidR="00576948" w:rsidRPr="008843F0" w:rsidRDefault="00576948" w:rsidP="003C2836">
            <w:pPr>
              <w:pStyle w:val="Tabletext"/>
              <w:rPr>
                <w:rFonts w:eastAsia="Times"/>
              </w:rPr>
            </w:pPr>
            <w:r w:rsidRPr="008843F0">
              <w:rPr>
                <w:rFonts w:eastAsia="Times"/>
              </w:rPr>
              <w:lastRenderedPageBreak/>
              <w:t>PP (1</w:t>
            </w:r>
            <w:r w:rsidR="00085EE3">
              <w:rPr>
                <w:rFonts w:eastAsia="Times"/>
              </w:rPr>
              <w:t>–</w:t>
            </w:r>
            <w:r w:rsidRPr="008843F0">
              <w:rPr>
                <w:rFonts w:eastAsia="Times"/>
              </w:rPr>
              <w:t>6)</w:t>
            </w:r>
          </w:p>
        </w:tc>
        <w:tc>
          <w:tcPr>
            <w:tcW w:w="7229" w:type="dxa"/>
          </w:tcPr>
          <w:p w14:paraId="50CE161B" w14:textId="77777777" w:rsidR="00576948" w:rsidRPr="008843F0" w:rsidRDefault="00576948" w:rsidP="003C2836">
            <w:pPr>
              <w:pStyle w:val="Tabletext"/>
              <w:rPr>
                <w:rFonts w:eastAsia="Times"/>
              </w:rPr>
            </w:pPr>
            <w:r w:rsidRPr="008843F0">
              <w:rPr>
                <w:rFonts w:eastAsia="Times"/>
              </w:rPr>
              <w:t>NBA PBM guideline practice point</w:t>
            </w:r>
          </w:p>
        </w:tc>
      </w:tr>
      <w:tr w:rsidR="00576948" w:rsidRPr="008843F0" w14:paraId="09E562C0" w14:textId="77777777" w:rsidTr="003C2836">
        <w:tc>
          <w:tcPr>
            <w:tcW w:w="1730" w:type="dxa"/>
          </w:tcPr>
          <w:p w14:paraId="72D2FA4E" w14:textId="16A3D722" w:rsidR="00576948" w:rsidRPr="008843F0" w:rsidRDefault="00576948" w:rsidP="003C2836">
            <w:pPr>
              <w:pStyle w:val="Tabletext"/>
              <w:rPr>
                <w:rFonts w:eastAsia="Times"/>
              </w:rPr>
            </w:pPr>
            <w:r w:rsidRPr="008843F0">
              <w:rPr>
                <w:rFonts w:eastAsia="Times"/>
              </w:rPr>
              <w:t>R (2</w:t>
            </w:r>
            <w:r w:rsidR="00085EE3">
              <w:rPr>
                <w:rFonts w:eastAsia="Times"/>
              </w:rPr>
              <w:t>–</w:t>
            </w:r>
            <w:r w:rsidRPr="008843F0">
              <w:rPr>
                <w:rFonts w:eastAsia="Times"/>
              </w:rPr>
              <w:t>20)</w:t>
            </w:r>
          </w:p>
        </w:tc>
        <w:tc>
          <w:tcPr>
            <w:tcW w:w="7229" w:type="dxa"/>
          </w:tcPr>
          <w:p w14:paraId="22D96ADD" w14:textId="77777777" w:rsidR="00576948" w:rsidRPr="008843F0" w:rsidRDefault="00576948" w:rsidP="003C2836">
            <w:pPr>
              <w:pStyle w:val="Tabletext"/>
              <w:rPr>
                <w:rFonts w:eastAsia="Times"/>
              </w:rPr>
            </w:pPr>
            <w:r w:rsidRPr="008843F0">
              <w:rPr>
                <w:rFonts w:eastAsia="Times"/>
              </w:rPr>
              <w:t>NBA PBM guideline recommendation</w:t>
            </w:r>
          </w:p>
        </w:tc>
      </w:tr>
      <w:tr w:rsidR="00576948" w:rsidRPr="008843F0" w14:paraId="726FDEF6" w14:textId="77777777" w:rsidTr="003C2836">
        <w:tc>
          <w:tcPr>
            <w:tcW w:w="1730" w:type="dxa"/>
          </w:tcPr>
          <w:p w14:paraId="400A17A6" w14:textId="77777777" w:rsidR="00576948" w:rsidRPr="008843F0" w:rsidRDefault="00576948" w:rsidP="003C2836">
            <w:pPr>
              <w:pStyle w:val="Tabletext"/>
              <w:rPr>
                <w:rFonts w:eastAsia="Times"/>
              </w:rPr>
            </w:pPr>
            <w:r w:rsidRPr="008843F0">
              <w:rPr>
                <w:rFonts w:eastAsia="Times"/>
              </w:rPr>
              <w:t>RBC</w:t>
            </w:r>
          </w:p>
        </w:tc>
        <w:tc>
          <w:tcPr>
            <w:tcW w:w="7229" w:type="dxa"/>
          </w:tcPr>
          <w:p w14:paraId="5E3A021C" w14:textId="77777777" w:rsidR="00576948" w:rsidRPr="008843F0" w:rsidRDefault="00576948" w:rsidP="003C2836">
            <w:pPr>
              <w:pStyle w:val="Tabletext"/>
              <w:rPr>
                <w:rFonts w:eastAsia="Times"/>
              </w:rPr>
            </w:pPr>
            <w:r w:rsidRPr="008843F0">
              <w:rPr>
                <w:rFonts w:eastAsia="Times"/>
              </w:rPr>
              <w:t>red blood cells</w:t>
            </w:r>
          </w:p>
        </w:tc>
      </w:tr>
      <w:tr w:rsidR="00576948" w:rsidRPr="008843F0" w14:paraId="07CEA50E" w14:textId="77777777" w:rsidTr="003C2836">
        <w:tc>
          <w:tcPr>
            <w:tcW w:w="1730" w:type="dxa"/>
          </w:tcPr>
          <w:p w14:paraId="48C967B2" w14:textId="77777777" w:rsidR="00576948" w:rsidRPr="008843F0" w:rsidRDefault="00576948" w:rsidP="003C2836">
            <w:pPr>
              <w:pStyle w:val="Tabletext"/>
              <w:rPr>
                <w:rFonts w:eastAsia="Times"/>
              </w:rPr>
            </w:pPr>
            <w:r w:rsidRPr="008843F0">
              <w:rPr>
                <w:rFonts w:eastAsia="Times"/>
              </w:rPr>
              <w:t>ROTEM</w:t>
            </w:r>
          </w:p>
        </w:tc>
        <w:tc>
          <w:tcPr>
            <w:tcW w:w="7229" w:type="dxa"/>
          </w:tcPr>
          <w:p w14:paraId="719BF9E4" w14:textId="77777777" w:rsidR="00576948" w:rsidRPr="008843F0" w:rsidRDefault="00576948" w:rsidP="003C2836">
            <w:pPr>
              <w:pStyle w:val="Tabletext"/>
              <w:rPr>
                <w:rFonts w:eastAsia="Times"/>
              </w:rPr>
            </w:pPr>
            <w:r w:rsidRPr="008843F0">
              <w:rPr>
                <w:rFonts w:eastAsia="Times"/>
              </w:rPr>
              <w:t>rotational thromboelastometry</w:t>
            </w:r>
          </w:p>
        </w:tc>
      </w:tr>
      <w:tr w:rsidR="00576948" w:rsidRPr="008843F0" w14:paraId="6A5A6D1F" w14:textId="77777777" w:rsidTr="003C2836">
        <w:tc>
          <w:tcPr>
            <w:tcW w:w="1730" w:type="dxa"/>
          </w:tcPr>
          <w:p w14:paraId="1D9EBC11" w14:textId="77777777" w:rsidR="00576948" w:rsidRPr="008843F0" w:rsidRDefault="00576948" w:rsidP="003C2836">
            <w:pPr>
              <w:pStyle w:val="Tabletext"/>
              <w:rPr>
                <w:rFonts w:eastAsia="Times"/>
              </w:rPr>
            </w:pPr>
            <w:r w:rsidRPr="008843F0">
              <w:rPr>
                <w:rFonts w:eastAsia="Times"/>
              </w:rPr>
              <w:t>TEG</w:t>
            </w:r>
          </w:p>
        </w:tc>
        <w:tc>
          <w:tcPr>
            <w:tcW w:w="7229" w:type="dxa"/>
          </w:tcPr>
          <w:p w14:paraId="6DA19192" w14:textId="77777777" w:rsidR="00576948" w:rsidRPr="008843F0" w:rsidRDefault="00576948" w:rsidP="003C2836">
            <w:pPr>
              <w:pStyle w:val="Tabletext"/>
              <w:rPr>
                <w:rFonts w:eastAsia="Times"/>
              </w:rPr>
            </w:pPr>
            <w:r w:rsidRPr="008843F0">
              <w:rPr>
                <w:rFonts w:eastAsia="Times"/>
              </w:rPr>
              <w:t>thromboelastography</w:t>
            </w:r>
          </w:p>
        </w:tc>
      </w:tr>
      <w:tr w:rsidR="00576948" w:rsidRPr="008843F0" w14:paraId="0AB06315" w14:textId="77777777" w:rsidTr="003C2836">
        <w:tc>
          <w:tcPr>
            <w:tcW w:w="1730" w:type="dxa"/>
          </w:tcPr>
          <w:p w14:paraId="2A192B6F" w14:textId="77777777" w:rsidR="00576948" w:rsidRPr="008843F0" w:rsidRDefault="00576948" w:rsidP="003C2836">
            <w:pPr>
              <w:pStyle w:val="Tabletext"/>
              <w:rPr>
                <w:rFonts w:eastAsia="Times"/>
              </w:rPr>
            </w:pPr>
            <w:r w:rsidRPr="008843F0">
              <w:rPr>
                <w:rFonts w:eastAsia="Times"/>
              </w:rPr>
              <w:t>TXA</w:t>
            </w:r>
          </w:p>
        </w:tc>
        <w:tc>
          <w:tcPr>
            <w:tcW w:w="7229" w:type="dxa"/>
          </w:tcPr>
          <w:p w14:paraId="22A40DC1" w14:textId="77777777" w:rsidR="00576948" w:rsidRPr="008843F0" w:rsidRDefault="00576948" w:rsidP="003C2836">
            <w:pPr>
              <w:pStyle w:val="Tabletext"/>
              <w:rPr>
                <w:rFonts w:eastAsia="Times"/>
              </w:rPr>
            </w:pPr>
            <w:r w:rsidRPr="008843F0">
              <w:rPr>
                <w:rFonts w:eastAsia="Times"/>
              </w:rPr>
              <w:t>tranexamic acid</w:t>
            </w:r>
          </w:p>
        </w:tc>
      </w:tr>
      <w:tr w:rsidR="00576948" w:rsidRPr="008843F0" w14:paraId="3705CAF0" w14:textId="77777777" w:rsidTr="003C2836">
        <w:tc>
          <w:tcPr>
            <w:tcW w:w="1730" w:type="dxa"/>
          </w:tcPr>
          <w:p w14:paraId="2BD5D86C" w14:textId="77777777" w:rsidR="00576948" w:rsidRPr="008843F0" w:rsidRDefault="00576948" w:rsidP="003C2836">
            <w:pPr>
              <w:pStyle w:val="Tabletext"/>
              <w:rPr>
                <w:rFonts w:eastAsia="Times"/>
              </w:rPr>
            </w:pPr>
            <w:r w:rsidRPr="008843F0">
              <w:rPr>
                <w:rFonts w:eastAsia="Times"/>
              </w:rPr>
              <w:t>UK</w:t>
            </w:r>
          </w:p>
        </w:tc>
        <w:tc>
          <w:tcPr>
            <w:tcW w:w="7229" w:type="dxa"/>
          </w:tcPr>
          <w:p w14:paraId="45DC7F20" w14:textId="77777777" w:rsidR="00576948" w:rsidRPr="008843F0" w:rsidRDefault="00576948" w:rsidP="003C2836">
            <w:pPr>
              <w:pStyle w:val="Tabletext"/>
              <w:rPr>
                <w:rFonts w:eastAsia="Times"/>
              </w:rPr>
            </w:pPr>
            <w:r w:rsidRPr="008843F0">
              <w:rPr>
                <w:rFonts w:eastAsia="Times"/>
              </w:rPr>
              <w:t>United Kingdom</w:t>
            </w:r>
          </w:p>
        </w:tc>
      </w:tr>
      <w:tr w:rsidR="00576948" w:rsidRPr="008843F0" w14:paraId="28D274C4" w14:textId="77777777" w:rsidTr="003C2836">
        <w:tc>
          <w:tcPr>
            <w:tcW w:w="1730" w:type="dxa"/>
          </w:tcPr>
          <w:p w14:paraId="74472AA2" w14:textId="77777777" w:rsidR="00576948" w:rsidRPr="008843F0" w:rsidRDefault="00576948" w:rsidP="003C2836">
            <w:pPr>
              <w:pStyle w:val="Tabletext"/>
              <w:rPr>
                <w:rFonts w:eastAsia="Times"/>
              </w:rPr>
            </w:pPr>
            <w:r w:rsidRPr="008843F0">
              <w:rPr>
                <w:rFonts w:eastAsia="Times"/>
              </w:rPr>
              <w:t>WHO</w:t>
            </w:r>
          </w:p>
        </w:tc>
        <w:tc>
          <w:tcPr>
            <w:tcW w:w="7229" w:type="dxa"/>
          </w:tcPr>
          <w:p w14:paraId="693B73B2" w14:textId="77777777" w:rsidR="00576948" w:rsidRPr="008843F0" w:rsidRDefault="00576948" w:rsidP="003C2836">
            <w:pPr>
              <w:pStyle w:val="Tabletext"/>
              <w:rPr>
                <w:rFonts w:eastAsia="Times"/>
              </w:rPr>
            </w:pPr>
            <w:r w:rsidRPr="008843F0">
              <w:rPr>
                <w:rFonts w:eastAsia="Times"/>
              </w:rPr>
              <w:t>World Health Organization</w:t>
            </w:r>
          </w:p>
        </w:tc>
      </w:tr>
      <w:tr w:rsidR="0080220B" w:rsidRPr="008843F0" w14:paraId="207D5809" w14:textId="77777777" w:rsidTr="003C2836">
        <w:tc>
          <w:tcPr>
            <w:tcW w:w="1730" w:type="dxa"/>
          </w:tcPr>
          <w:p w14:paraId="799343FA" w14:textId="6F1B2113" w:rsidR="0080220B" w:rsidRPr="008843F0" w:rsidRDefault="0080220B" w:rsidP="003C2836">
            <w:pPr>
              <w:pStyle w:val="Tabletext"/>
              <w:rPr>
                <w:rFonts w:eastAsia="Times"/>
              </w:rPr>
            </w:pPr>
            <w:r>
              <w:rPr>
                <w:rFonts w:eastAsia="Times"/>
              </w:rPr>
              <w:t>WIP</w:t>
            </w:r>
          </w:p>
        </w:tc>
        <w:tc>
          <w:tcPr>
            <w:tcW w:w="7229" w:type="dxa"/>
          </w:tcPr>
          <w:p w14:paraId="21A3B5AC" w14:textId="26B60358" w:rsidR="0080220B" w:rsidRPr="008843F0" w:rsidRDefault="0080220B" w:rsidP="003C2836">
            <w:pPr>
              <w:pStyle w:val="Tabletext"/>
              <w:rPr>
                <w:rFonts w:eastAsia="Times"/>
              </w:rPr>
            </w:pPr>
            <w:r>
              <w:rPr>
                <w:rFonts w:eastAsia="Times"/>
              </w:rPr>
              <w:t>work in progress</w:t>
            </w:r>
          </w:p>
        </w:tc>
      </w:tr>
    </w:tbl>
    <w:p w14:paraId="0F044DC8" w14:textId="77777777" w:rsidR="00576948" w:rsidRPr="00085EE3" w:rsidRDefault="00576948" w:rsidP="002B2FD9">
      <w:pPr>
        <w:pStyle w:val="Body"/>
      </w:pPr>
      <w:r w:rsidRPr="00085EE3">
        <w:br w:type="page"/>
      </w:r>
    </w:p>
    <w:p w14:paraId="3328B71E" w14:textId="77777777" w:rsidR="00576948" w:rsidRPr="008843F0" w:rsidRDefault="00576948" w:rsidP="00576948">
      <w:pPr>
        <w:pStyle w:val="Heading1"/>
      </w:pPr>
      <w:bookmarkStart w:id="23" w:name="_Toc61867184"/>
      <w:bookmarkStart w:id="24" w:name="_Toc69106569"/>
      <w:bookmarkStart w:id="25" w:name="_Toc72314120"/>
      <w:bookmarkStart w:id="26" w:name="_Toc78958770"/>
      <w:r w:rsidRPr="001059AB">
        <w:lastRenderedPageBreak/>
        <w:t>Data</w:t>
      </w:r>
      <w:r w:rsidRPr="008843F0">
        <w:t xml:space="preserve"> considerations/limitations</w:t>
      </w:r>
      <w:bookmarkEnd w:id="23"/>
      <w:bookmarkEnd w:id="24"/>
      <w:bookmarkEnd w:id="25"/>
      <w:bookmarkEnd w:id="26"/>
    </w:p>
    <w:p w14:paraId="3C05BBFC" w14:textId="65E3FBCE" w:rsidR="00576948" w:rsidRPr="008843F0" w:rsidRDefault="00576948" w:rsidP="00576948">
      <w:pPr>
        <w:pStyle w:val="Body"/>
      </w:pPr>
      <w:r w:rsidRPr="008843F0">
        <w:t xml:space="preserve">The </w:t>
      </w:r>
      <w:r w:rsidR="00085EE3">
        <w:t>audit has the following limitations</w:t>
      </w:r>
      <w:r w:rsidRPr="008843F0">
        <w:t>:</w:t>
      </w:r>
    </w:p>
    <w:p w14:paraId="43099454" w14:textId="77777777" w:rsidR="00576948" w:rsidRPr="001059AB" w:rsidRDefault="00576948" w:rsidP="00576948">
      <w:pPr>
        <w:pStyle w:val="Bullet1"/>
      </w:pPr>
      <w:r w:rsidRPr="001059AB">
        <w:t>The auditors were not trained; however, the audit forms were accompanied with definitions and instructions for conducting the audit to ensure consistency of data.</w:t>
      </w:r>
    </w:p>
    <w:p w14:paraId="618C35ED" w14:textId="77777777" w:rsidR="00576948" w:rsidRPr="001059AB" w:rsidRDefault="00576948" w:rsidP="00576948">
      <w:pPr>
        <w:pStyle w:val="Bullet1"/>
      </w:pPr>
      <w:r w:rsidRPr="001059AB">
        <w:t xml:space="preserve">The patient episodes reported were selected at the auditor’s </w:t>
      </w:r>
      <w:proofErr w:type="gramStart"/>
      <w:r w:rsidRPr="001059AB">
        <w:t>discretion, and</w:t>
      </w:r>
      <w:proofErr w:type="gramEnd"/>
      <w:r w:rsidRPr="001059AB">
        <w:t xml:space="preserve"> may have been influenced by their knowledge and understanding of anaemia assessment and management.</w:t>
      </w:r>
    </w:p>
    <w:p w14:paraId="5AFDB603" w14:textId="77777777" w:rsidR="00576948" w:rsidRPr="001059AB" w:rsidRDefault="00576948" w:rsidP="00576948">
      <w:pPr>
        <w:pStyle w:val="Bullet1"/>
      </w:pPr>
      <w:r w:rsidRPr="001059AB">
        <w:t xml:space="preserve">The auditor determined if anaemia had been assessed. Blood Matters did not include parameters around assessment, such as timeliness or blood test in the instructions. </w:t>
      </w:r>
    </w:p>
    <w:p w14:paraId="523C8707" w14:textId="0E933368" w:rsidR="00576948" w:rsidRPr="001059AB" w:rsidRDefault="00576948" w:rsidP="00576948">
      <w:pPr>
        <w:pStyle w:val="Bullet1"/>
      </w:pPr>
      <w:r w:rsidRPr="001059AB">
        <w:t xml:space="preserve">Health service </w:t>
      </w:r>
      <w:r w:rsidR="00085EE3">
        <w:t>participation in</w:t>
      </w:r>
      <w:r w:rsidRPr="001059AB">
        <w:t xml:space="preserve"> the audit was voluntary.</w:t>
      </w:r>
    </w:p>
    <w:p w14:paraId="7714EDA2" w14:textId="77777777" w:rsidR="00576948" w:rsidRPr="001059AB" w:rsidRDefault="00576948" w:rsidP="00576948">
      <w:pPr>
        <w:pStyle w:val="Bullet1"/>
      </w:pPr>
      <w:r w:rsidRPr="001059AB">
        <w:t>Health services may have varying thresholds for anaemia and anaemia management compared to those outlined in the National Blood Authority PBM guidelines.</w:t>
      </w:r>
    </w:p>
    <w:p w14:paraId="07649D21" w14:textId="77777777" w:rsidR="00576948" w:rsidRDefault="00576948">
      <w:pPr>
        <w:spacing w:after="0" w:line="240" w:lineRule="auto"/>
      </w:pPr>
      <w:r>
        <w:br w:type="page"/>
      </w:r>
    </w:p>
    <w:p w14:paraId="596A3CC3" w14:textId="77777777" w:rsidR="00576948" w:rsidRPr="008843F0" w:rsidRDefault="00576948" w:rsidP="00576948">
      <w:pPr>
        <w:pStyle w:val="Heading1"/>
      </w:pPr>
      <w:bookmarkStart w:id="27" w:name="_Toc61867185"/>
      <w:bookmarkStart w:id="28" w:name="_Toc69106570"/>
      <w:bookmarkStart w:id="29" w:name="_Toc72314121"/>
      <w:bookmarkStart w:id="30" w:name="_Toc78958771"/>
      <w:r w:rsidRPr="001059AB">
        <w:lastRenderedPageBreak/>
        <w:t>Executive</w:t>
      </w:r>
      <w:r w:rsidRPr="008843F0">
        <w:t xml:space="preserve"> summary</w:t>
      </w:r>
      <w:bookmarkEnd w:id="27"/>
      <w:bookmarkEnd w:id="28"/>
      <w:bookmarkEnd w:id="29"/>
      <w:bookmarkEnd w:id="30"/>
    </w:p>
    <w:p w14:paraId="531A27C2" w14:textId="7A2BCB81" w:rsidR="00761C6F" w:rsidRDefault="00761C6F" w:rsidP="002B2FD9">
      <w:pPr>
        <w:pStyle w:val="Heading2"/>
      </w:pPr>
      <w:bookmarkStart w:id="31" w:name="_Toc78958772"/>
      <w:r w:rsidRPr="00F95181">
        <w:t>Previous</w:t>
      </w:r>
      <w:r>
        <w:t xml:space="preserve"> audits</w:t>
      </w:r>
      <w:bookmarkEnd w:id="31"/>
    </w:p>
    <w:p w14:paraId="4B81F9B2" w14:textId="08D97D5F" w:rsidR="00085EE3" w:rsidRDefault="00576948" w:rsidP="00576948">
      <w:pPr>
        <w:pStyle w:val="Body"/>
      </w:pPr>
      <w:r w:rsidRPr="001059AB">
        <w:t xml:space="preserve">Blood Matters </w:t>
      </w:r>
      <w:r w:rsidR="00085EE3">
        <w:t>has</w:t>
      </w:r>
      <w:r w:rsidR="00085EE3" w:rsidRPr="001059AB">
        <w:t xml:space="preserve"> </w:t>
      </w:r>
      <w:r w:rsidRPr="001059AB">
        <w:t xml:space="preserve">conducted two previous audits </w:t>
      </w:r>
      <w:r w:rsidR="00085EE3">
        <w:t>of</w:t>
      </w:r>
      <w:r w:rsidR="00085EE3" w:rsidRPr="001059AB">
        <w:t xml:space="preserve"> </w:t>
      </w:r>
      <w:r w:rsidRPr="001059AB">
        <w:t>patient blood management (PBM</w:t>
      </w:r>
      <w:r w:rsidR="00085EE3" w:rsidRPr="001059AB">
        <w:t>)</w:t>
      </w:r>
      <w:r w:rsidR="00085EE3">
        <w:t>:</w:t>
      </w:r>
    </w:p>
    <w:p w14:paraId="1006F6E6" w14:textId="0723E1CC" w:rsidR="00085EE3" w:rsidRPr="00085EE3" w:rsidRDefault="005E52B4" w:rsidP="002B2FD9">
      <w:pPr>
        <w:pStyle w:val="Bullet1"/>
      </w:pPr>
      <w:hyperlink r:id="rId23" w:history="1">
        <w:r w:rsidR="00576948" w:rsidRPr="002B2FD9">
          <w:rPr>
            <w:rStyle w:val="Hyperlink"/>
            <w:i/>
            <w:iCs/>
          </w:rPr>
          <w:t>Clinical audit of preoperative anaemia assessment and management in elective surgical procedures</w:t>
        </w:r>
        <w:r w:rsidR="00085EE3" w:rsidRPr="003C7AFA">
          <w:rPr>
            <w:rStyle w:val="Hyperlink"/>
          </w:rPr>
          <w:t xml:space="preserve">: </w:t>
        </w:r>
        <w:r w:rsidR="00576948" w:rsidRPr="002B2FD9">
          <w:rPr>
            <w:rStyle w:val="Hyperlink"/>
            <w:i/>
            <w:iCs/>
          </w:rPr>
          <w:t xml:space="preserve">2015 </w:t>
        </w:r>
        <w:r w:rsidR="00085EE3" w:rsidRPr="002B2FD9">
          <w:rPr>
            <w:rStyle w:val="Hyperlink"/>
            <w:i/>
            <w:iCs/>
          </w:rPr>
          <w:t>report</w:t>
        </w:r>
      </w:hyperlink>
      <w:r w:rsidR="003C7AFA">
        <w:rPr>
          <w:i/>
          <w:iCs/>
        </w:rPr>
        <w:t xml:space="preserve"> </w:t>
      </w:r>
      <w:r w:rsidR="003C7AFA">
        <w:t>&lt;</w:t>
      </w:r>
      <w:r w:rsidR="003C7AFA" w:rsidRPr="002B2FD9">
        <w:t>https://www2.health.vic.gov.au/about/publications/researchandreports/clinical-audit-of-preoperative-anaemia-assessment-and-management-2015</w:t>
      </w:r>
      <w:r w:rsidR="003C7AFA">
        <w:t>&gt;</w:t>
      </w:r>
      <w:r w:rsidR="003C7AFA" w:rsidRPr="00F95181" w:rsidDel="00085EE3">
        <w:rPr>
          <w:i/>
          <w:iCs/>
        </w:rPr>
        <w:t xml:space="preserve"> </w:t>
      </w:r>
    </w:p>
    <w:p w14:paraId="41372C18" w14:textId="691CC095" w:rsidR="00085EE3" w:rsidRPr="00085EE3" w:rsidRDefault="005E52B4" w:rsidP="002B2FD9">
      <w:pPr>
        <w:pStyle w:val="Bullet1"/>
      </w:pPr>
      <w:hyperlink r:id="rId24" w:history="1">
        <w:r w:rsidR="003C7AFA" w:rsidRPr="003C7AFA">
          <w:rPr>
            <w:rStyle w:val="Hyperlink"/>
            <w:i/>
            <w:iCs/>
          </w:rPr>
          <w:t>2020 p</w:t>
        </w:r>
        <w:r w:rsidR="003C7AFA" w:rsidRPr="002B2FD9">
          <w:rPr>
            <w:rStyle w:val="Hyperlink"/>
            <w:i/>
            <w:iCs/>
          </w:rPr>
          <w:t xml:space="preserve">reoperative </w:t>
        </w:r>
        <w:r w:rsidR="00576948" w:rsidRPr="002B2FD9">
          <w:rPr>
            <w:rStyle w:val="Hyperlink"/>
            <w:i/>
            <w:iCs/>
          </w:rPr>
          <w:t>anaemia assessment and management in elective surgical procedures survey</w:t>
        </w:r>
        <w:r w:rsidR="00576948" w:rsidRPr="002B2FD9">
          <w:rPr>
            <w:rStyle w:val="Hyperlink"/>
          </w:rPr>
          <w:t xml:space="preserve"> </w:t>
        </w:r>
        <w:r w:rsidR="003C7AFA" w:rsidRPr="002B2FD9">
          <w:rPr>
            <w:rStyle w:val="Hyperlink"/>
            <w:i/>
            <w:iCs/>
          </w:rPr>
          <w:t>report</w:t>
        </w:r>
      </w:hyperlink>
      <w:r w:rsidR="003C7AFA">
        <w:t xml:space="preserve"> &lt;</w:t>
      </w:r>
      <w:r w:rsidR="003C7AFA" w:rsidRPr="003C7AFA">
        <w:t>https://www2.health.vic.gov.au/about/publications/ResearchAndReports/preoperative-anaemia-pathway-report-2020</w:t>
      </w:r>
      <w:r w:rsidR="003C7AFA">
        <w:t>&gt;.</w:t>
      </w:r>
    </w:p>
    <w:p w14:paraId="5BA9EE6A" w14:textId="794E9BDB" w:rsidR="00576948" w:rsidRPr="001059AB" w:rsidRDefault="00183AC0" w:rsidP="002B2FD9">
      <w:pPr>
        <w:pStyle w:val="Bodyafterbullets"/>
      </w:pPr>
      <w:r>
        <w:t xml:space="preserve">Blood Matters used the results of these audits to develop recommendations for health services to improve PBM. </w:t>
      </w:r>
    </w:p>
    <w:p w14:paraId="70B62E96" w14:textId="68AC4D18" w:rsidR="00493168" w:rsidRPr="00F95181" w:rsidRDefault="00493168" w:rsidP="002B2FD9">
      <w:pPr>
        <w:pStyle w:val="Heading2"/>
      </w:pPr>
      <w:bookmarkStart w:id="32" w:name="_Toc78958773"/>
      <w:r>
        <w:t>Overview of the current audit</w:t>
      </w:r>
      <w:bookmarkEnd w:id="32"/>
    </w:p>
    <w:p w14:paraId="212C2FBA" w14:textId="7D2B13CD" w:rsidR="00576948" w:rsidRPr="001059AB" w:rsidRDefault="00183AC0" w:rsidP="00576948">
      <w:pPr>
        <w:pStyle w:val="Body"/>
      </w:pPr>
      <w:r>
        <w:t xml:space="preserve">The current </w:t>
      </w:r>
      <w:r w:rsidR="003F0EE9">
        <w:t xml:space="preserve">2020 </w:t>
      </w:r>
      <w:r>
        <w:t>audit</w:t>
      </w:r>
      <w:r w:rsidR="003F0EE9">
        <w:t xml:space="preserve"> </w:t>
      </w:r>
      <w:r>
        <w:t>shows</w:t>
      </w:r>
      <w:r w:rsidR="00576948" w:rsidRPr="001059AB">
        <w:t xml:space="preserve"> there have been limited improvements with regards to PBM programs</w:t>
      </w:r>
      <w:r>
        <w:t>.</w:t>
      </w:r>
      <w:r w:rsidRPr="001059AB">
        <w:t xml:space="preserve"> </w:t>
      </w:r>
      <w:r>
        <w:t>A</w:t>
      </w:r>
      <w:r w:rsidR="00576948" w:rsidRPr="001059AB">
        <w:t>s such</w:t>
      </w:r>
      <w:r>
        <w:t>, Blood Matters reiterates</w:t>
      </w:r>
      <w:r w:rsidR="00576948" w:rsidRPr="001059AB">
        <w:t xml:space="preserve"> a number of </w:t>
      </w:r>
      <w:r>
        <w:t xml:space="preserve">previous </w:t>
      </w:r>
      <w:r w:rsidR="00576948" w:rsidRPr="001059AB">
        <w:t xml:space="preserve">recommendations. </w:t>
      </w:r>
      <w:bookmarkStart w:id="33" w:name="_Hlk68784512"/>
      <w:r w:rsidR="00576948" w:rsidRPr="001059AB">
        <w:t>A</w:t>
      </w:r>
      <w:r>
        <w:t>ppendix 1 compares</w:t>
      </w:r>
      <w:r w:rsidR="00576948" w:rsidRPr="001059AB">
        <w:t xml:space="preserve"> the 2015 and 2020 results</w:t>
      </w:r>
      <w:bookmarkEnd w:id="33"/>
      <w:r>
        <w:t>.</w:t>
      </w:r>
    </w:p>
    <w:p w14:paraId="08FEEE56" w14:textId="77777777" w:rsidR="00183AC0" w:rsidRDefault="00576948" w:rsidP="00576948">
      <w:pPr>
        <w:pStyle w:val="Body"/>
      </w:pPr>
      <w:r w:rsidRPr="001059AB">
        <w:t>Fifty-nine health services (44 public and 15 private) contributed data to this audit</w:t>
      </w:r>
      <w:r w:rsidR="00183AC0">
        <w:t>,</w:t>
      </w:r>
      <w:r w:rsidRPr="001059AB">
        <w:t xml:space="preserve"> with 1,541 episodes being included in the final analysis. </w:t>
      </w:r>
    </w:p>
    <w:p w14:paraId="372FB688" w14:textId="148E2169" w:rsidR="00576948" w:rsidRDefault="00183AC0" w:rsidP="00576948">
      <w:pPr>
        <w:pStyle w:val="Body"/>
      </w:pPr>
      <w:r>
        <w:t>Most</w:t>
      </w:r>
      <w:r w:rsidR="00576948" w:rsidRPr="001059AB">
        <w:t xml:space="preserve"> data </w:t>
      </w:r>
      <w:proofErr w:type="gramStart"/>
      <w:r w:rsidR="00576948" w:rsidRPr="001059AB">
        <w:t>was</w:t>
      </w:r>
      <w:proofErr w:type="gramEnd"/>
      <w:r w:rsidR="00576948" w:rsidRPr="001059AB">
        <w:t xml:space="preserve"> submitted for the orthopaedic group (n = 772, 50 per cent), followed by gynaecology (n = 343, 22 per cent), major gastrointestinal (n = 296, 19 per cent) and cardiothoracic (n = 130, 8 per cent).</w:t>
      </w:r>
    </w:p>
    <w:p w14:paraId="3CEEC7A8" w14:textId="3440477D" w:rsidR="00493168" w:rsidRPr="0038378B" w:rsidRDefault="00493168" w:rsidP="002B2FD9">
      <w:pPr>
        <w:pStyle w:val="Heading2"/>
      </w:pPr>
      <w:bookmarkStart w:id="34" w:name="_Toc78958774"/>
      <w:r>
        <w:t>Preoperative anaemia assessment</w:t>
      </w:r>
      <w:bookmarkEnd w:id="34"/>
    </w:p>
    <w:p w14:paraId="7B85D115" w14:textId="7B0F345F" w:rsidR="00183AC0" w:rsidRDefault="00183AC0" w:rsidP="00576948">
      <w:pPr>
        <w:pStyle w:val="Body"/>
      </w:pPr>
      <w:r>
        <w:t>The audit shows</w:t>
      </w:r>
      <w:r w:rsidR="00576948" w:rsidRPr="001059AB">
        <w:t xml:space="preserve"> 1,250 patients </w:t>
      </w:r>
      <w:r>
        <w:t>were</w:t>
      </w:r>
      <w:r w:rsidR="00576948" w:rsidRPr="001059AB">
        <w:t xml:space="preserve"> assessed for anaemia preoperatively</w:t>
      </w:r>
      <w:r>
        <w:t>.</w:t>
      </w:r>
      <w:r w:rsidRPr="001059AB">
        <w:t xml:space="preserve"> </w:t>
      </w:r>
      <w:r>
        <w:t>H</w:t>
      </w:r>
      <w:r w:rsidRPr="001059AB">
        <w:t>owever</w:t>
      </w:r>
      <w:r>
        <w:t>,</w:t>
      </w:r>
      <w:r w:rsidRPr="001059AB">
        <w:t xml:space="preserve"> </w:t>
      </w:r>
      <w:r w:rsidR="00576948" w:rsidRPr="001059AB">
        <w:t>the timeliness, quality and follow</w:t>
      </w:r>
      <w:r w:rsidR="00971720">
        <w:t>-</w:t>
      </w:r>
      <w:r w:rsidR="00576948" w:rsidRPr="001059AB">
        <w:t xml:space="preserve">up of the assessment is less than ideal for many. </w:t>
      </w:r>
      <w:r>
        <w:t xml:space="preserve">In particular, health services are not providing adequate time </w:t>
      </w:r>
      <w:r w:rsidR="00576948" w:rsidRPr="001059AB">
        <w:t xml:space="preserve">for investigation and appropriate treatment if anaemia or iron deficiency are found. </w:t>
      </w:r>
    </w:p>
    <w:p w14:paraId="15491A33" w14:textId="08145B05" w:rsidR="00493168" w:rsidRDefault="00493168" w:rsidP="00576948">
      <w:pPr>
        <w:pStyle w:val="Body"/>
      </w:pPr>
      <w:r>
        <w:t>Results indicate that</w:t>
      </w:r>
      <w:r w:rsidR="00576948" w:rsidRPr="001059AB">
        <w:t xml:space="preserve"> the closer preoperative assessment</w:t>
      </w:r>
      <w:r w:rsidRPr="00493168">
        <w:t xml:space="preserve"> </w:t>
      </w:r>
      <w:r>
        <w:t xml:space="preserve">is to </w:t>
      </w:r>
      <w:r w:rsidRPr="001059AB">
        <w:t>the surgery date</w:t>
      </w:r>
      <w:r w:rsidR="00576948" w:rsidRPr="001059AB">
        <w:t xml:space="preserve">, the less likely </w:t>
      </w:r>
      <w:r>
        <w:t>it is that the patient will</w:t>
      </w:r>
      <w:r w:rsidR="00576948" w:rsidRPr="001059AB">
        <w:t xml:space="preserve"> have their anaemia identified</w:t>
      </w:r>
      <w:r>
        <w:t>.</w:t>
      </w:r>
      <w:r w:rsidR="00576948" w:rsidRPr="001059AB">
        <w:t xml:space="preserve"> </w:t>
      </w:r>
    </w:p>
    <w:p w14:paraId="3C7A4F94" w14:textId="3A6F1B5C" w:rsidR="00576948" w:rsidRDefault="00576948" w:rsidP="00576948">
      <w:pPr>
        <w:pStyle w:val="Body"/>
      </w:pPr>
      <w:r w:rsidRPr="001059AB">
        <w:t>Many patients attending for major surgical procedures were at risk of anaemia in the intra and postoperative periods.</w:t>
      </w:r>
    </w:p>
    <w:p w14:paraId="53797CE6" w14:textId="0DB37655" w:rsidR="00493168" w:rsidRPr="0038378B" w:rsidRDefault="00493168" w:rsidP="002B2FD9">
      <w:pPr>
        <w:pStyle w:val="Heading2"/>
      </w:pPr>
      <w:bookmarkStart w:id="35" w:name="_Toc78958775"/>
      <w:r>
        <w:t>Intraoperative blood loss</w:t>
      </w:r>
      <w:bookmarkEnd w:id="35"/>
    </w:p>
    <w:p w14:paraId="7E5E9C75" w14:textId="70FD2C30" w:rsidR="00493168" w:rsidRDefault="00576948" w:rsidP="00576948">
      <w:pPr>
        <w:pStyle w:val="Body"/>
      </w:pPr>
      <w:r w:rsidRPr="001059AB">
        <w:t xml:space="preserve">The overall documentation of intraoperative blood loss was low (37 per cent), with the notable exception of the gynaecological group, in which 72 per cent of cases had documented blood loss. </w:t>
      </w:r>
    </w:p>
    <w:p w14:paraId="6534F724" w14:textId="521C6172" w:rsidR="00493168" w:rsidRDefault="00576948" w:rsidP="00576948">
      <w:pPr>
        <w:pStyle w:val="Body"/>
      </w:pPr>
      <w:r w:rsidRPr="001059AB">
        <w:t xml:space="preserve">The </w:t>
      </w:r>
      <w:r w:rsidR="0080220B">
        <w:t xml:space="preserve">documented </w:t>
      </w:r>
      <w:r w:rsidRPr="001059AB">
        <w:t>use of intraoperative blood conservation strategies such as cell salvage (</w:t>
      </w:r>
      <w:r w:rsidR="00493168">
        <w:t>3</w:t>
      </w:r>
      <w:r w:rsidR="00493168" w:rsidRPr="001059AB">
        <w:t xml:space="preserve"> </w:t>
      </w:r>
      <w:r w:rsidRPr="001059AB">
        <w:t>per cent), deliberate induced hypotension (</w:t>
      </w:r>
      <w:r w:rsidR="00493168">
        <w:t>5</w:t>
      </w:r>
      <w:r w:rsidR="00493168" w:rsidRPr="001059AB">
        <w:t xml:space="preserve"> </w:t>
      </w:r>
      <w:r w:rsidRPr="001059AB">
        <w:t>per cent), acute normovolemic haemodilution (ANH) (</w:t>
      </w:r>
      <w:r w:rsidR="00493168">
        <w:t>4</w:t>
      </w:r>
      <w:r w:rsidR="00493168" w:rsidRPr="001059AB">
        <w:t xml:space="preserve"> </w:t>
      </w:r>
      <w:r w:rsidRPr="001059AB">
        <w:t xml:space="preserve">per cent) and </w:t>
      </w:r>
      <w:r w:rsidR="00493168" w:rsidRPr="001059AB">
        <w:t>near</w:t>
      </w:r>
      <w:r w:rsidR="00493168">
        <w:t>-</w:t>
      </w:r>
      <w:r w:rsidRPr="001059AB">
        <w:t>patient testing of coagulation (</w:t>
      </w:r>
      <w:r w:rsidR="00493168">
        <w:t>2</w:t>
      </w:r>
      <w:r w:rsidR="00493168" w:rsidRPr="001059AB">
        <w:t xml:space="preserve"> </w:t>
      </w:r>
      <w:r w:rsidRPr="001059AB">
        <w:t xml:space="preserve">per cent) were all low. </w:t>
      </w:r>
    </w:p>
    <w:p w14:paraId="3B4BC83E" w14:textId="4850F788" w:rsidR="00576948" w:rsidRPr="001059AB" w:rsidRDefault="00576948" w:rsidP="00576948">
      <w:pPr>
        <w:pStyle w:val="Body"/>
      </w:pPr>
      <w:r w:rsidRPr="001059AB">
        <w:lastRenderedPageBreak/>
        <w:t>The use of strategies such as intraoperative tranexamic acid (47 per cent) and the prevention of hypothermia (67 per cent) were more often reported.</w:t>
      </w:r>
    </w:p>
    <w:p w14:paraId="05845E08" w14:textId="640C3C0D" w:rsidR="00493168" w:rsidRPr="00F95181" w:rsidRDefault="00493168" w:rsidP="002B2FD9">
      <w:pPr>
        <w:pStyle w:val="Heading2"/>
      </w:pPr>
      <w:bookmarkStart w:id="36" w:name="_Toc78958776"/>
      <w:r>
        <w:t>Postoperative a</w:t>
      </w:r>
      <w:r w:rsidR="00F56112">
        <w:t>naemia management</w:t>
      </w:r>
      <w:bookmarkEnd w:id="36"/>
    </w:p>
    <w:p w14:paraId="10BD25F5" w14:textId="2ABB3A96" w:rsidR="00493168" w:rsidRDefault="00576948" w:rsidP="00576948">
      <w:pPr>
        <w:pStyle w:val="Body"/>
      </w:pPr>
      <w:r w:rsidRPr="001059AB">
        <w:t>Postoperatively</w:t>
      </w:r>
      <w:r w:rsidR="00493168">
        <w:t>,</w:t>
      </w:r>
      <w:r w:rsidRPr="001059AB">
        <w:t xml:space="preserve"> the majority of patients had haemoglobin documented on day one (1,305, 85 per cent), and similarly on discharge (1,364, 89 per cent). </w:t>
      </w:r>
    </w:p>
    <w:p w14:paraId="1B57B11F" w14:textId="5687A6AD" w:rsidR="00F56112" w:rsidRDefault="00F56112" w:rsidP="00576948">
      <w:pPr>
        <w:pStyle w:val="Body"/>
      </w:pPr>
      <w:r>
        <w:t>However</w:t>
      </w:r>
      <w:r w:rsidR="00971720">
        <w:t>,</w:t>
      </w:r>
      <w:r>
        <w:t xml:space="preserve"> it is concerning that</w:t>
      </w:r>
      <w:r w:rsidRPr="001059AB">
        <w:t xml:space="preserve"> </w:t>
      </w:r>
      <w:r w:rsidR="00576948" w:rsidRPr="001059AB">
        <w:t xml:space="preserve">1,026 (75 per cent) </w:t>
      </w:r>
      <w:r>
        <w:t xml:space="preserve">patients </w:t>
      </w:r>
      <w:r w:rsidR="00576948" w:rsidRPr="001059AB">
        <w:t>were anaemic on discharge</w:t>
      </w:r>
      <w:r w:rsidR="00493168">
        <w:t>, and o</w:t>
      </w:r>
      <w:r w:rsidR="00576948" w:rsidRPr="001059AB">
        <w:t>nly 70 (</w:t>
      </w:r>
      <w:r w:rsidR="00493168">
        <w:t>7</w:t>
      </w:r>
      <w:r w:rsidR="00493168" w:rsidRPr="001059AB">
        <w:t xml:space="preserve"> </w:t>
      </w:r>
      <w:r w:rsidR="00576948" w:rsidRPr="001059AB">
        <w:t xml:space="preserve">per cent) of these had anaemia management documented in their discharge plan. </w:t>
      </w:r>
    </w:p>
    <w:p w14:paraId="654DC671" w14:textId="68F18BDD" w:rsidR="00576948" w:rsidRPr="001059AB" w:rsidRDefault="00F56112" w:rsidP="00576948">
      <w:pPr>
        <w:pStyle w:val="Body"/>
      </w:pPr>
      <w:r>
        <w:t>It is unclear whether this is</w:t>
      </w:r>
      <w:r w:rsidR="00576948" w:rsidRPr="001059AB">
        <w:t xml:space="preserve"> due to anaemia not being </w:t>
      </w:r>
      <w:r>
        <w:t>appropriately recognised and managed</w:t>
      </w:r>
      <w:r w:rsidR="00576948" w:rsidRPr="001059AB">
        <w:t xml:space="preserve"> </w:t>
      </w:r>
      <w:r>
        <w:t>(</w:t>
      </w:r>
      <w:r w:rsidR="00576948" w:rsidRPr="001059AB">
        <w:t>PBM pillar 3</w:t>
      </w:r>
      <w:r>
        <w:t xml:space="preserve">), </w:t>
      </w:r>
      <w:r w:rsidR="00576948" w:rsidRPr="001059AB">
        <w:t>or</w:t>
      </w:r>
      <w:r>
        <w:t xml:space="preserve"> whether clinicians </w:t>
      </w:r>
      <w:r w:rsidR="00761C6F">
        <w:t>assumed the underlying reason</w:t>
      </w:r>
      <w:r>
        <w:t xml:space="preserve"> for the anaemia </w:t>
      </w:r>
      <w:r w:rsidR="00761C6F">
        <w:t>had been</w:t>
      </w:r>
      <w:r>
        <w:t xml:space="preserve"> corrected with surgery</w:t>
      </w:r>
      <w:r w:rsidR="008C0A98">
        <w:t>.</w:t>
      </w:r>
      <w:r w:rsidR="00576948" w:rsidRPr="001059AB">
        <w:t xml:space="preserve"> </w:t>
      </w:r>
      <w:r w:rsidR="00761C6F">
        <w:t xml:space="preserve">In any case, </w:t>
      </w:r>
      <w:r>
        <w:t xml:space="preserve">it is </w:t>
      </w:r>
      <w:r w:rsidR="00576948" w:rsidRPr="001059AB">
        <w:t>a missed opportunity to improve patient outcomes</w:t>
      </w:r>
      <w:r w:rsidR="00761C6F">
        <w:t>.</w:t>
      </w:r>
    </w:p>
    <w:p w14:paraId="6EB52CA0" w14:textId="5EA0F539" w:rsidR="00761C6F" w:rsidRPr="00F95181" w:rsidRDefault="00761C6F" w:rsidP="002B2FD9">
      <w:pPr>
        <w:pStyle w:val="Heading2"/>
      </w:pPr>
      <w:bookmarkStart w:id="37" w:name="_Toc78958777"/>
      <w:r>
        <w:t>Transfusion</w:t>
      </w:r>
      <w:bookmarkEnd w:id="37"/>
    </w:p>
    <w:p w14:paraId="73C2C7AC" w14:textId="405D644F" w:rsidR="00576948" w:rsidRDefault="00576948" w:rsidP="00576948">
      <w:pPr>
        <w:pStyle w:val="Body"/>
      </w:pPr>
      <w:r w:rsidRPr="001059AB">
        <w:t>Consistently across all surgical groups, transfusion was associated with an increased average length of stay (average 10.25 days</w:t>
      </w:r>
      <w:r w:rsidR="00761C6F" w:rsidRPr="001059AB">
        <w:t>)</w:t>
      </w:r>
      <w:r w:rsidR="00761C6F">
        <w:t>.</w:t>
      </w:r>
      <w:r w:rsidR="00761C6F" w:rsidRPr="001059AB">
        <w:t xml:space="preserve"> </w:t>
      </w:r>
      <w:r w:rsidR="00761C6F">
        <w:t>This</w:t>
      </w:r>
      <w:r w:rsidR="00761C6F" w:rsidRPr="001059AB">
        <w:t xml:space="preserve"> </w:t>
      </w:r>
      <w:r w:rsidRPr="001059AB">
        <w:t>is up to twice the length of stay for those not transfused (average 5.75 days).</w:t>
      </w:r>
    </w:p>
    <w:p w14:paraId="7DC08E78" w14:textId="47D95DA4" w:rsidR="00761C6F" w:rsidRPr="0038378B" w:rsidRDefault="00761C6F" w:rsidP="002B2FD9">
      <w:pPr>
        <w:pStyle w:val="Heading2"/>
      </w:pPr>
      <w:bookmarkStart w:id="38" w:name="_Toc78958778"/>
      <w:r>
        <w:t>Conclusion</w:t>
      </w:r>
      <w:bookmarkEnd w:id="38"/>
    </w:p>
    <w:p w14:paraId="115D7105" w14:textId="59DDFD0B" w:rsidR="00761C6F" w:rsidRDefault="00576948" w:rsidP="00576948">
      <w:pPr>
        <w:pStyle w:val="Body"/>
      </w:pPr>
      <w:r w:rsidRPr="001059AB">
        <w:t>The audit show</w:t>
      </w:r>
      <w:r w:rsidR="00761C6F">
        <w:t>s</w:t>
      </w:r>
      <w:r w:rsidRPr="001059AB">
        <w:t xml:space="preserve"> that nine years after the publication of the National PBM guidelines</w:t>
      </w:r>
      <w:r w:rsidR="00761C6F">
        <w:t>,</w:t>
      </w:r>
      <w:r w:rsidRPr="001059AB">
        <w:t xml:space="preserve"> there is still much work to be done to implement and embed timely, quality anaemia assessment and management in the surgical groups reported. </w:t>
      </w:r>
    </w:p>
    <w:p w14:paraId="5B89F269" w14:textId="77777777" w:rsidR="00761C6F" w:rsidRDefault="00576948" w:rsidP="00576948">
      <w:pPr>
        <w:pStyle w:val="Body"/>
      </w:pPr>
      <w:r w:rsidRPr="001059AB">
        <w:t xml:space="preserve">The report includes recommendations for both health services and Blood Matters to help address these gaps. </w:t>
      </w:r>
    </w:p>
    <w:p w14:paraId="1272FD89" w14:textId="01D56877" w:rsidR="00576948" w:rsidRPr="001059AB" w:rsidRDefault="00761C6F" w:rsidP="00576948">
      <w:pPr>
        <w:pStyle w:val="Body"/>
      </w:pPr>
      <w:r>
        <w:t>The ‘Patient blood management checklist’ section</w:t>
      </w:r>
      <w:r w:rsidRPr="001059AB">
        <w:t xml:space="preserve"> </w:t>
      </w:r>
      <w:r>
        <w:t>provides a checklist for</w:t>
      </w:r>
      <w:r w:rsidR="00576948" w:rsidRPr="001059AB">
        <w:t xml:space="preserve"> health services </w:t>
      </w:r>
      <w:r>
        <w:t xml:space="preserve">to </w:t>
      </w:r>
      <w:r w:rsidR="00576948" w:rsidRPr="001059AB">
        <w:t>assess their programs and identify areas for action</w:t>
      </w:r>
      <w:r>
        <w:t>.</w:t>
      </w:r>
    </w:p>
    <w:p w14:paraId="1E918EC9" w14:textId="15CB6A27" w:rsidR="00761C6F" w:rsidRDefault="00761C6F" w:rsidP="00576948">
      <w:pPr>
        <w:pStyle w:val="Body"/>
      </w:pPr>
      <w:r>
        <w:t>Blood Matters strongly advises health services</w:t>
      </w:r>
      <w:r w:rsidR="00576948" w:rsidRPr="001059AB">
        <w:t xml:space="preserve"> to</w:t>
      </w:r>
      <w:r>
        <w:t>:</w:t>
      </w:r>
      <w:r w:rsidR="00576948" w:rsidRPr="001059AB">
        <w:t xml:space="preserve"> </w:t>
      </w:r>
    </w:p>
    <w:p w14:paraId="42D89F10" w14:textId="37B41763" w:rsidR="00761C6F" w:rsidRPr="00761C6F" w:rsidRDefault="00576948" w:rsidP="002B2FD9">
      <w:pPr>
        <w:pStyle w:val="Bullet1"/>
      </w:pPr>
      <w:r w:rsidRPr="00F95181">
        <w:t>review their individual and comparative data</w:t>
      </w:r>
    </w:p>
    <w:p w14:paraId="6075218C" w14:textId="12F1F3CE" w:rsidR="00576948" w:rsidRPr="00761C6F" w:rsidRDefault="00576948" w:rsidP="002B2FD9">
      <w:pPr>
        <w:pStyle w:val="Bullet1"/>
      </w:pPr>
      <w:r w:rsidRPr="00761C6F">
        <w:t>work with the local blood management/transfusion committee to improve timely, quality assessment and management of anaemia in patients where substantial blood loss is anticipated.</w:t>
      </w:r>
    </w:p>
    <w:p w14:paraId="6F8A56B0" w14:textId="77777777" w:rsidR="00761C6F" w:rsidRDefault="00761C6F">
      <w:pPr>
        <w:spacing w:after="0" w:line="240" w:lineRule="auto"/>
        <w:rPr>
          <w:rFonts w:eastAsia="MS Gothic" w:cs="Arial"/>
          <w:bCs/>
          <w:color w:val="AF272F"/>
          <w:kern w:val="32"/>
          <w:sz w:val="44"/>
          <w:szCs w:val="44"/>
        </w:rPr>
      </w:pPr>
      <w:bookmarkStart w:id="39" w:name="_Toc61867186"/>
      <w:bookmarkStart w:id="40" w:name="_Toc69106571"/>
      <w:bookmarkStart w:id="41" w:name="_Toc72314122"/>
      <w:r>
        <w:br w:type="page"/>
      </w:r>
    </w:p>
    <w:p w14:paraId="495CF124" w14:textId="6722DA35" w:rsidR="0037064F" w:rsidRPr="008843F0" w:rsidRDefault="0037064F" w:rsidP="0037064F">
      <w:pPr>
        <w:pStyle w:val="Heading1"/>
      </w:pPr>
      <w:bookmarkStart w:id="42" w:name="_Toc78958779"/>
      <w:r w:rsidRPr="008843F0">
        <w:lastRenderedPageBreak/>
        <w:t>Recommendations</w:t>
      </w:r>
      <w:bookmarkEnd w:id="39"/>
      <w:bookmarkEnd w:id="40"/>
      <w:bookmarkEnd w:id="41"/>
      <w:bookmarkEnd w:id="42"/>
    </w:p>
    <w:p w14:paraId="7896A2F4" w14:textId="596106F1" w:rsidR="00761C6F" w:rsidRDefault="0037064F" w:rsidP="0037064F">
      <w:pPr>
        <w:pStyle w:val="Body"/>
      </w:pPr>
      <w:r w:rsidRPr="008843F0">
        <w:t>The 2020 audit demonstrates limited improvements in PBM programs following previous audits</w:t>
      </w:r>
      <w:r w:rsidR="00920CF7">
        <w:t>, so a number of previous recommendations are reiterated.</w:t>
      </w:r>
    </w:p>
    <w:p w14:paraId="0D9BC88C" w14:textId="0D9D8BCA" w:rsidR="0037064F" w:rsidRPr="008843F0" w:rsidRDefault="0037064F" w:rsidP="0037064F">
      <w:pPr>
        <w:pStyle w:val="Body"/>
      </w:pPr>
      <w:r w:rsidRPr="008843F0">
        <w:t xml:space="preserve">The recommendations </w:t>
      </w:r>
      <w:r w:rsidRPr="00B2394D">
        <w:t>have</w:t>
      </w:r>
      <w:r w:rsidRPr="008843F0">
        <w:t xml:space="preserve"> been linked to the corresponding National Blood Authority PBM guidelines ‘Module 2: Perioperative’ (Module 2) recommendations</w:t>
      </w:r>
      <w:r w:rsidR="00920CF7">
        <w:t xml:space="preserve"> </w:t>
      </w:r>
      <w:r w:rsidRPr="008843F0">
        <w:t>(R)</w:t>
      </w:r>
      <w:r w:rsidR="00920CF7">
        <w:t xml:space="preserve"> or </w:t>
      </w:r>
      <w:r w:rsidRPr="008843F0">
        <w:t xml:space="preserve">practice </w:t>
      </w:r>
      <w:r w:rsidR="00920CF7" w:rsidRPr="008843F0">
        <w:t>point</w:t>
      </w:r>
      <w:r w:rsidR="00920CF7">
        <w:t>s</w:t>
      </w:r>
      <w:r w:rsidR="00920CF7" w:rsidRPr="008843F0">
        <w:t xml:space="preserve"> </w:t>
      </w:r>
      <w:r w:rsidRPr="008843F0">
        <w:t>(PP) (NBA 2012) and the National Safety and Quality Health Services Standards (NSQHSS) (ACSQHC 2017).</w:t>
      </w:r>
    </w:p>
    <w:p w14:paraId="18AFC63E" w14:textId="7008893D" w:rsidR="00920CF7" w:rsidRDefault="0037064F" w:rsidP="0037064F">
      <w:pPr>
        <w:pStyle w:val="Body"/>
      </w:pPr>
      <w:r w:rsidRPr="008843F0">
        <w:t>All health services should include this report as a</w:t>
      </w:r>
      <w:r w:rsidR="00920CF7">
        <w:t>n agenda item for</w:t>
      </w:r>
      <w:r w:rsidRPr="008843F0">
        <w:t xml:space="preserve"> blood management/transfusion committee review. </w:t>
      </w:r>
    </w:p>
    <w:p w14:paraId="04D88D30" w14:textId="35EC0B65" w:rsidR="00CA3F76" w:rsidRDefault="00CA3F76" w:rsidP="0037064F">
      <w:pPr>
        <w:pStyle w:val="Body"/>
      </w:pPr>
      <w:r>
        <w:t>Participating health services</w:t>
      </w:r>
      <w:r w:rsidR="0037064F" w:rsidRPr="008843F0">
        <w:t xml:space="preserve"> should also report their individual and comparative data for review and </w:t>
      </w:r>
      <w:r>
        <w:t>action</w:t>
      </w:r>
      <w:r w:rsidR="0037064F" w:rsidRPr="008843F0">
        <w:t xml:space="preserve"> to address gaps in anaemia assessment and management. </w:t>
      </w:r>
    </w:p>
    <w:p w14:paraId="2C696DDD" w14:textId="3EF83800" w:rsidR="0037064F" w:rsidRDefault="0037064F" w:rsidP="0037064F">
      <w:pPr>
        <w:pStyle w:val="Body"/>
      </w:pPr>
      <w:r w:rsidRPr="008843F0">
        <w:t>The governing committee should make recommendations to address deficiencies in anaemia assessment and management practices.</w:t>
      </w:r>
    </w:p>
    <w:tbl>
      <w:tblPr>
        <w:tblStyle w:val="TableGrid1"/>
        <w:tblW w:w="0" w:type="auto"/>
        <w:tblLook w:val="04A0" w:firstRow="1" w:lastRow="0" w:firstColumn="1" w:lastColumn="0" w:noHBand="0" w:noVBand="1"/>
      </w:tblPr>
      <w:tblGrid>
        <w:gridCol w:w="6561"/>
        <w:gridCol w:w="1134"/>
        <w:gridCol w:w="1410"/>
      </w:tblGrid>
      <w:tr w:rsidR="0037064F" w:rsidRPr="008843F0" w14:paraId="6B188EC5" w14:textId="77777777" w:rsidTr="003C2836">
        <w:trPr>
          <w:trHeight w:val="582"/>
          <w:tblHeader/>
        </w:trPr>
        <w:tc>
          <w:tcPr>
            <w:tcW w:w="6408" w:type="dxa"/>
          </w:tcPr>
          <w:p w14:paraId="63A88A4E" w14:textId="68A0226C" w:rsidR="0037064F" w:rsidRPr="00F95181" w:rsidRDefault="0032433A">
            <w:pPr>
              <w:pStyle w:val="Tablecolhead"/>
              <w:rPr>
                <w:bCs/>
              </w:rPr>
            </w:pPr>
            <w:r>
              <w:t>Recommendations</w:t>
            </w:r>
            <w:r w:rsidR="00563DB2">
              <w:t xml:space="preserve"> for health services</w:t>
            </w:r>
          </w:p>
        </w:tc>
        <w:tc>
          <w:tcPr>
            <w:tcW w:w="1134" w:type="dxa"/>
          </w:tcPr>
          <w:p w14:paraId="53CEB611" w14:textId="77777777" w:rsidR="0037064F" w:rsidRPr="008843F0" w:rsidRDefault="0037064F" w:rsidP="003C2836">
            <w:pPr>
              <w:pStyle w:val="Tablecolhead"/>
            </w:pPr>
            <w:r w:rsidRPr="008843F0">
              <w:t xml:space="preserve">Module 2 </w:t>
            </w:r>
          </w:p>
        </w:tc>
        <w:tc>
          <w:tcPr>
            <w:tcW w:w="1410" w:type="dxa"/>
          </w:tcPr>
          <w:p w14:paraId="3C2B7AF3" w14:textId="77777777" w:rsidR="0037064F" w:rsidRPr="008843F0" w:rsidRDefault="0037064F" w:rsidP="003C2836">
            <w:pPr>
              <w:pStyle w:val="Tablecolhead"/>
            </w:pPr>
            <w:r w:rsidRPr="008843F0">
              <w:t>NSQHSS Standard</w:t>
            </w:r>
          </w:p>
        </w:tc>
      </w:tr>
      <w:tr w:rsidR="0037064F" w:rsidRPr="008843F0" w14:paraId="0CFA7D2F" w14:textId="77777777" w:rsidTr="003C2836">
        <w:tc>
          <w:tcPr>
            <w:tcW w:w="6408" w:type="dxa"/>
          </w:tcPr>
          <w:p w14:paraId="282A1B3F" w14:textId="7FC4BD16" w:rsidR="0037064F" w:rsidRPr="00B2394D" w:rsidRDefault="0032433A" w:rsidP="002B2FD9">
            <w:pPr>
              <w:pStyle w:val="Tabletext"/>
            </w:pPr>
            <w:r>
              <w:t>Health services should</w:t>
            </w:r>
            <w:r w:rsidRPr="00B2394D">
              <w:t xml:space="preserve"> </w:t>
            </w:r>
            <w:r w:rsidR="0037064F" w:rsidRPr="00F95181">
              <w:t>have</w:t>
            </w:r>
            <w:r w:rsidR="0037064F" w:rsidRPr="00B2394D">
              <w:t xml:space="preserve"> in place or develop a multidisciplinary, multimodal PBM program that includes anaemia assessment, optimisation and management</w:t>
            </w:r>
            <w:r>
              <w:t>.</w:t>
            </w:r>
          </w:p>
        </w:tc>
        <w:tc>
          <w:tcPr>
            <w:tcW w:w="1134" w:type="dxa"/>
          </w:tcPr>
          <w:p w14:paraId="72640724" w14:textId="77777777" w:rsidR="0037064F" w:rsidRPr="008843F0" w:rsidRDefault="0037064F" w:rsidP="003C2836">
            <w:pPr>
              <w:pStyle w:val="Tabletext"/>
            </w:pPr>
            <w:r w:rsidRPr="008843F0">
              <w:t>R 1</w:t>
            </w:r>
          </w:p>
        </w:tc>
        <w:tc>
          <w:tcPr>
            <w:tcW w:w="1410" w:type="dxa"/>
          </w:tcPr>
          <w:p w14:paraId="0272E652" w14:textId="77777777" w:rsidR="0037064F" w:rsidRPr="008843F0" w:rsidRDefault="0037064F" w:rsidP="003C2836">
            <w:pPr>
              <w:pStyle w:val="Tabletext"/>
            </w:pPr>
            <w:r w:rsidRPr="008843F0">
              <w:t>7.2</w:t>
            </w:r>
          </w:p>
        </w:tc>
      </w:tr>
      <w:tr w:rsidR="0037064F" w:rsidRPr="008843F0" w14:paraId="43F26E83" w14:textId="77777777" w:rsidTr="003C2836">
        <w:tc>
          <w:tcPr>
            <w:tcW w:w="6408" w:type="dxa"/>
          </w:tcPr>
          <w:p w14:paraId="00A119B2" w14:textId="719C5636" w:rsidR="0037064F" w:rsidRPr="00B2394D" w:rsidRDefault="0037064F" w:rsidP="002B2FD9">
            <w:pPr>
              <w:pStyle w:val="Tabletext"/>
            </w:pPr>
            <w:r w:rsidRPr="00B2394D">
              <w:t>PBM program</w:t>
            </w:r>
            <w:r w:rsidR="0032433A">
              <w:t>s</w:t>
            </w:r>
            <w:r w:rsidRPr="00B2394D">
              <w:t xml:space="preserve"> </w:t>
            </w:r>
            <w:r w:rsidR="0032433A">
              <w:t xml:space="preserve">should </w:t>
            </w:r>
            <w:r w:rsidRPr="00B2394D">
              <w:t xml:space="preserve">clearly </w:t>
            </w:r>
            <w:r w:rsidRPr="00F95181">
              <w:t>define</w:t>
            </w:r>
            <w:r w:rsidRPr="00B2394D">
              <w:t xml:space="preserve"> the roles and responsibility for anaemia/iron deficiency assessment, follow-up and management</w:t>
            </w:r>
            <w:r w:rsidR="0032433A">
              <w:t>.</w:t>
            </w:r>
          </w:p>
        </w:tc>
        <w:tc>
          <w:tcPr>
            <w:tcW w:w="1134" w:type="dxa"/>
          </w:tcPr>
          <w:p w14:paraId="3F636CD0" w14:textId="77777777" w:rsidR="0037064F" w:rsidRPr="008843F0" w:rsidRDefault="0037064F" w:rsidP="003C2836">
            <w:pPr>
              <w:pStyle w:val="Tabletext"/>
            </w:pPr>
          </w:p>
        </w:tc>
        <w:tc>
          <w:tcPr>
            <w:tcW w:w="1410" w:type="dxa"/>
          </w:tcPr>
          <w:p w14:paraId="64524A1F" w14:textId="77777777" w:rsidR="0037064F" w:rsidRPr="008843F0" w:rsidRDefault="0037064F" w:rsidP="003C2836">
            <w:pPr>
              <w:pStyle w:val="Tabletext"/>
            </w:pPr>
            <w:r w:rsidRPr="008843F0">
              <w:t>7.1</w:t>
            </w:r>
          </w:p>
        </w:tc>
      </w:tr>
      <w:tr w:rsidR="0037064F" w:rsidRPr="008843F0" w14:paraId="60FDA1F9" w14:textId="77777777" w:rsidTr="003C2836">
        <w:tc>
          <w:tcPr>
            <w:tcW w:w="6408" w:type="dxa"/>
          </w:tcPr>
          <w:p w14:paraId="46867CF8" w14:textId="7914BAA2" w:rsidR="0037064F" w:rsidRPr="00B2394D" w:rsidRDefault="0037064F" w:rsidP="002B2FD9">
            <w:pPr>
              <w:pStyle w:val="Tabletext"/>
            </w:pPr>
            <w:r w:rsidRPr="00B2394D">
              <w:t>PBM program</w:t>
            </w:r>
            <w:r w:rsidR="0032433A">
              <w:t>s should</w:t>
            </w:r>
            <w:r w:rsidRPr="00B2394D">
              <w:t xml:space="preserve"> include strategies to educate all staff (medical, surgical, anaesthetic, nursing)</w:t>
            </w:r>
            <w:r w:rsidR="0032433A">
              <w:t xml:space="preserve"> in PBM</w:t>
            </w:r>
            <w:r w:rsidRPr="00B2394D">
              <w:t xml:space="preserve">, </w:t>
            </w:r>
            <w:r w:rsidR="0032433A">
              <w:t>for example via</w:t>
            </w:r>
            <w:r w:rsidRPr="00B2394D">
              <w:t xml:space="preserve"> BloodSafe eLearning Australia</w:t>
            </w:r>
            <w:r w:rsidR="0032433A">
              <w:t>’s</w:t>
            </w:r>
            <w:r w:rsidRPr="00B2394D">
              <w:t xml:space="preserve"> </w:t>
            </w:r>
            <w:r w:rsidR="0032433A">
              <w:t>PBM</w:t>
            </w:r>
            <w:r w:rsidRPr="00B2394D">
              <w:t xml:space="preserve"> courses, in particular the ‘Perioperative’ and ‘Iron deficiency anaemia’ courses. Refer to Appendix 2 for resources</w:t>
            </w:r>
            <w:r w:rsidR="0032433A">
              <w:t>.</w:t>
            </w:r>
          </w:p>
        </w:tc>
        <w:tc>
          <w:tcPr>
            <w:tcW w:w="1134" w:type="dxa"/>
          </w:tcPr>
          <w:p w14:paraId="307506B8" w14:textId="77777777" w:rsidR="0037064F" w:rsidRPr="008843F0" w:rsidRDefault="0037064F" w:rsidP="003C2836">
            <w:pPr>
              <w:pStyle w:val="Tabletext"/>
            </w:pPr>
          </w:p>
        </w:tc>
        <w:tc>
          <w:tcPr>
            <w:tcW w:w="1410" w:type="dxa"/>
          </w:tcPr>
          <w:p w14:paraId="148F8568" w14:textId="77777777" w:rsidR="0037064F" w:rsidRPr="008843F0" w:rsidRDefault="0037064F" w:rsidP="003C2836">
            <w:pPr>
              <w:pStyle w:val="Tabletext"/>
            </w:pPr>
            <w:r w:rsidRPr="008843F0">
              <w:t>7.1</w:t>
            </w:r>
          </w:p>
        </w:tc>
      </w:tr>
      <w:tr w:rsidR="0037064F" w:rsidRPr="008843F0" w14:paraId="1C6673AA" w14:textId="77777777" w:rsidTr="003C2836">
        <w:tc>
          <w:tcPr>
            <w:tcW w:w="6408" w:type="dxa"/>
          </w:tcPr>
          <w:p w14:paraId="7D3BBA53" w14:textId="4B196DBB" w:rsidR="0037064F" w:rsidRPr="00B2394D" w:rsidRDefault="0032433A" w:rsidP="002B2FD9">
            <w:pPr>
              <w:pStyle w:val="Tabletext"/>
            </w:pPr>
            <w:r>
              <w:t xml:space="preserve">Provide </w:t>
            </w:r>
            <w:r w:rsidR="0037064F" w:rsidRPr="00B2394D">
              <w:t>information to patients to understand what PBM is, and how it can improve their outcomes</w:t>
            </w:r>
            <w:r>
              <w:t>,</w:t>
            </w:r>
            <w:r w:rsidRPr="00B2394D">
              <w:t xml:space="preserve"> </w:t>
            </w:r>
            <w:r>
              <w:t xml:space="preserve">for example, via the </w:t>
            </w:r>
            <w:hyperlink r:id="rId25" w:history="1">
              <w:r w:rsidR="0037064F" w:rsidRPr="0032433A">
                <w:rPr>
                  <w:rStyle w:val="Hyperlink"/>
                </w:rPr>
                <w:t>‘What you need to know about patient blood management’</w:t>
              </w:r>
              <w:r>
                <w:rPr>
                  <w:rStyle w:val="Hyperlink"/>
                </w:rPr>
                <w:t xml:space="preserve"> consumer information</w:t>
              </w:r>
              <w:r w:rsidR="0037064F" w:rsidRPr="0032433A">
                <w:rPr>
                  <w:rStyle w:val="Hyperlink"/>
                </w:rPr>
                <w:t xml:space="preserve"> </w:t>
              </w:r>
              <w:r w:rsidRPr="0032433A">
                <w:rPr>
                  <w:rStyle w:val="Hyperlink"/>
                </w:rPr>
                <w:t>fact sheet</w:t>
              </w:r>
            </w:hyperlink>
            <w:r>
              <w:t xml:space="preserve"> &lt;</w:t>
            </w:r>
            <w:r w:rsidRPr="0032433A">
              <w:t>https://www2.health.vic.gov.au/about/publications/factsheets/What-you-need-to-know-about-patient-blood-management</w:t>
            </w:r>
            <w:r>
              <w:t>&gt;.</w:t>
            </w:r>
          </w:p>
        </w:tc>
        <w:tc>
          <w:tcPr>
            <w:tcW w:w="1134" w:type="dxa"/>
          </w:tcPr>
          <w:p w14:paraId="7767FF6E" w14:textId="77777777" w:rsidR="0037064F" w:rsidRPr="008843F0" w:rsidRDefault="0037064F" w:rsidP="003C2836">
            <w:pPr>
              <w:pStyle w:val="Tabletext"/>
            </w:pPr>
          </w:p>
        </w:tc>
        <w:tc>
          <w:tcPr>
            <w:tcW w:w="1410" w:type="dxa"/>
          </w:tcPr>
          <w:p w14:paraId="6BBF13C6" w14:textId="77777777" w:rsidR="0037064F" w:rsidRPr="008843F0" w:rsidRDefault="0037064F" w:rsidP="003C2836">
            <w:pPr>
              <w:pStyle w:val="Tabletext"/>
            </w:pPr>
            <w:r w:rsidRPr="008843F0">
              <w:t>7.3</w:t>
            </w:r>
          </w:p>
        </w:tc>
      </w:tr>
      <w:tr w:rsidR="0037064F" w:rsidRPr="008843F0" w14:paraId="5DF014AE" w14:textId="77777777" w:rsidTr="003C2836">
        <w:tc>
          <w:tcPr>
            <w:tcW w:w="6408" w:type="dxa"/>
          </w:tcPr>
          <w:p w14:paraId="2170076B" w14:textId="195C37CE" w:rsidR="0037064F" w:rsidRPr="00B2394D" w:rsidRDefault="0032433A" w:rsidP="002B2FD9">
            <w:pPr>
              <w:pStyle w:val="Tabletext"/>
            </w:pPr>
            <w:r>
              <w:t>A</w:t>
            </w:r>
            <w:r w:rsidRPr="00B2394D">
              <w:t xml:space="preserve">ll </w:t>
            </w:r>
            <w:r w:rsidR="0037064F" w:rsidRPr="00B2394D">
              <w:t xml:space="preserve">patients attending for major </w:t>
            </w:r>
            <w:r w:rsidR="0037064F" w:rsidRPr="00F95181">
              <w:t>surgical</w:t>
            </w:r>
            <w:r w:rsidR="0037064F" w:rsidRPr="00B2394D">
              <w:t xml:space="preserve"> procedures where there is the risk of significant blood loss (&gt;</w:t>
            </w:r>
            <w:r>
              <w:t> </w:t>
            </w:r>
            <w:r w:rsidR="0037064F" w:rsidRPr="00B2394D">
              <w:t>500</w:t>
            </w:r>
            <w:r>
              <w:t> </w:t>
            </w:r>
            <w:r w:rsidR="0037064F" w:rsidRPr="00B2394D">
              <w:t>mL) should have timely assessment (within the clinical urgency of surgery) for anaemia and iron deficiency (FBE and ferritin at a minimum), with further testing depending on results from these tests</w:t>
            </w:r>
            <w:r>
              <w:t>.</w:t>
            </w:r>
            <w:r w:rsidR="0037064F" w:rsidRPr="00B2394D">
              <w:t xml:space="preserve"> </w:t>
            </w:r>
          </w:p>
        </w:tc>
        <w:tc>
          <w:tcPr>
            <w:tcW w:w="1134" w:type="dxa"/>
          </w:tcPr>
          <w:p w14:paraId="61D9525C" w14:textId="77777777" w:rsidR="0037064F" w:rsidRPr="008843F0" w:rsidRDefault="0037064F" w:rsidP="003C2836">
            <w:pPr>
              <w:pStyle w:val="Tabletext"/>
            </w:pPr>
          </w:p>
        </w:tc>
        <w:tc>
          <w:tcPr>
            <w:tcW w:w="1410" w:type="dxa"/>
          </w:tcPr>
          <w:p w14:paraId="69397FFE" w14:textId="77777777" w:rsidR="0037064F" w:rsidRPr="008843F0" w:rsidRDefault="0037064F" w:rsidP="003C2836">
            <w:pPr>
              <w:pStyle w:val="Tabletext"/>
            </w:pPr>
            <w:r w:rsidRPr="008843F0">
              <w:t>7.4</w:t>
            </w:r>
          </w:p>
        </w:tc>
      </w:tr>
      <w:tr w:rsidR="0037064F" w:rsidRPr="008843F0" w14:paraId="6E2AA6A4" w14:textId="77777777" w:rsidTr="003C2836">
        <w:tc>
          <w:tcPr>
            <w:tcW w:w="6408" w:type="dxa"/>
          </w:tcPr>
          <w:p w14:paraId="5E563625" w14:textId="69DAB1CF" w:rsidR="0037064F" w:rsidRPr="00B2394D" w:rsidRDefault="0032433A" w:rsidP="002B2FD9">
            <w:pPr>
              <w:pStyle w:val="Tabletext"/>
            </w:pPr>
            <w:r>
              <w:t>Ensure timely a</w:t>
            </w:r>
            <w:r w:rsidRPr="00B2394D">
              <w:t xml:space="preserve">naemia </w:t>
            </w:r>
            <w:r w:rsidR="0037064F" w:rsidRPr="00B2394D">
              <w:t>and iron deficiency assessment to allow for follow</w:t>
            </w:r>
            <w:r w:rsidR="00173908">
              <w:t>-</w:t>
            </w:r>
            <w:r w:rsidR="0037064F" w:rsidRPr="00B2394D">
              <w:t xml:space="preserve">up and treatment. </w:t>
            </w:r>
            <w:r>
              <w:t xml:space="preserve">Consider starting the </w:t>
            </w:r>
            <w:r w:rsidR="0037064F" w:rsidRPr="00B2394D">
              <w:t xml:space="preserve">process when surgery is </w:t>
            </w:r>
            <w:r>
              <w:t xml:space="preserve">booked or </w:t>
            </w:r>
            <w:r w:rsidR="0037064F" w:rsidRPr="00B2394D">
              <w:t xml:space="preserve">waitlisted </w:t>
            </w:r>
            <w:r>
              <w:t>(</w:t>
            </w:r>
            <w:r w:rsidR="0037064F" w:rsidRPr="00B2394D">
              <w:t>within the clinical urgency of surgery</w:t>
            </w:r>
            <w:r>
              <w:t>)</w:t>
            </w:r>
            <w:r w:rsidRPr="00B2394D">
              <w:t xml:space="preserve">, </w:t>
            </w:r>
            <w:r w:rsidR="0037064F" w:rsidRPr="00B2394D">
              <w:t xml:space="preserve">rather than at </w:t>
            </w:r>
            <w:proofErr w:type="spellStart"/>
            <w:r w:rsidR="0037064F" w:rsidRPr="00B2394D">
              <w:t>preanaesthetic</w:t>
            </w:r>
            <w:proofErr w:type="spellEnd"/>
            <w:r w:rsidR="0037064F" w:rsidRPr="00B2394D">
              <w:t xml:space="preserve"> clinic or other similar appointment</w:t>
            </w:r>
            <w:r>
              <w:t>.</w:t>
            </w:r>
          </w:p>
        </w:tc>
        <w:tc>
          <w:tcPr>
            <w:tcW w:w="1134" w:type="dxa"/>
          </w:tcPr>
          <w:p w14:paraId="2C68089A" w14:textId="77777777" w:rsidR="0037064F" w:rsidRPr="008843F0" w:rsidRDefault="0037064F" w:rsidP="003C2836">
            <w:pPr>
              <w:pStyle w:val="Tabletext"/>
            </w:pPr>
            <w:r w:rsidRPr="008843F0">
              <w:t>PP 1, 4 &amp; 5</w:t>
            </w:r>
          </w:p>
        </w:tc>
        <w:tc>
          <w:tcPr>
            <w:tcW w:w="1410" w:type="dxa"/>
          </w:tcPr>
          <w:p w14:paraId="2E1EC9A6" w14:textId="77777777" w:rsidR="0037064F" w:rsidRPr="008843F0" w:rsidRDefault="0037064F" w:rsidP="003C2836">
            <w:pPr>
              <w:pStyle w:val="Tabletext"/>
            </w:pPr>
            <w:r w:rsidRPr="008843F0">
              <w:t>7.3, 7.4</w:t>
            </w:r>
          </w:p>
        </w:tc>
      </w:tr>
      <w:tr w:rsidR="0037064F" w:rsidRPr="008843F0" w14:paraId="2A186F02" w14:textId="77777777" w:rsidTr="003C2836">
        <w:tc>
          <w:tcPr>
            <w:tcW w:w="6408" w:type="dxa"/>
          </w:tcPr>
          <w:p w14:paraId="7547CA66" w14:textId="6114FA81" w:rsidR="0037064F" w:rsidRPr="00B2394D" w:rsidRDefault="00563DB2" w:rsidP="002B2FD9">
            <w:pPr>
              <w:pStyle w:val="Tabletext"/>
            </w:pPr>
            <w:r>
              <w:t>Inform g</w:t>
            </w:r>
            <w:r w:rsidR="0037064F" w:rsidRPr="00B2394D">
              <w:t xml:space="preserve">eneral practitioners (GPs) when patients are placed on surgical waitlists and </w:t>
            </w:r>
            <w:r>
              <w:t>provide</w:t>
            </w:r>
            <w:r w:rsidRPr="00B2394D">
              <w:t xml:space="preserve"> </w:t>
            </w:r>
            <w:r w:rsidR="0037064F" w:rsidRPr="00B2394D">
              <w:t>information (and, where appropriate, instruction) regarding tests that should be taken for preoperative anaemia and iron deficiency testing.</w:t>
            </w:r>
            <w:r>
              <w:t xml:space="preserve"> </w:t>
            </w:r>
            <w:r w:rsidR="00AC7CA4">
              <w:t xml:space="preserve">Provide a way for GPs to send </w:t>
            </w:r>
            <w:r w:rsidR="0037064F" w:rsidRPr="00B2394D">
              <w:t>feedback to the health service</w:t>
            </w:r>
            <w:r w:rsidR="00AC7CA4">
              <w:t>, and to</w:t>
            </w:r>
            <w:r w:rsidR="0037064F" w:rsidRPr="00B2394D">
              <w:t xml:space="preserve"> facilitate specialist referral or testing</w:t>
            </w:r>
            <w:r>
              <w:t>.</w:t>
            </w:r>
          </w:p>
        </w:tc>
        <w:tc>
          <w:tcPr>
            <w:tcW w:w="1134" w:type="dxa"/>
          </w:tcPr>
          <w:p w14:paraId="5E2CAFC0" w14:textId="77777777" w:rsidR="0037064F" w:rsidRPr="008843F0" w:rsidRDefault="0037064F" w:rsidP="003C2836">
            <w:pPr>
              <w:pStyle w:val="Tabletext"/>
            </w:pPr>
            <w:r w:rsidRPr="008843F0">
              <w:t>R 1</w:t>
            </w:r>
          </w:p>
        </w:tc>
        <w:tc>
          <w:tcPr>
            <w:tcW w:w="1410" w:type="dxa"/>
          </w:tcPr>
          <w:p w14:paraId="735F4CF6" w14:textId="77777777" w:rsidR="0037064F" w:rsidRPr="008843F0" w:rsidRDefault="0037064F" w:rsidP="003C2836">
            <w:pPr>
              <w:pStyle w:val="Tabletext"/>
            </w:pPr>
            <w:r w:rsidRPr="008843F0">
              <w:t>7.1</w:t>
            </w:r>
          </w:p>
        </w:tc>
      </w:tr>
      <w:tr w:rsidR="0037064F" w:rsidRPr="008843F0" w14:paraId="627B4E45" w14:textId="77777777" w:rsidTr="003C2836">
        <w:tc>
          <w:tcPr>
            <w:tcW w:w="6408" w:type="dxa"/>
          </w:tcPr>
          <w:p w14:paraId="06675A19" w14:textId="7912C6EC" w:rsidR="0037064F" w:rsidRPr="00B2394D" w:rsidRDefault="00AC7CA4" w:rsidP="002B2FD9">
            <w:pPr>
              <w:pStyle w:val="Tabletext"/>
            </w:pPr>
            <w:r>
              <w:lastRenderedPageBreak/>
              <w:t>P</w:t>
            </w:r>
            <w:r w:rsidR="0037064F" w:rsidRPr="00B2394D">
              <w:t xml:space="preserve">atients treated for anaemia or iron deficiency </w:t>
            </w:r>
            <w:r>
              <w:t>should be</w:t>
            </w:r>
            <w:r w:rsidRPr="00B2394D">
              <w:t xml:space="preserve"> </w:t>
            </w:r>
            <w:r w:rsidR="0037064F" w:rsidRPr="00B2394D">
              <w:t>reviewed prior to surgery to assess the effectiveness of treatment</w:t>
            </w:r>
            <w:r>
              <w:t>.</w:t>
            </w:r>
            <w:r w:rsidR="0037064F" w:rsidRPr="00B2394D">
              <w:t xml:space="preserve"> </w:t>
            </w:r>
          </w:p>
        </w:tc>
        <w:tc>
          <w:tcPr>
            <w:tcW w:w="1134" w:type="dxa"/>
          </w:tcPr>
          <w:p w14:paraId="45F837AA" w14:textId="77777777" w:rsidR="0037064F" w:rsidRPr="008843F0" w:rsidRDefault="0037064F" w:rsidP="003C2836">
            <w:pPr>
              <w:pStyle w:val="Tabletext"/>
            </w:pPr>
          </w:p>
        </w:tc>
        <w:tc>
          <w:tcPr>
            <w:tcW w:w="1410" w:type="dxa"/>
          </w:tcPr>
          <w:p w14:paraId="5E7C52A4" w14:textId="77777777" w:rsidR="0037064F" w:rsidRPr="008843F0" w:rsidRDefault="0037064F" w:rsidP="003C2836">
            <w:pPr>
              <w:pStyle w:val="Tabletext"/>
            </w:pPr>
            <w:r w:rsidRPr="008843F0">
              <w:t>7.4, 7.5</w:t>
            </w:r>
          </w:p>
        </w:tc>
      </w:tr>
      <w:tr w:rsidR="0037064F" w:rsidRPr="008843F0" w14:paraId="2AB931AC" w14:textId="77777777" w:rsidTr="003C2836">
        <w:tc>
          <w:tcPr>
            <w:tcW w:w="6408" w:type="dxa"/>
          </w:tcPr>
          <w:p w14:paraId="2F768E1A" w14:textId="25D33DEB" w:rsidR="0037064F" w:rsidRPr="00B2394D" w:rsidRDefault="003C2836" w:rsidP="002B2FD9">
            <w:pPr>
              <w:pStyle w:val="Tabletext"/>
            </w:pPr>
            <w:r>
              <w:t>Consider</w:t>
            </w:r>
            <w:r w:rsidR="0037064F" w:rsidRPr="00B2394D">
              <w:t xml:space="preserve"> intraoperative blood conservation strategies early to allow adequate </w:t>
            </w:r>
            <w:r w:rsidR="0037064F" w:rsidRPr="00F95181">
              <w:t>planning</w:t>
            </w:r>
            <w:r w:rsidR="0037064F" w:rsidRPr="00B2394D">
              <w:t xml:space="preserve">, such as cell salvage, tranexamic acid, prevention of hypothermia, </w:t>
            </w:r>
            <w:r w:rsidR="00AC7CA4" w:rsidRPr="00B2394D">
              <w:t>near</w:t>
            </w:r>
            <w:r w:rsidR="00AC7CA4">
              <w:t>-</w:t>
            </w:r>
            <w:r w:rsidR="0037064F" w:rsidRPr="00B2394D">
              <w:t>point patient testing of coagulation and other strategies that may be available and appropriate for the surgical procedure</w:t>
            </w:r>
            <w:r w:rsidR="00AC7CA4">
              <w:t>.</w:t>
            </w:r>
            <w:r w:rsidR="0037064F" w:rsidRPr="00B2394D">
              <w:t xml:space="preserve"> </w:t>
            </w:r>
          </w:p>
        </w:tc>
        <w:tc>
          <w:tcPr>
            <w:tcW w:w="1134" w:type="dxa"/>
          </w:tcPr>
          <w:p w14:paraId="72363789" w14:textId="77777777" w:rsidR="0037064F" w:rsidRPr="008843F0" w:rsidRDefault="0037064F" w:rsidP="003C2836">
            <w:pPr>
              <w:pStyle w:val="Tabletext"/>
            </w:pPr>
            <w:r w:rsidRPr="008843F0">
              <w:t>R 12-19, PP 11, 12, &amp; 13</w:t>
            </w:r>
          </w:p>
        </w:tc>
        <w:tc>
          <w:tcPr>
            <w:tcW w:w="1410" w:type="dxa"/>
          </w:tcPr>
          <w:p w14:paraId="24FD7689" w14:textId="77777777" w:rsidR="0037064F" w:rsidRPr="008843F0" w:rsidRDefault="0037064F" w:rsidP="003C2836">
            <w:pPr>
              <w:pStyle w:val="Tabletext"/>
            </w:pPr>
            <w:r w:rsidRPr="008843F0">
              <w:t>7.4, 7.5</w:t>
            </w:r>
          </w:p>
        </w:tc>
      </w:tr>
      <w:tr w:rsidR="0037064F" w:rsidRPr="008843F0" w14:paraId="1ACC866D" w14:textId="77777777" w:rsidTr="003C2836">
        <w:tc>
          <w:tcPr>
            <w:tcW w:w="6408" w:type="dxa"/>
          </w:tcPr>
          <w:p w14:paraId="1DB36D67" w14:textId="0B0B10F3" w:rsidR="0037064F" w:rsidRPr="00B2394D" w:rsidRDefault="00AC7CA4" w:rsidP="002B2FD9">
            <w:pPr>
              <w:pStyle w:val="Tabletext"/>
            </w:pPr>
            <w:r>
              <w:t>Ensure there is a process to investigate</w:t>
            </w:r>
            <w:r w:rsidR="0037064F" w:rsidRPr="00B2394D">
              <w:t xml:space="preserve"> patients with ongoing anaemia</w:t>
            </w:r>
            <w:r>
              <w:t>. If</w:t>
            </w:r>
            <w:r w:rsidR="0037064F" w:rsidRPr="00B2394D">
              <w:t xml:space="preserve"> anaemia is present on discharge, </w:t>
            </w:r>
            <w:r>
              <w:t xml:space="preserve">provide </w:t>
            </w:r>
            <w:r w:rsidR="0037064F" w:rsidRPr="00B2394D">
              <w:t xml:space="preserve">management </w:t>
            </w:r>
            <w:r>
              <w:t>plans for</w:t>
            </w:r>
            <w:r w:rsidR="0037064F" w:rsidRPr="00B2394D">
              <w:t xml:space="preserve"> the patient</w:t>
            </w:r>
            <w:r>
              <w:t xml:space="preserve"> and</w:t>
            </w:r>
            <w:r w:rsidRPr="00B2394D">
              <w:t xml:space="preserve"> </w:t>
            </w:r>
            <w:r w:rsidR="0037064F" w:rsidRPr="00B2394D">
              <w:t>GP</w:t>
            </w:r>
            <w:r>
              <w:t>,</w:t>
            </w:r>
            <w:r w:rsidR="0037064F" w:rsidRPr="00B2394D">
              <w:t xml:space="preserve"> and </w:t>
            </w:r>
            <w:r>
              <w:t>include these in</w:t>
            </w:r>
            <w:r w:rsidR="0037064F" w:rsidRPr="00B2394D">
              <w:t xml:space="preserve"> the discharge plan</w:t>
            </w:r>
            <w:r>
              <w:t>.</w:t>
            </w:r>
          </w:p>
        </w:tc>
        <w:tc>
          <w:tcPr>
            <w:tcW w:w="1134" w:type="dxa"/>
          </w:tcPr>
          <w:p w14:paraId="0778BAB3" w14:textId="77777777" w:rsidR="0037064F" w:rsidRPr="008843F0" w:rsidRDefault="0037064F" w:rsidP="003C2836">
            <w:pPr>
              <w:pStyle w:val="Tabletext"/>
            </w:pPr>
            <w:r w:rsidRPr="008843F0">
              <w:t>PP 6 &amp; 7</w:t>
            </w:r>
          </w:p>
        </w:tc>
        <w:tc>
          <w:tcPr>
            <w:tcW w:w="1410" w:type="dxa"/>
          </w:tcPr>
          <w:p w14:paraId="3D9F13EF" w14:textId="77777777" w:rsidR="0037064F" w:rsidRPr="008843F0" w:rsidRDefault="0037064F" w:rsidP="003C2836">
            <w:pPr>
              <w:pStyle w:val="Tabletext"/>
            </w:pPr>
            <w:r w:rsidRPr="008843F0">
              <w:t>7.4, 7.5</w:t>
            </w:r>
          </w:p>
        </w:tc>
      </w:tr>
      <w:tr w:rsidR="0037064F" w:rsidRPr="008843F0" w14:paraId="67F46F23" w14:textId="77777777" w:rsidTr="003C2836">
        <w:tc>
          <w:tcPr>
            <w:tcW w:w="6408" w:type="dxa"/>
          </w:tcPr>
          <w:p w14:paraId="334DCBD4" w14:textId="454C784E" w:rsidR="0037064F" w:rsidRPr="00B2394D" w:rsidRDefault="00AC7CA4" w:rsidP="002B2FD9">
            <w:pPr>
              <w:pStyle w:val="Tabletext"/>
            </w:pPr>
            <w:r>
              <w:t>R</w:t>
            </w:r>
            <w:r w:rsidRPr="00B2394D">
              <w:t>egular</w:t>
            </w:r>
            <w:r>
              <w:t>ly</w:t>
            </w:r>
            <w:r w:rsidRPr="00B2394D">
              <w:t xml:space="preserve"> </w:t>
            </w:r>
            <w:r w:rsidR="0037064F" w:rsidRPr="00B2394D">
              <w:t>evalua</w:t>
            </w:r>
            <w:r>
              <w:t>te</w:t>
            </w:r>
            <w:r w:rsidR="0037064F" w:rsidRPr="00B2394D">
              <w:t xml:space="preserve"> PBM programs, adherence to </w:t>
            </w:r>
            <w:r w:rsidR="0037064F" w:rsidRPr="00F95181">
              <w:t>guidelines</w:t>
            </w:r>
            <w:r w:rsidR="0037064F" w:rsidRPr="00B2394D">
              <w:t>/protocols and effects on transfusion and other outcomes</w:t>
            </w:r>
            <w:r>
              <w:t xml:space="preserve">. Provide feedback </w:t>
            </w:r>
            <w:r w:rsidR="0037064F" w:rsidRPr="00B2394D">
              <w:t xml:space="preserve">to clinical groups, risk management and/or executive </w:t>
            </w:r>
            <w:r>
              <w:t>committees</w:t>
            </w:r>
            <w:r w:rsidR="0037064F" w:rsidRPr="00B2394D">
              <w:t xml:space="preserve">. </w:t>
            </w:r>
            <w:r>
              <w:t>Use the ‘Patient blood management checklist’</w:t>
            </w:r>
            <w:r w:rsidRPr="00B2394D" w:rsidDel="00AC7CA4">
              <w:t xml:space="preserve"> </w:t>
            </w:r>
            <w:r w:rsidR="0037064F" w:rsidRPr="00B2394D">
              <w:t>(or similar) to determine actions and progress</w:t>
            </w:r>
            <w:r>
              <w:t>.</w:t>
            </w:r>
          </w:p>
        </w:tc>
        <w:tc>
          <w:tcPr>
            <w:tcW w:w="1134" w:type="dxa"/>
          </w:tcPr>
          <w:p w14:paraId="4A9161C0" w14:textId="77777777" w:rsidR="0037064F" w:rsidRPr="008843F0" w:rsidRDefault="0037064F" w:rsidP="003C2836">
            <w:pPr>
              <w:pStyle w:val="Tabletext"/>
            </w:pPr>
          </w:p>
        </w:tc>
        <w:tc>
          <w:tcPr>
            <w:tcW w:w="1410" w:type="dxa"/>
          </w:tcPr>
          <w:p w14:paraId="465FE581" w14:textId="77777777" w:rsidR="0037064F" w:rsidRPr="008843F0" w:rsidRDefault="0037064F" w:rsidP="003C2836">
            <w:pPr>
              <w:pStyle w:val="Tabletext"/>
            </w:pPr>
            <w:r w:rsidRPr="008843F0">
              <w:t>7.2</w:t>
            </w:r>
          </w:p>
        </w:tc>
      </w:tr>
    </w:tbl>
    <w:p w14:paraId="77ABB041" w14:textId="77777777" w:rsidR="0037064F" w:rsidRPr="0037064F" w:rsidRDefault="0037064F" w:rsidP="0037064F">
      <w:pPr>
        <w:pStyle w:val="Body"/>
      </w:pPr>
    </w:p>
    <w:tbl>
      <w:tblPr>
        <w:tblStyle w:val="TableGrid1"/>
        <w:tblW w:w="0" w:type="auto"/>
        <w:tblLook w:val="04A0" w:firstRow="1" w:lastRow="0" w:firstColumn="1" w:lastColumn="0" w:noHBand="0" w:noVBand="1"/>
      </w:tblPr>
      <w:tblGrid>
        <w:gridCol w:w="9180"/>
      </w:tblGrid>
      <w:tr w:rsidR="0037064F" w:rsidRPr="00B2394D" w14:paraId="2DC9EA38" w14:textId="77777777" w:rsidTr="002B2FD9">
        <w:tc>
          <w:tcPr>
            <w:tcW w:w="9180" w:type="dxa"/>
          </w:tcPr>
          <w:p w14:paraId="4EB26B44" w14:textId="21B020FA" w:rsidR="0037064F" w:rsidRPr="00F95181" w:rsidRDefault="0037064F" w:rsidP="002B2FD9">
            <w:pPr>
              <w:pStyle w:val="Tablecolhead"/>
              <w:rPr>
                <w:rFonts w:eastAsia="Times"/>
              </w:rPr>
            </w:pPr>
            <w:r w:rsidRPr="008843F0">
              <w:rPr>
                <w:rFonts w:eastAsia="Times"/>
              </w:rPr>
              <w:t xml:space="preserve">Recommendations </w:t>
            </w:r>
            <w:r w:rsidR="00AC7CA4">
              <w:rPr>
                <w:rFonts w:eastAsia="Times"/>
              </w:rPr>
              <w:t>for Blood Matters</w:t>
            </w:r>
          </w:p>
        </w:tc>
      </w:tr>
      <w:tr w:rsidR="00AC7CA4" w:rsidRPr="00B2394D" w14:paraId="08009941" w14:textId="77777777" w:rsidTr="002B2FD9">
        <w:tc>
          <w:tcPr>
            <w:tcW w:w="9180" w:type="dxa"/>
          </w:tcPr>
          <w:p w14:paraId="437559BE" w14:textId="37575DCE" w:rsidR="00AC7CA4" w:rsidRPr="00B2394D" w:rsidDel="00AC7CA4" w:rsidRDefault="00AC7CA4" w:rsidP="00AC7CA4">
            <w:pPr>
              <w:pStyle w:val="Tabletext"/>
              <w:rPr>
                <w:rFonts w:eastAsia="Times"/>
              </w:rPr>
            </w:pPr>
            <w:r>
              <w:rPr>
                <w:rFonts w:eastAsia="Times"/>
              </w:rPr>
              <w:t>P</w:t>
            </w:r>
            <w:r w:rsidRPr="008843F0">
              <w:rPr>
                <w:rFonts w:eastAsia="Times"/>
              </w:rPr>
              <w:t>rovide this report to relevant colleges and societies, with targeted information highlighting gaps in practice for the clinical specialties audited (infographic and flow</w:t>
            </w:r>
            <w:r w:rsidR="00971720">
              <w:rPr>
                <w:rFonts w:eastAsia="Times"/>
              </w:rPr>
              <w:t xml:space="preserve"> </w:t>
            </w:r>
            <w:r w:rsidRPr="008843F0">
              <w:rPr>
                <w:rFonts w:eastAsia="Times"/>
              </w:rPr>
              <w:t>chart)</w:t>
            </w:r>
            <w:r>
              <w:rPr>
                <w:rFonts w:eastAsia="Times"/>
              </w:rPr>
              <w:t>.</w:t>
            </w:r>
          </w:p>
        </w:tc>
      </w:tr>
      <w:tr w:rsidR="00AC7CA4" w:rsidRPr="00B2394D" w14:paraId="7BB17185" w14:textId="77777777" w:rsidTr="002B2FD9">
        <w:tc>
          <w:tcPr>
            <w:tcW w:w="9180" w:type="dxa"/>
          </w:tcPr>
          <w:p w14:paraId="47113F2D" w14:textId="62E63B10" w:rsidR="00AC7CA4" w:rsidRPr="00B2394D" w:rsidDel="00AC7CA4" w:rsidRDefault="00AC7CA4" w:rsidP="00AC7CA4">
            <w:pPr>
              <w:pStyle w:val="Tabletext"/>
              <w:rPr>
                <w:rFonts w:eastAsia="Times"/>
              </w:rPr>
            </w:pPr>
            <w:r>
              <w:rPr>
                <w:rFonts w:eastAsia="Times"/>
              </w:rPr>
              <w:t>S</w:t>
            </w:r>
            <w:r w:rsidRPr="008843F0">
              <w:rPr>
                <w:rFonts w:eastAsia="Times"/>
              </w:rPr>
              <w:t>hare this report with the National Blood Authority and Patient Blood Management Advisory Committee for consideration and discussion</w:t>
            </w:r>
            <w:r>
              <w:rPr>
                <w:rFonts w:eastAsia="Times"/>
              </w:rPr>
              <w:t>.</w:t>
            </w:r>
          </w:p>
        </w:tc>
      </w:tr>
      <w:tr w:rsidR="00AC7CA4" w:rsidRPr="00B2394D" w14:paraId="6AFDA066" w14:textId="77777777" w:rsidTr="002B2FD9">
        <w:tc>
          <w:tcPr>
            <w:tcW w:w="9180" w:type="dxa"/>
          </w:tcPr>
          <w:p w14:paraId="3B87FCE5" w14:textId="303A8982" w:rsidR="00AC7CA4" w:rsidRPr="00B2394D" w:rsidDel="00AC7CA4" w:rsidRDefault="00AC7CA4" w:rsidP="00AC7CA4">
            <w:pPr>
              <w:pStyle w:val="Tabletext"/>
              <w:rPr>
                <w:rFonts w:eastAsia="Times"/>
              </w:rPr>
            </w:pPr>
            <w:r>
              <w:rPr>
                <w:rFonts w:eastAsia="Times"/>
              </w:rPr>
              <w:t>Pr</w:t>
            </w:r>
            <w:r w:rsidRPr="008843F0">
              <w:rPr>
                <w:rFonts w:eastAsia="Times"/>
              </w:rPr>
              <w:t>epare a summary article to highlight the number of patients attending for surgery with anaemia/iron deficiency for inclusion in GP primary health networks newsletters</w:t>
            </w:r>
            <w:r>
              <w:rPr>
                <w:rFonts w:eastAsia="Times"/>
              </w:rPr>
              <w:t>.</w:t>
            </w:r>
          </w:p>
        </w:tc>
      </w:tr>
      <w:tr w:rsidR="00AC7CA4" w:rsidRPr="00B2394D" w14:paraId="3F6C5378" w14:textId="77777777" w:rsidTr="002B2FD9">
        <w:tc>
          <w:tcPr>
            <w:tcW w:w="9180" w:type="dxa"/>
          </w:tcPr>
          <w:p w14:paraId="76809F4D" w14:textId="4F1B03DE" w:rsidR="00AC7CA4" w:rsidRPr="00B2394D" w:rsidDel="00AC7CA4" w:rsidRDefault="00AC7CA4" w:rsidP="00AC7CA4">
            <w:pPr>
              <w:pStyle w:val="Tabletext"/>
              <w:rPr>
                <w:rFonts w:eastAsia="Times"/>
              </w:rPr>
            </w:pPr>
            <w:r>
              <w:rPr>
                <w:rFonts w:eastAsia="Times"/>
              </w:rPr>
              <w:t>P</w:t>
            </w:r>
            <w:r w:rsidRPr="008843F0">
              <w:rPr>
                <w:rFonts w:eastAsia="Times"/>
              </w:rPr>
              <w:t>repare template</w:t>
            </w:r>
            <w:r>
              <w:rPr>
                <w:rFonts w:eastAsia="Times"/>
              </w:rPr>
              <w:t>s</w:t>
            </w:r>
            <w:r w:rsidRPr="008843F0">
              <w:rPr>
                <w:rFonts w:eastAsia="Times"/>
              </w:rPr>
              <w:t xml:space="preserve"> </w:t>
            </w:r>
            <w:r>
              <w:rPr>
                <w:rFonts w:eastAsia="Times"/>
              </w:rPr>
              <w:t xml:space="preserve">for </w:t>
            </w:r>
            <w:r w:rsidRPr="008843F0">
              <w:rPr>
                <w:rFonts w:eastAsia="Times"/>
              </w:rPr>
              <w:t>presentations</w:t>
            </w:r>
            <w:r>
              <w:rPr>
                <w:rFonts w:eastAsia="Times"/>
              </w:rPr>
              <w:t xml:space="preserve"> and </w:t>
            </w:r>
            <w:r w:rsidRPr="008843F0">
              <w:rPr>
                <w:rFonts w:eastAsia="Times"/>
              </w:rPr>
              <w:t xml:space="preserve">tools that health services </w:t>
            </w:r>
            <w:r>
              <w:rPr>
                <w:rFonts w:eastAsia="Times"/>
              </w:rPr>
              <w:t xml:space="preserve">can use </w:t>
            </w:r>
            <w:r w:rsidRPr="008843F0">
              <w:rPr>
                <w:rFonts w:eastAsia="Times"/>
              </w:rPr>
              <w:t xml:space="preserve">to </w:t>
            </w:r>
            <w:r>
              <w:rPr>
                <w:rFonts w:eastAsia="Times"/>
              </w:rPr>
              <w:t>track</w:t>
            </w:r>
            <w:r w:rsidRPr="008843F0">
              <w:rPr>
                <w:rFonts w:eastAsia="Times"/>
              </w:rPr>
              <w:t xml:space="preserve"> performance </w:t>
            </w:r>
            <w:r>
              <w:rPr>
                <w:rFonts w:eastAsia="Times"/>
              </w:rPr>
              <w:t>and</w:t>
            </w:r>
            <w:r w:rsidRPr="008843F0">
              <w:rPr>
                <w:rFonts w:eastAsia="Times"/>
              </w:rPr>
              <w:t xml:space="preserve"> promote awareness</w:t>
            </w:r>
            <w:r>
              <w:rPr>
                <w:rFonts w:eastAsia="Times"/>
              </w:rPr>
              <w:t>.</w:t>
            </w:r>
            <w:r w:rsidRPr="008843F0">
              <w:rPr>
                <w:rFonts w:eastAsia="Times"/>
              </w:rPr>
              <w:t xml:space="preserve"> </w:t>
            </w:r>
          </w:p>
        </w:tc>
      </w:tr>
      <w:tr w:rsidR="00AC7CA4" w:rsidRPr="00B2394D" w14:paraId="7CE1B0FA" w14:textId="77777777" w:rsidTr="002B2FD9">
        <w:tc>
          <w:tcPr>
            <w:tcW w:w="9180" w:type="dxa"/>
          </w:tcPr>
          <w:p w14:paraId="188B5726" w14:textId="77777777" w:rsidR="0080220B" w:rsidRDefault="00AC7CA4" w:rsidP="00AC7CA4">
            <w:pPr>
              <w:pStyle w:val="Tabletext"/>
              <w:rPr>
                <w:rFonts w:eastAsia="Times"/>
              </w:rPr>
            </w:pPr>
            <w:r>
              <w:rPr>
                <w:rFonts w:eastAsia="Times"/>
              </w:rPr>
              <w:t>P</w:t>
            </w:r>
            <w:r w:rsidRPr="008843F0">
              <w:rPr>
                <w:rFonts w:eastAsia="Times"/>
              </w:rPr>
              <w:t xml:space="preserve">romote patient education resources that are available to promote patient blood management, </w:t>
            </w:r>
            <w:r>
              <w:rPr>
                <w:rFonts w:eastAsia="Times"/>
              </w:rPr>
              <w:t>such as</w:t>
            </w:r>
            <w:r w:rsidR="0080220B">
              <w:rPr>
                <w:rFonts w:eastAsia="Times"/>
              </w:rPr>
              <w:t>:</w:t>
            </w:r>
          </w:p>
          <w:p w14:paraId="04CD4EF2" w14:textId="77777777" w:rsidR="00AC7CA4" w:rsidRPr="0080220B" w:rsidRDefault="00AC7CA4" w:rsidP="0080220B">
            <w:pPr>
              <w:pStyle w:val="Tabletext"/>
              <w:numPr>
                <w:ilvl w:val="0"/>
                <w:numId w:val="41"/>
              </w:numPr>
              <w:rPr>
                <w:rFonts w:eastAsia="Times"/>
              </w:rPr>
            </w:pPr>
            <w:r>
              <w:rPr>
                <w:rFonts w:eastAsia="Times"/>
              </w:rPr>
              <w:t xml:space="preserve"> </w:t>
            </w:r>
            <w:hyperlink r:id="rId26" w:history="1">
              <w:r w:rsidRPr="0032433A">
                <w:rPr>
                  <w:rStyle w:val="Hyperlink"/>
                </w:rPr>
                <w:t>‘What you need to know about patient blood management’</w:t>
              </w:r>
              <w:r>
                <w:rPr>
                  <w:rStyle w:val="Hyperlink"/>
                </w:rPr>
                <w:t xml:space="preserve"> consumer information</w:t>
              </w:r>
              <w:r w:rsidRPr="0032433A">
                <w:rPr>
                  <w:rStyle w:val="Hyperlink"/>
                </w:rPr>
                <w:t xml:space="preserve"> fact sheet</w:t>
              </w:r>
            </w:hyperlink>
            <w:r>
              <w:t xml:space="preserve"> &lt;</w:t>
            </w:r>
            <w:r w:rsidRPr="0032433A">
              <w:t>https://www2.health.vic.gov.au/about/publications/factsheets/What-you-need-to-know-about-patient-blood-management</w:t>
            </w:r>
            <w:r>
              <w:t>&gt;.</w:t>
            </w:r>
          </w:p>
          <w:p w14:paraId="7281E957" w14:textId="4E5DCC8C" w:rsidR="0080220B" w:rsidRPr="0080220B" w:rsidDel="00AC7CA4" w:rsidRDefault="005E52B4" w:rsidP="0080220B">
            <w:pPr>
              <w:pStyle w:val="Tablebullet1"/>
              <w:numPr>
                <w:ilvl w:val="0"/>
                <w:numId w:val="41"/>
              </w:numPr>
              <w:rPr>
                <w:rFonts w:eastAsia="Times"/>
              </w:rPr>
            </w:pPr>
            <w:hyperlink r:id="rId27" w:history="1">
              <w:r w:rsidR="0080220B" w:rsidRPr="000907BC">
                <w:rPr>
                  <w:rStyle w:val="Hyperlink"/>
                  <w:rFonts w:eastAsia="Times"/>
                </w:rPr>
                <w:t>Mytransfusion website</w:t>
              </w:r>
            </w:hyperlink>
            <w:r w:rsidR="0080220B" w:rsidRPr="00B2394D">
              <w:rPr>
                <w:rFonts w:eastAsia="Times"/>
              </w:rPr>
              <w:t xml:space="preserve"> </w:t>
            </w:r>
            <w:r w:rsidR="0080220B">
              <w:rPr>
                <w:rFonts w:eastAsia="Times"/>
              </w:rPr>
              <w:t>&lt;</w:t>
            </w:r>
            <w:r w:rsidR="0080220B" w:rsidRPr="00B2394D">
              <w:rPr>
                <w:rFonts w:eastAsia="Times"/>
              </w:rPr>
              <w:t>https://mytransfusion.com.au/avoid-transfusion-1</w:t>
            </w:r>
            <w:r w:rsidR="0080220B">
              <w:rPr>
                <w:rFonts w:eastAsia="Times"/>
              </w:rPr>
              <w:t>&gt;</w:t>
            </w:r>
            <w:r w:rsidR="0080220B" w:rsidRPr="00B2394D">
              <w:rPr>
                <w:rFonts w:eastAsia="Times"/>
              </w:rPr>
              <w:t xml:space="preserve"> </w:t>
            </w:r>
          </w:p>
        </w:tc>
      </w:tr>
      <w:tr w:rsidR="0037064F" w:rsidRPr="00B2394D" w14:paraId="63C94DB3" w14:textId="77777777" w:rsidTr="002B2FD9">
        <w:tc>
          <w:tcPr>
            <w:tcW w:w="9180" w:type="dxa"/>
          </w:tcPr>
          <w:p w14:paraId="2D017415" w14:textId="4E86FCF4" w:rsidR="0037064F" w:rsidRPr="00B2394D" w:rsidRDefault="00AC7CA4" w:rsidP="003C2836">
            <w:pPr>
              <w:pStyle w:val="Tabletext"/>
              <w:rPr>
                <w:rFonts w:eastAsia="Times"/>
              </w:rPr>
            </w:pPr>
            <w:r>
              <w:rPr>
                <w:rFonts w:eastAsia="Times"/>
              </w:rPr>
              <w:t>P</w:t>
            </w:r>
            <w:r w:rsidRPr="00B2394D">
              <w:rPr>
                <w:rFonts w:eastAsia="Times"/>
              </w:rPr>
              <w:t xml:space="preserve">romote </w:t>
            </w:r>
            <w:r w:rsidR="0037064F" w:rsidRPr="00B2394D">
              <w:rPr>
                <w:rFonts w:eastAsia="Times"/>
              </w:rPr>
              <w:t>educational strategies to increase awareness of anaemia and iron deficiency</w:t>
            </w:r>
            <w:r>
              <w:rPr>
                <w:rFonts w:eastAsia="Times"/>
              </w:rPr>
              <w:t>, including</w:t>
            </w:r>
            <w:r w:rsidR="0037064F" w:rsidRPr="00B2394D">
              <w:rPr>
                <w:rFonts w:eastAsia="Times"/>
              </w:rPr>
              <w:t>:</w:t>
            </w:r>
          </w:p>
          <w:p w14:paraId="2BCF14EF" w14:textId="28F5BA68" w:rsidR="0037064F" w:rsidRPr="00B2394D" w:rsidRDefault="005E52B4" w:rsidP="002B2FD9">
            <w:pPr>
              <w:pStyle w:val="Tablebullet1"/>
              <w:rPr>
                <w:rFonts w:eastAsia="Times"/>
              </w:rPr>
            </w:pPr>
            <w:hyperlink r:id="rId28" w:history="1">
              <w:r w:rsidR="0037064F" w:rsidRPr="000907BC">
                <w:rPr>
                  <w:rStyle w:val="Hyperlink"/>
                  <w:rFonts w:eastAsia="Times"/>
                </w:rPr>
                <w:t xml:space="preserve">BloodSafe </w:t>
              </w:r>
              <w:r w:rsidR="0037064F" w:rsidRPr="002B2FD9">
                <w:rPr>
                  <w:rStyle w:val="Hyperlink"/>
                  <w:rFonts w:eastAsia="Times"/>
                </w:rPr>
                <w:t>eLearning</w:t>
              </w:r>
              <w:r w:rsidR="0037064F" w:rsidRPr="000907BC">
                <w:rPr>
                  <w:rStyle w:val="Hyperlink"/>
                  <w:rFonts w:eastAsia="Times"/>
                </w:rPr>
                <w:t xml:space="preserve"> Australia</w:t>
              </w:r>
            </w:hyperlink>
            <w:r w:rsidR="0037064F" w:rsidRPr="00B2394D">
              <w:rPr>
                <w:rFonts w:eastAsia="Times"/>
              </w:rPr>
              <w:t xml:space="preserve"> </w:t>
            </w:r>
            <w:r w:rsidR="000907BC">
              <w:rPr>
                <w:rFonts w:eastAsia="Times"/>
              </w:rPr>
              <w:t>&lt;</w:t>
            </w:r>
            <w:r w:rsidR="00AC7CA4" w:rsidRPr="00B2394D">
              <w:rPr>
                <w:rFonts w:eastAsia="Times"/>
              </w:rPr>
              <w:t>https://bloodsafelearning.org.au/</w:t>
            </w:r>
            <w:r w:rsidR="000907BC">
              <w:rPr>
                <w:rFonts w:eastAsia="Times"/>
              </w:rPr>
              <w:t>&gt;</w:t>
            </w:r>
            <w:r w:rsidR="0037064F" w:rsidRPr="00B2394D">
              <w:rPr>
                <w:rFonts w:eastAsia="Times"/>
              </w:rPr>
              <w:t xml:space="preserve"> </w:t>
            </w:r>
          </w:p>
          <w:p w14:paraId="4262DD5B" w14:textId="51E8E09C" w:rsidR="0037064F" w:rsidRPr="00B2394D" w:rsidRDefault="000907BC" w:rsidP="002B2FD9">
            <w:pPr>
              <w:pStyle w:val="Tablebullet2"/>
              <w:rPr>
                <w:rFonts w:eastAsia="Times"/>
              </w:rPr>
            </w:pPr>
            <w:r>
              <w:rPr>
                <w:rFonts w:eastAsia="Times"/>
              </w:rPr>
              <w:t>PBM</w:t>
            </w:r>
            <w:r w:rsidR="0037064F" w:rsidRPr="00B2394D">
              <w:rPr>
                <w:rFonts w:eastAsia="Times"/>
              </w:rPr>
              <w:t xml:space="preserve"> courses, in particular the ‘Perioperative’ and ‘Iron deficiency anaemia’ courses </w:t>
            </w:r>
          </w:p>
          <w:p w14:paraId="65D2BF4D" w14:textId="6DFD947A" w:rsidR="0037064F" w:rsidRPr="00B2394D" w:rsidRDefault="0037064F" w:rsidP="002B2FD9">
            <w:pPr>
              <w:pStyle w:val="Tablebullet2"/>
              <w:rPr>
                <w:rFonts w:eastAsia="Times"/>
              </w:rPr>
            </w:pPr>
            <w:r w:rsidRPr="00B2394D">
              <w:rPr>
                <w:rFonts w:eastAsia="Times"/>
              </w:rPr>
              <w:t xml:space="preserve">IV </w:t>
            </w:r>
            <w:r w:rsidR="000907BC">
              <w:rPr>
                <w:rFonts w:eastAsia="Times"/>
              </w:rPr>
              <w:t>i</w:t>
            </w:r>
            <w:r w:rsidR="000907BC" w:rsidRPr="00B2394D">
              <w:rPr>
                <w:rFonts w:eastAsia="Times"/>
              </w:rPr>
              <w:t xml:space="preserve">ron </w:t>
            </w:r>
            <w:r w:rsidRPr="00B2394D">
              <w:rPr>
                <w:rFonts w:eastAsia="Times"/>
              </w:rPr>
              <w:t>administration in primary care (video)</w:t>
            </w:r>
          </w:p>
          <w:p w14:paraId="6101E59B" w14:textId="3435FFB6" w:rsidR="0037064F" w:rsidRPr="00B2394D" w:rsidRDefault="0037064F" w:rsidP="002B2FD9">
            <w:pPr>
              <w:pStyle w:val="Tablebullet2"/>
              <w:rPr>
                <w:rFonts w:eastAsia="Times"/>
              </w:rPr>
            </w:pPr>
            <w:r w:rsidRPr="00B2394D">
              <w:rPr>
                <w:rFonts w:eastAsia="Times"/>
              </w:rPr>
              <w:t xml:space="preserve">IDA </w:t>
            </w:r>
            <w:r w:rsidR="000907BC">
              <w:rPr>
                <w:rFonts w:eastAsia="Times"/>
              </w:rPr>
              <w:t>a</w:t>
            </w:r>
            <w:r w:rsidR="000907BC" w:rsidRPr="00B2394D">
              <w:rPr>
                <w:rFonts w:eastAsia="Times"/>
              </w:rPr>
              <w:t>pp</w:t>
            </w:r>
          </w:p>
          <w:p w14:paraId="20D25615" w14:textId="77777777" w:rsidR="0037064F" w:rsidRPr="00B2394D" w:rsidRDefault="0037064F" w:rsidP="002B2FD9">
            <w:pPr>
              <w:pStyle w:val="Tablebullet2"/>
              <w:rPr>
                <w:rFonts w:eastAsia="Times"/>
              </w:rPr>
            </w:pPr>
            <w:r w:rsidRPr="00B2394D">
              <w:rPr>
                <w:rFonts w:eastAsia="Times"/>
              </w:rPr>
              <w:t>IV iron tools</w:t>
            </w:r>
          </w:p>
          <w:p w14:paraId="403D3740" w14:textId="087494C9" w:rsidR="0037064F" w:rsidRPr="00B2394D" w:rsidRDefault="005E52B4" w:rsidP="002B2FD9">
            <w:pPr>
              <w:pStyle w:val="Tablebullet1"/>
              <w:rPr>
                <w:rFonts w:eastAsia="Times"/>
              </w:rPr>
            </w:pPr>
            <w:hyperlink r:id="rId29" w:history="1">
              <w:r w:rsidR="0037064F" w:rsidRPr="000907BC">
                <w:rPr>
                  <w:rStyle w:val="Hyperlink"/>
                  <w:rFonts w:eastAsia="Times"/>
                </w:rPr>
                <w:t>Australian Red Cross Lifeblood</w:t>
              </w:r>
            </w:hyperlink>
            <w:r w:rsidR="0037064F" w:rsidRPr="00B2394D">
              <w:rPr>
                <w:rFonts w:eastAsia="Times"/>
              </w:rPr>
              <w:t xml:space="preserve"> </w:t>
            </w:r>
            <w:r w:rsidR="000907BC">
              <w:rPr>
                <w:rFonts w:eastAsia="Times"/>
              </w:rPr>
              <w:t>&lt;</w:t>
            </w:r>
            <w:r w:rsidR="000907BC" w:rsidRPr="00B2394D">
              <w:rPr>
                <w:rFonts w:eastAsia="Times"/>
              </w:rPr>
              <w:t>https://transfusion.com.au/transfusion_practice/patient_blood_management</w:t>
            </w:r>
            <w:r w:rsidR="000907BC">
              <w:rPr>
                <w:rFonts w:eastAsia="Times"/>
              </w:rPr>
              <w:t>&gt;</w:t>
            </w:r>
            <w:r w:rsidR="0037064F" w:rsidRPr="00B2394D">
              <w:rPr>
                <w:rFonts w:eastAsia="Times"/>
              </w:rPr>
              <w:t xml:space="preserve"> </w:t>
            </w:r>
          </w:p>
          <w:p w14:paraId="077D6101" w14:textId="5A5356F4" w:rsidR="0037064F" w:rsidRPr="00B2394D" w:rsidRDefault="000907BC" w:rsidP="002B2FD9">
            <w:pPr>
              <w:pStyle w:val="Tablebullet2"/>
              <w:rPr>
                <w:rFonts w:eastAsia="Times"/>
              </w:rPr>
            </w:pPr>
            <w:r>
              <w:rPr>
                <w:rFonts w:eastAsia="Times"/>
              </w:rPr>
              <w:t>‘</w:t>
            </w:r>
            <w:r w:rsidR="0037064F" w:rsidRPr="00B2394D">
              <w:rPr>
                <w:rFonts w:eastAsia="Times"/>
              </w:rPr>
              <w:t xml:space="preserve">Patient blood management </w:t>
            </w:r>
            <w:r w:rsidR="0037064F" w:rsidRPr="00F95181">
              <w:rPr>
                <w:rFonts w:eastAsia="Times"/>
              </w:rPr>
              <w:t>pack</w:t>
            </w:r>
            <w:r>
              <w:rPr>
                <w:rFonts w:eastAsia="Times"/>
              </w:rPr>
              <w:t>’</w:t>
            </w:r>
            <w:r w:rsidR="0037064F" w:rsidRPr="00B2394D">
              <w:rPr>
                <w:rFonts w:eastAsia="Times"/>
              </w:rPr>
              <w:t xml:space="preserve"> </w:t>
            </w:r>
          </w:p>
          <w:p w14:paraId="6FFF132A" w14:textId="7B7C978A" w:rsidR="0037064F" w:rsidRPr="00B2394D" w:rsidRDefault="0037064F" w:rsidP="002B2FD9">
            <w:pPr>
              <w:pStyle w:val="Tablebullet2"/>
              <w:rPr>
                <w:rFonts w:eastAsia="Times"/>
              </w:rPr>
            </w:pPr>
            <w:proofErr w:type="spellStart"/>
            <w:r w:rsidRPr="00B2394D">
              <w:rPr>
                <w:rFonts w:eastAsia="Times"/>
              </w:rPr>
              <w:t>iTransfuse</w:t>
            </w:r>
            <w:proofErr w:type="spellEnd"/>
            <w:r w:rsidRPr="00B2394D">
              <w:rPr>
                <w:rFonts w:eastAsia="Times"/>
              </w:rPr>
              <w:t xml:space="preserve"> </w:t>
            </w:r>
            <w:r w:rsidR="000907BC">
              <w:rPr>
                <w:rFonts w:eastAsia="Times"/>
              </w:rPr>
              <w:t>a</w:t>
            </w:r>
            <w:r w:rsidR="000907BC" w:rsidRPr="00B2394D">
              <w:rPr>
                <w:rFonts w:eastAsia="Times"/>
              </w:rPr>
              <w:t>pp</w:t>
            </w:r>
          </w:p>
          <w:p w14:paraId="278F2E1E" w14:textId="1BF94DCC" w:rsidR="0037064F" w:rsidRPr="00B2394D" w:rsidRDefault="000907BC" w:rsidP="002B2FD9">
            <w:pPr>
              <w:pStyle w:val="Tablebullet2"/>
              <w:rPr>
                <w:rFonts w:eastAsia="Times"/>
              </w:rPr>
            </w:pPr>
            <w:r>
              <w:rPr>
                <w:rFonts w:eastAsia="Times"/>
              </w:rPr>
              <w:t>‘</w:t>
            </w:r>
            <w:r w:rsidR="0037064F" w:rsidRPr="00B2394D">
              <w:rPr>
                <w:rFonts w:eastAsia="Times"/>
              </w:rPr>
              <w:t xml:space="preserve">Blood </w:t>
            </w:r>
            <w:r w:rsidRPr="00F95181">
              <w:rPr>
                <w:rFonts w:eastAsia="Times"/>
              </w:rPr>
              <w:t>component</w:t>
            </w:r>
            <w:r w:rsidRPr="00B2394D">
              <w:rPr>
                <w:rFonts w:eastAsia="Times"/>
              </w:rPr>
              <w:t xml:space="preserve"> prescribing checklist</w:t>
            </w:r>
            <w:r>
              <w:rPr>
                <w:rFonts w:eastAsia="Times"/>
              </w:rPr>
              <w:t>’</w:t>
            </w:r>
            <w:r w:rsidRPr="00B2394D">
              <w:rPr>
                <w:rFonts w:eastAsia="Times"/>
              </w:rPr>
              <w:t xml:space="preserve"> </w:t>
            </w:r>
          </w:p>
          <w:p w14:paraId="3AE8F21E" w14:textId="45FC171A" w:rsidR="0037064F" w:rsidRPr="00B2394D" w:rsidRDefault="000907BC" w:rsidP="002B2FD9">
            <w:pPr>
              <w:pStyle w:val="Tablebullet2"/>
              <w:rPr>
                <w:rFonts w:eastAsia="Times"/>
              </w:rPr>
            </w:pPr>
            <w:r>
              <w:rPr>
                <w:rFonts w:eastAsia="Times"/>
              </w:rPr>
              <w:lastRenderedPageBreak/>
              <w:t>‘</w:t>
            </w:r>
            <w:r w:rsidR="0037064F" w:rsidRPr="00B2394D">
              <w:rPr>
                <w:rFonts w:eastAsia="Times"/>
              </w:rPr>
              <w:t xml:space="preserve">Toolkit for </w:t>
            </w:r>
            <w:r w:rsidRPr="00F95181">
              <w:rPr>
                <w:rFonts w:eastAsia="Times"/>
              </w:rPr>
              <w:t>maternity</w:t>
            </w:r>
            <w:r w:rsidRPr="00B2394D">
              <w:rPr>
                <w:rFonts w:eastAsia="Times"/>
              </w:rPr>
              <w:t xml:space="preserve"> blood management</w:t>
            </w:r>
            <w:r>
              <w:rPr>
                <w:rFonts w:eastAsia="Times"/>
              </w:rPr>
              <w:t>’</w:t>
            </w:r>
          </w:p>
          <w:p w14:paraId="159D2BBD" w14:textId="115D4410" w:rsidR="0037064F" w:rsidRPr="00B2394D" w:rsidRDefault="000907BC" w:rsidP="002B2FD9">
            <w:pPr>
              <w:pStyle w:val="Tablebullet2"/>
              <w:rPr>
                <w:rFonts w:eastAsia="Times"/>
              </w:rPr>
            </w:pPr>
            <w:r>
              <w:rPr>
                <w:rFonts w:eastAsia="Times"/>
              </w:rPr>
              <w:t>p</w:t>
            </w:r>
            <w:r w:rsidRPr="00B2394D">
              <w:rPr>
                <w:rFonts w:eastAsia="Times"/>
              </w:rPr>
              <w:t>resentations</w:t>
            </w:r>
            <w:r>
              <w:rPr>
                <w:rFonts w:eastAsia="Times"/>
              </w:rPr>
              <w:t>:</w:t>
            </w:r>
            <w:r w:rsidR="0037064F" w:rsidRPr="00B2394D">
              <w:rPr>
                <w:rFonts w:eastAsia="Times"/>
              </w:rPr>
              <w:t xml:space="preserve"> </w:t>
            </w:r>
            <w:r>
              <w:rPr>
                <w:rFonts w:eastAsia="Times"/>
              </w:rPr>
              <w:t>‘</w:t>
            </w:r>
            <w:r w:rsidR="0037064F" w:rsidRPr="00B2394D">
              <w:rPr>
                <w:rFonts w:eastAsia="Times"/>
              </w:rPr>
              <w:t>Understanding iron deficiency anaemia</w:t>
            </w:r>
            <w:r>
              <w:rPr>
                <w:rFonts w:eastAsia="Times"/>
              </w:rPr>
              <w:t>’</w:t>
            </w:r>
            <w:r w:rsidR="0037064F" w:rsidRPr="00B2394D">
              <w:rPr>
                <w:rFonts w:eastAsia="Times"/>
              </w:rPr>
              <w:t xml:space="preserve">, </w:t>
            </w:r>
            <w:r>
              <w:rPr>
                <w:rFonts w:eastAsia="Times"/>
              </w:rPr>
              <w:t>‘</w:t>
            </w:r>
            <w:r w:rsidR="0037064F" w:rsidRPr="00B2394D">
              <w:rPr>
                <w:rFonts w:eastAsia="Times"/>
              </w:rPr>
              <w:t>Administering iron products</w:t>
            </w:r>
            <w:r>
              <w:rPr>
                <w:rFonts w:eastAsia="Times"/>
              </w:rPr>
              <w:t>’</w:t>
            </w:r>
            <w:r w:rsidR="0037064F" w:rsidRPr="00B2394D">
              <w:rPr>
                <w:rFonts w:eastAsia="Times"/>
              </w:rPr>
              <w:t xml:space="preserve">, </w:t>
            </w:r>
            <w:r>
              <w:rPr>
                <w:rFonts w:eastAsia="Times"/>
              </w:rPr>
              <w:t>‘</w:t>
            </w:r>
            <w:r w:rsidR="0037064F" w:rsidRPr="00B2394D">
              <w:rPr>
                <w:rFonts w:eastAsia="Times"/>
              </w:rPr>
              <w:t>Anaemia: iron and beyond</w:t>
            </w:r>
            <w:r>
              <w:rPr>
                <w:rFonts w:eastAsia="Times"/>
              </w:rPr>
              <w:t>’</w:t>
            </w:r>
            <w:r w:rsidR="0037064F" w:rsidRPr="00B2394D">
              <w:rPr>
                <w:rFonts w:eastAsia="Times"/>
              </w:rPr>
              <w:t xml:space="preserve">, </w:t>
            </w:r>
            <w:r>
              <w:rPr>
                <w:rFonts w:eastAsia="Times"/>
              </w:rPr>
              <w:t>‘</w:t>
            </w:r>
            <w:r w:rsidR="0037064F" w:rsidRPr="00B2394D">
              <w:rPr>
                <w:rFonts w:eastAsia="Times"/>
              </w:rPr>
              <w:t>Getting anaemia right</w:t>
            </w:r>
            <w:r>
              <w:rPr>
                <w:rFonts w:eastAsia="Times"/>
              </w:rPr>
              <w:t>’</w:t>
            </w:r>
            <w:r w:rsidR="0037064F" w:rsidRPr="00B2394D">
              <w:rPr>
                <w:rFonts w:eastAsia="Times"/>
              </w:rPr>
              <w:t xml:space="preserve">, </w:t>
            </w:r>
            <w:r>
              <w:rPr>
                <w:rFonts w:eastAsia="Times"/>
              </w:rPr>
              <w:t>‘</w:t>
            </w:r>
            <w:r w:rsidR="0037064F" w:rsidRPr="00B2394D">
              <w:rPr>
                <w:rFonts w:eastAsia="Times"/>
              </w:rPr>
              <w:t>Obstetric and maternal patient blood management (PBM)</w:t>
            </w:r>
            <w:r>
              <w:rPr>
                <w:rFonts w:eastAsia="Times"/>
              </w:rPr>
              <w:t>’</w:t>
            </w:r>
            <w:r w:rsidR="0037064F" w:rsidRPr="00B2394D">
              <w:rPr>
                <w:rFonts w:eastAsia="Times"/>
              </w:rPr>
              <w:t xml:space="preserve">, </w:t>
            </w:r>
            <w:r>
              <w:rPr>
                <w:rFonts w:eastAsia="Times"/>
              </w:rPr>
              <w:t>‘</w:t>
            </w:r>
            <w:r w:rsidR="0037064F" w:rsidRPr="00B2394D">
              <w:rPr>
                <w:rFonts w:eastAsia="Times"/>
              </w:rPr>
              <w:t>Improving blood management in obstetrics</w:t>
            </w:r>
            <w:r>
              <w:rPr>
                <w:rFonts w:eastAsia="Times"/>
              </w:rPr>
              <w:t>’</w:t>
            </w:r>
            <w:r w:rsidR="0037064F" w:rsidRPr="00B2394D">
              <w:rPr>
                <w:rFonts w:eastAsia="Times"/>
              </w:rPr>
              <w:t xml:space="preserve"> </w:t>
            </w:r>
          </w:p>
          <w:p w14:paraId="26257FD6" w14:textId="1B689F2A" w:rsidR="0037064F" w:rsidRPr="00B2394D" w:rsidRDefault="0037064F" w:rsidP="002B2FD9">
            <w:pPr>
              <w:pStyle w:val="Tablebullet1"/>
              <w:rPr>
                <w:rFonts w:eastAsia="Times"/>
              </w:rPr>
            </w:pPr>
            <w:r w:rsidRPr="00B2394D">
              <w:rPr>
                <w:rFonts w:eastAsia="Times"/>
              </w:rPr>
              <w:t xml:space="preserve">BloodSafe, SA </w:t>
            </w:r>
            <w:r w:rsidRPr="00F95181">
              <w:rPr>
                <w:rFonts w:eastAsia="Times"/>
              </w:rPr>
              <w:t>Health</w:t>
            </w:r>
          </w:p>
          <w:p w14:paraId="07A6030C" w14:textId="07026660" w:rsidR="0037064F" w:rsidRPr="00B2394D" w:rsidRDefault="005E52B4" w:rsidP="002B2FD9">
            <w:pPr>
              <w:pStyle w:val="Tablebullet2"/>
              <w:rPr>
                <w:rFonts w:eastAsia="Times"/>
              </w:rPr>
            </w:pPr>
            <w:hyperlink r:id="rId30" w:history="1">
              <w:r w:rsidR="000907BC" w:rsidRPr="000907BC">
                <w:rPr>
                  <w:rStyle w:val="Hyperlink"/>
                  <w:rFonts w:eastAsia="Times"/>
                </w:rPr>
                <w:t xml:space="preserve">iron </w:t>
              </w:r>
              <w:r w:rsidR="0037064F" w:rsidRPr="000907BC">
                <w:rPr>
                  <w:rStyle w:val="Hyperlink"/>
                  <w:rFonts w:eastAsia="Times"/>
                </w:rPr>
                <w:t xml:space="preserve">deficiency </w:t>
              </w:r>
              <w:r w:rsidR="0037064F" w:rsidRPr="002B2FD9">
                <w:rPr>
                  <w:rStyle w:val="Hyperlink"/>
                  <w:rFonts w:eastAsia="Times"/>
                </w:rPr>
                <w:t>anaemia</w:t>
              </w:r>
              <w:r w:rsidR="0037064F" w:rsidRPr="000907BC">
                <w:rPr>
                  <w:rStyle w:val="Hyperlink"/>
                  <w:rFonts w:eastAsia="Times"/>
                </w:rPr>
                <w:t xml:space="preserve"> resources </w:t>
              </w:r>
              <w:r w:rsidR="000907BC">
                <w:rPr>
                  <w:rStyle w:val="Hyperlink"/>
                  <w:rFonts w:eastAsia="Times"/>
                </w:rPr>
                <w:t xml:space="preserve">for </w:t>
              </w:r>
              <w:r w:rsidR="0037064F" w:rsidRPr="000907BC">
                <w:rPr>
                  <w:rStyle w:val="Hyperlink"/>
                  <w:rFonts w:eastAsia="Times"/>
                </w:rPr>
                <w:t>health professionals</w:t>
              </w:r>
            </w:hyperlink>
            <w:r w:rsidR="0037064F" w:rsidRPr="00B2394D">
              <w:rPr>
                <w:rFonts w:eastAsia="Times"/>
              </w:rPr>
              <w:t xml:space="preserve"> </w:t>
            </w:r>
            <w:r w:rsidR="000907BC">
              <w:rPr>
                <w:rFonts w:eastAsia="Times"/>
              </w:rPr>
              <w:t>&lt;</w:t>
            </w:r>
            <w:r w:rsidR="000907BC" w:rsidRPr="00B2394D">
              <w:rPr>
                <w:rFonts w:eastAsia="Times"/>
              </w:rPr>
              <w:t>https://www.sahealth.sa.gov.au/wps/wcm/connect/public+content/sa+health+internet/clinical+resources/clinical+programs+and+practice+guidelines/blood+organ+and+tissue/blood+management/anaemia+management</w:t>
            </w:r>
            <w:r w:rsidR="000907BC">
              <w:rPr>
                <w:rFonts w:eastAsia="Times"/>
              </w:rPr>
              <w:t>&gt;</w:t>
            </w:r>
          </w:p>
          <w:p w14:paraId="06CF8FB9" w14:textId="25DD80E1" w:rsidR="0037064F" w:rsidRPr="00B2394D" w:rsidRDefault="005E52B4" w:rsidP="002B2FD9">
            <w:pPr>
              <w:pStyle w:val="Tablebullet2"/>
              <w:rPr>
                <w:rFonts w:eastAsia="Times"/>
              </w:rPr>
            </w:pPr>
            <w:hyperlink r:id="rId31" w:history="1">
              <w:r w:rsidR="000907BC" w:rsidRPr="000907BC">
                <w:rPr>
                  <w:rStyle w:val="Hyperlink"/>
                  <w:rFonts w:eastAsia="Times"/>
                </w:rPr>
                <w:t xml:space="preserve">iron </w:t>
              </w:r>
              <w:r w:rsidR="0037064F" w:rsidRPr="000907BC">
                <w:rPr>
                  <w:rStyle w:val="Hyperlink"/>
                  <w:rFonts w:eastAsia="Times"/>
                </w:rPr>
                <w:t xml:space="preserve">deficiency </w:t>
              </w:r>
              <w:r w:rsidR="0037064F" w:rsidRPr="002B2FD9">
                <w:rPr>
                  <w:rStyle w:val="Hyperlink"/>
                  <w:rFonts w:eastAsia="Times"/>
                </w:rPr>
                <w:t>anaemia</w:t>
              </w:r>
              <w:r w:rsidR="0037064F" w:rsidRPr="000907BC">
                <w:rPr>
                  <w:rStyle w:val="Hyperlink"/>
                  <w:rFonts w:eastAsia="Times"/>
                </w:rPr>
                <w:t xml:space="preserve"> resources </w:t>
              </w:r>
              <w:r w:rsidR="000907BC" w:rsidRPr="000907BC">
                <w:rPr>
                  <w:rStyle w:val="Hyperlink"/>
                  <w:rFonts w:eastAsia="Times"/>
                </w:rPr>
                <w:t xml:space="preserve">for </w:t>
              </w:r>
              <w:r w:rsidR="0037064F" w:rsidRPr="000907BC">
                <w:rPr>
                  <w:rStyle w:val="Hyperlink"/>
                  <w:rFonts w:eastAsia="Times"/>
                </w:rPr>
                <w:t>consumers</w:t>
              </w:r>
            </w:hyperlink>
            <w:r w:rsidR="0037064F" w:rsidRPr="00B2394D">
              <w:rPr>
                <w:rFonts w:eastAsia="Times"/>
              </w:rPr>
              <w:t xml:space="preserve"> </w:t>
            </w:r>
            <w:r w:rsidR="000907BC">
              <w:rPr>
                <w:rFonts w:eastAsia="Times"/>
              </w:rPr>
              <w:t>&lt;</w:t>
            </w:r>
            <w:r w:rsidR="000907BC" w:rsidRPr="00B2394D">
              <w:rPr>
                <w:rFonts w:eastAsia="Times"/>
              </w:rPr>
              <w:t>https://www.sahealth.sa.gov.au/wps/wcm/connect/public+content/sa+health+internet/conditions/blood+organ+and+tissue/iron+deficiency+and+iron+therapy</w:t>
            </w:r>
            <w:r w:rsidR="000907BC">
              <w:rPr>
                <w:rFonts w:eastAsia="Times"/>
              </w:rPr>
              <w:t>&gt;</w:t>
            </w:r>
          </w:p>
        </w:tc>
      </w:tr>
      <w:tr w:rsidR="0037064F" w:rsidRPr="00B2394D" w14:paraId="47229A84" w14:textId="77777777" w:rsidTr="002B2FD9">
        <w:tc>
          <w:tcPr>
            <w:tcW w:w="9180" w:type="dxa"/>
          </w:tcPr>
          <w:p w14:paraId="3CB6AD49" w14:textId="3DA5FFF8" w:rsidR="0037064F" w:rsidRPr="00B2394D" w:rsidRDefault="000907BC" w:rsidP="003C2836">
            <w:pPr>
              <w:pStyle w:val="Tabletext"/>
              <w:rPr>
                <w:rFonts w:eastAsia="Times"/>
              </w:rPr>
            </w:pPr>
            <w:r>
              <w:rPr>
                <w:rFonts w:eastAsia="Times"/>
              </w:rPr>
              <w:lastRenderedPageBreak/>
              <w:t>P</w:t>
            </w:r>
            <w:r w:rsidRPr="00B2394D">
              <w:rPr>
                <w:rFonts w:eastAsia="Times"/>
              </w:rPr>
              <w:t xml:space="preserve">romote </w:t>
            </w:r>
            <w:r w:rsidR="0037064F" w:rsidRPr="00B2394D">
              <w:rPr>
                <w:rFonts w:eastAsia="Times"/>
              </w:rPr>
              <w:t>audit findings through a variety of media including conferences, newsletters, and peer review literature.</w:t>
            </w:r>
          </w:p>
        </w:tc>
      </w:tr>
    </w:tbl>
    <w:p w14:paraId="185A85F1" w14:textId="1095970A" w:rsidR="00576948" w:rsidRPr="002B2FD9" w:rsidRDefault="00576948" w:rsidP="002B2FD9">
      <w:pPr>
        <w:pStyle w:val="Body"/>
      </w:pPr>
      <w:r w:rsidRPr="00F95181">
        <w:br w:type="page"/>
      </w:r>
    </w:p>
    <w:p w14:paraId="6505F976" w14:textId="77777777" w:rsidR="0037064F" w:rsidRPr="008843F0" w:rsidRDefault="0037064F" w:rsidP="0037064F">
      <w:pPr>
        <w:pStyle w:val="Heading1"/>
      </w:pPr>
      <w:bookmarkStart w:id="43" w:name="_Toc72314123"/>
      <w:bookmarkStart w:id="44" w:name="_Toc78958780"/>
      <w:r w:rsidRPr="008843F0">
        <w:lastRenderedPageBreak/>
        <w:t>Patient blood management checklist</w:t>
      </w:r>
      <w:bookmarkEnd w:id="43"/>
      <w:bookmarkEnd w:id="44"/>
    </w:p>
    <w:p w14:paraId="714E1F28" w14:textId="2E1593D8" w:rsidR="006F08FE" w:rsidRDefault="000907BC" w:rsidP="0037064F">
      <w:pPr>
        <w:pStyle w:val="Body"/>
      </w:pPr>
      <w:r>
        <w:t xml:space="preserve">This checklist helps health services </w:t>
      </w:r>
      <w:r w:rsidR="006F08FE">
        <w:t xml:space="preserve">provide a quality PBM program. In particular, it </w:t>
      </w:r>
      <w:r w:rsidR="0037064F" w:rsidRPr="008843F0">
        <w:t>determine</w:t>
      </w:r>
      <w:r w:rsidR="006F08FE">
        <w:t>s</w:t>
      </w:r>
      <w:r>
        <w:t xml:space="preserve"> </w:t>
      </w:r>
      <w:r w:rsidR="0037064F" w:rsidRPr="008843F0">
        <w:t>compliance with strategies included in</w:t>
      </w:r>
      <w:r w:rsidR="006F08FE">
        <w:t xml:space="preserve"> the:</w:t>
      </w:r>
      <w:r w:rsidR="0037064F" w:rsidRPr="008843F0">
        <w:t xml:space="preserve"> </w:t>
      </w:r>
    </w:p>
    <w:p w14:paraId="06548F8B" w14:textId="75BB8001" w:rsidR="006F08FE" w:rsidRDefault="0037064F" w:rsidP="002B2FD9">
      <w:pPr>
        <w:pStyle w:val="Bullet1"/>
      </w:pPr>
      <w:r w:rsidRPr="002B2FD9">
        <w:rPr>
          <w:i/>
          <w:iCs/>
        </w:rPr>
        <w:t>National patient blood management guidelines</w:t>
      </w:r>
      <w:r w:rsidRPr="008843F0">
        <w:t>, ‘Module 2: Perioperative’</w:t>
      </w:r>
    </w:p>
    <w:p w14:paraId="314009B2" w14:textId="3E988DC4" w:rsidR="0037064F" w:rsidRDefault="0037064F" w:rsidP="002B2FD9">
      <w:pPr>
        <w:pStyle w:val="Bullet1"/>
      </w:pPr>
      <w:r w:rsidRPr="002B2FD9">
        <w:rPr>
          <w:i/>
          <w:iCs/>
        </w:rPr>
        <w:t>ACSQHC National safety and quality health service standards</w:t>
      </w:r>
      <w:r w:rsidR="000B3101">
        <w:rPr>
          <w:i/>
          <w:iCs/>
        </w:rPr>
        <w:t>.</w:t>
      </w:r>
      <w:r w:rsidRPr="008843F0">
        <w:t xml:space="preserve"> </w:t>
      </w:r>
    </w:p>
    <w:p w14:paraId="6DE0D813" w14:textId="3BBF9A3D" w:rsidR="00170B96" w:rsidRDefault="00170B96" w:rsidP="00170B96">
      <w:pPr>
        <w:pStyle w:val="Tablecaption"/>
      </w:pPr>
      <w:r>
        <w:t>General</w:t>
      </w:r>
    </w:p>
    <w:tbl>
      <w:tblPr>
        <w:tblStyle w:val="TableGrid11"/>
        <w:tblW w:w="0" w:type="auto"/>
        <w:tblLayout w:type="fixed"/>
        <w:tblLook w:val="04A0" w:firstRow="1" w:lastRow="0" w:firstColumn="1" w:lastColumn="0" w:noHBand="0" w:noVBand="1"/>
      </w:tblPr>
      <w:tblGrid>
        <w:gridCol w:w="6596"/>
        <w:gridCol w:w="624"/>
        <w:gridCol w:w="624"/>
        <w:gridCol w:w="624"/>
        <w:gridCol w:w="624"/>
      </w:tblGrid>
      <w:tr w:rsidR="006F08FE" w:rsidRPr="00AE31EB" w14:paraId="794A1E2C" w14:textId="77777777" w:rsidTr="003C2836">
        <w:trPr>
          <w:trHeight w:val="346"/>
          <w:tblHeader/>
        </w:trPr>
        <w:tc>
          <w:tcPr>
            <w:tcW w:w="6596" w:type="dxa"/>
          </w:tcPr>
          <w:p w14:paraId="66ED732D" w14:textId="77777777" w:rsidR="006F08FE" w:rsidRPr="00AE31EB" w:rsidRDefault="006F08FE" w:rsidP="003C2836">
            <w:pPr>
              <w:pStyle w:val="Tablecolhead"/>
            </w:pPr>
            <w:r w:rsidRPr="00AE31EB">
              <w:t>Element</w:t>
            </w:r>
          </w:p>
        </w:tc>
        <w:tc>
          <w:tcPr>
            <w:tcW w:w="624" w:type="dxa"/>
          </w:tcPr>
          <w:p w14:paraId="3E688600" w14:textId="77777777" w:rsidR="006F08FE" w:rsidRPr="00AE31EB" w:rsidRDefault="006F08FE" w:rsidP="003C2836">
            <w:pPr>
              <w:pStyle w:val="Tablecolhead"/>
            </w:pPr>
            <w:r w:rsidRPr="00AE31EB">
              <w:t>Yes</w:t>
            </w:r>
          </w:p>
        </w:tc>
        <w:tc>
          <w:tcPr>
            <w:tcW w:w="624" w:type="dxa"/>
          </w:tcPr>
          <w:p w14:paraId="4AE9831E" w14:textId="77777777" w:rsidR="006F08FE" w:rsidRPr="00AE31EB" w:rsidRDefault="006F08FE" w:rsidP="003C2836">
            <w:pPr>
              <w:pStyle w:val="Tablecolhead"/>
            </w:pPr>
            <w:r w:rsidRPr="00AE31EB">
              <w:t>No</w:t>
            </w:r>
          </w:p>
        </w:tc>
        <w:tc>
          <w:tcPr>
            <w:tcW w:w="624" w:type="dxa"/>
          </w:tcPr>
          <w:p w14:paraId="7B57FCEC" w14:textId="77777777" w:rsidR="006F08FE" w:rsidRPr="00AE31EB" w:rsidRDefault="006F08FE" w:rsidP="003C2836">
            <w:pPr>
              <w:pStyle w:val="Tablecolhead"/>
            </w:pPr>
            <w:r w:rsidRPr="00AE31EB">
              <w:t>WIP</w:t>
            </w:r>
          </w:p>
        </w:tc>
        <w:tc>
          <w:tcPr>
            <w:tcW w:w="624" w:type="dxa"/>
          </w:tcPr>
          <w:p w14:paraId="798EE091" w14:textId="77777777" w:rsidR="006F08FE" w:rsidRPr="00AE31EB" w:rsidRDefault="006F08FE" w:rsidP="003C2836">
            <w:pPr>
              <w:pStyle w:val="Tablecolhead"/>
            </w:pPr>
            <w:r w:rsidRPr="00AE31EB">
              <w:t>N/A</w:t>
            </w:r>
          </w:p>
        </w:tc>
      </w:tr>
      <w:tr w:rsidR="006F08FE" w:rsidRPr="001C16DC" w14:paraId="73639949" w14:textId="77777777" w:rsidTr="003C2836">
        <w:trPr>
          <w:trHeight w:val="554"/>
        </w:trPr>
        <w:tc>
          <w:tcPr>
            <w:tcW w:w="6596" w:type="dxa"/>
          </w:tcPr>
          <w:p w14:paraId="2B7475CC" w14:textId="77777777" w:rsidR="006F08FE" w:rsidRPr="001C16DC" w:rsidRDefault="006F08FE" w:rsidP="003C2836">
            <w:pPr>
              <w:pStyle w:val="Tabletext"/>
            </w:pPr>
            <w:r w:rsidRPr="00731F1F">
              <w:t xml:space="preserve">Does your health service have an education program about patient blood management for </w:t>
            </w:r>
            <w:r w:rsidRPr="001C16DC">
              <w:t>all staff? (NSQHS Standard 7.1)</w:t>
            </w:r>
          </w:p>
        </w:tc>
        <w:tc>
          <w:tcPr>
            <w:tcW w:w="624" w:type="dxa"/>
          </w:tcPr>
          <w:p w14:paraId="2DD7D7AC" w14:textId="77777777" w:rsidR="006F08FE" w:rsidRPr="001C16DC" w:rsidRDefault="006F08FE" w:rsidP="003C2836">
            <w:pPr>
              <w:pStyle w:val="Tabletext"/>
            </w:pPr>
          </w:p>
        </w:tc>
        <w:tc>
          <w:tcPr>
            <w:tcW w:w="624" w:type="dxa"/>
          </w:tcPr>
          <w:p w14:paraId="4C799CAD" w14:textId="77777777" w:rsidR="006F08FE" w:rsidRPr="001C16DC" w:rsidRDefault="006F08FE" w:rsidP="003C2836">
            <w:pPr>
              <w:pStyle w:val="Tabletext"/>
            </w:pPr>
          </w:p>
        </w:tc>
        <w:tc>
          <w:tcPr>
            <w:tcW w:w="624" w:type="dxa"/>
          </w:tcPr>
          <w:p w14:paraId="707C85B7" w14:textId="77777777" w:rsidR="006F08FE" w:rsidRPr="001C16DC" w:rsidRDefault="006F08FE" w:rsidP="003C2836">
            <w:pPr>
              <w:pStyle w:val="Tabletext"/>
            </w:pPr>
          </w:p>
        </w:tc>
        <w:tc>
          <w:tcPr>
            <w:tcW w:w="624" w:type="dxa"/>
          </w:tcPr>
          <w:p w14:paraId="7422BAC2" w14:textId="77777777" w:rsidR="006F08FE" w:rsidRPr="001C16DC" w:rsidRDefault="006F08FE" w:rsidP="003C2836">
            <w:pPr>
              <w:pStyle w:val="Tabletext"/>
            </w:pPr>
          </w:p>
        </w:tc>
      </w:tr>
      <w:tr w:rsidR="006F08FE" w:rsidRPr="001C16DC" w14:paraId="57768009" w14:textId="77777777" w:rsidTr="003C2836">
        <w:trPr>
          <w:trHeight w:val="544"/>
        </w:trPr>
        <w:tc>
          <w:tcPr>
            <w:tcW w:w="6596" w:type="dxa"/>
          </w:tcPr>
          <w:p w14:paraId="4EFC8C9D" w14:textId="77777777" w:rsidR="006F08FE" w:rsidRPr="001C16DC" w:rsidRDefault="006F08FE" w:rsidP="003C2836">
            <w:pPr>
              <w:pStyle w:val="Tabletext"/>
            </w:pPr>
            <w:r w:rsidRPr="00731F1F">
              <w:t>Does the PBM program stipulate the provision of written consumer information? (NSQHS Standard 7.3)</w:t>
            </w:r>
          </w:p>
        </w:tc>
        <w:tc>
          <w:tcPr>
            <w:tcW w:w="624" w:type="dxa"/>
          </w:tcPr>
          <w:p w14:paraId="49AB500E" w14:textId="77777777" w:rsidR="006F08FE" w:rsidRPr="001C16DC" w:rsidRDefault="006F08FE" w:rsidP="003C2836">
            <w:pPr>
              <w:pStyle w:val="Tabletext"/>
            </w:pPr>
          </w:p>
        </w:tc>
        <w:tc>
          <w:tcPr>
            <w:tcW w:w="624" w:type="dxa"/>
          </w:tcPr>
          <w:p w14:paraId="4C2B0DF0" w14:textId="77777777" w:rsidR="006F08FE" w:rsidRPr="001C16DC" w:rsidRDefault="006F08FE" w:rsidP="003C2836">
            <w:pPr>
              <w:pStyle w:val="Tabletext"/>
            </w:pPr>
          </w:p>
        </w:tc>
        <w:tc>
          <w:tcPr>
            <w:tcW w:w="624" w:type="dxa"/>
          </w:tcPr>
          <w:p w14:paraId="2AC29CC3" w14:textId="77777777" w:rsidR="006F08FE" w:rsidRPr="001C16DC" w:rsidRDefault="006F08FE" w:rsidP="003C2836">
            <w:pPr>
              <w:pStyle w:val="Tabletext"/>
            </w:pPr>
          </w:p>
        </w:tc>
        <w:tc>
          <w:tcPr>
            <w:tcW w:w="624" w:type="dxa"/>
          </w:tcPr>
          <w:p w14:paraId="07049FE3" w14:textId="77777777" w:rsidR="006F08FE" w:rsidRPr="001C16DC" w:rsidRDefault="006F08FE" w:rsidP="003C2836">
            <w:pPr>
              <w:pStyle w:val="Tabletext"/>
            </w:pPr>
          </w:p>
        </w:tc>
      </w:tr>
      <w:tr w:rsidR="006F08FE" w:rsidRPr="001C16DC" w14:paraId="1A4D347D" w14:textId="77777777" w:rsidTr="003C2836">
        <w:trPr>
          <w:trHeight w:val="554"/>
        </w:trPr>
        <w:tc>
          <w:tcPr>
            <w:tcW w:w="6596" w:type="dxa"/>
          </w:tcPr>
          <w:p w14:paraId="781AB86D" w14:textId="13AD072B" w:rsidR="006F08FE" w:rsidRPr="001C16DC" w:rsidRDefault="006F08FE" w:rsidP="003C2836">
            <w:pPr>
              <w:pStyle w:val="Tabletext"/>
            </w:pPr>
            <w:r w:rsidRPr="00731F1F">
              <w:t xml:space="preserve">Is </w:t>
            </w:r>
            <w:r>
              <w:t xml:space="preserve">there </w:t>
            </w:r>
            <w:r w:rsidRPr="00731F1F">
              <w:t>a process in place for regular review and evaluation of PBM/screening programs, and adherence to guidelines/prot</w:t>
            </w:r>
            <w:r w:rsidRPr="001C16DC">
              <w:t>ocols? (NSQHS Standard 7.2)</w:t>
            </w:r>
          </w:p>
        </w:tc>
        <w:tc>
          <w:tcPr>
            <w:tcW w:w="624" w:type="dxa"/>
          </w:tcPr>
          <w:p w14:paraId="342221AA" w14:textId="77777777" w:rsidR="006F08FE" w:rsidRPr="001C16DC" w:rsidRDefault="006F08FE" w:rsidP="003C2836">
            <w:pPr>
              <w:pStyle w:val="Tabletext"/>
            </w:pPr>
          </w:p>
        </w:tc>
        <w:tc>
          <w:tcPr>
            <w:tcW w:w="624" w:type="dxa"/>
          </w:tcPr>
          <w:p w14:paraId="1C72382C" w14:textId="77777777" w:rsidR="006F08FE" w:rsidRPr="001C16DC" w:rsidRDefault="006F08FE" w:rsidP="003C2836">
            <w:pPr>
              <w:pStyle w:val="Tabletext"/>
            </w:pPr>
          </w:p>
        </w:tc>
        <w:tc>
          <w:tcPr>
            <w:tcW w:w="624" w:type="dxa"/>
          </w:tcPr>
          <w:p w14:paraId="64E1B96A" w14:textId="77777777" w:rsidR="006F08FE" w:rsidRPr="001C16DC" w:rsidRDefault="006F08FE" w:rsidP="003C2836">
            <w:pPr>
              <w:pStyle w:val="Tabletext"/>
            </w:pPr>
          </w:p>
        </w:tc>
        <w:tc>
          <w:tcPr>
            <w:tcW w:w="624" w:type="dxa"/>
          </w:tcPr>
          <w:p w14:paraId="4292F1A6" w14:textId="77777777" w:rsidR="006F08FE" w:rsidRPr="001C16DC" w:rsidRDefault="006F08FE" w:rsidP="003C2836">
            <w:pPr>
              <w:pStyle w:val="Tabletext"/>
            </w:pPr>
          </w:p>
        </w:tc>
      </w:tr>
    </w:tbl>
    <w:p w14:paraId="408CEA4E" w14:textId="73ACCFE5" w:rsidR="006F08FE" w:rsidRPr="00F95181" w:rsidRDefault="006F08FE" w:rsidP="002B2FD9">
      <w:pPr>
        <w:pStyle w:val="Tablecaption"/>
      </w:pPr>
      <w:r>
        <w:t>Preoperative</w:t>
      </w:r>
    </w:p>
    <w:tbl>
      <w:tblPr>
        <w:tblStyle w:val="TableGrid11"/>
        <w:tblW w:w="0" w:type="auto"/>
        <w:tblLayout w:type="fixed"/>
        <w:tblLook w:val="04A0" w:firstRow="1" w:lastRow="0" w:firstColumn="1" w:lastColumn="0" w:noHBand="0" w:noVBand="1"/>
      </w:tblPr>
      <w:tblGrid>
        <w:gridCol w:w="6596"/>
        <w:gridCol w:w="624"/>
        <w:gridCol w:w="624"/>
        <w:gridCol w:w="624"/>
        <w:gridCol w:w="624"/>
      </w:tblGrid>
      <w:tr w:rsidR="006F08FE" w:rsidRPr="00AE31EB" w14:paraId="346A6590" w14:textId="77777777" w:rsidTr="003C2836">
        <w:trPr>
          <w:trHeight w:val="346"/>
          <w:tblHeader/>
        </w:trPr>
        <w:tc>
          <w:tcPr>
            <w:tcW w:w="6596" w:type="dxa"/>
          </w:tcPr>
          <w:p w14:paraId="3EDA9A32" w14:textId="77777777" w:rsidR="006F08FE" w:rsidRPr="00AE31EB" w:rsidRDefault="006F08FE" w:rsidP="003C2836">
            <w:pPr>
              <w:pStyle w:val="Tablecolhead"/>
            </w:pPr>
            <w:r w:rsidRPr="00AE31EB">
              <w:t>Element</w:t>
            </w:r>
          </w:p>
        </w:tc>
        <w:tc>
          <w:tcPr>
            <w:tcW w:w="624" w:type="dxa"/>
          </w:tcPr>
          <w:p w14:paraId="635A4967" w14:textId="77777777" w:rsidR="006F08FE" w:rsidRPr="00AE31EB" w:rsidRDefault="006F08FE" w:rsidP="003C2836">
            <w:pPr>
              <w:pStyle w:val="Tablecolhead"/>
            </w:pPr>
            <w:r w:rsidRPr="00AE31EB">
              <w:t>Yes</w:t>
            </w:r>
          </w:p>
        </w:tc>
        <w:tc>
          <w:tcPr>
            <w:tcW w:w="624" w:type="dxa"/>
          </w:tcPr>
          <w:p w14:paraId="19BEDB13" w14:textId="77777777" w:rsidR="006F08FE" w:rsidRPr="00AE31EB" w:rsidRDefault="006F08FE" w:rsidP="003C2836">
            <w:pPr>
              <w:pStyle w:val="Tablecolhead"/>
            </w:pPr>
            <w:r w:rsidRPr="00AE31EB">
              <w:t>No</w:t>
            </w:r>
          </w:p>
        </w:tc>
        <w:tc>
          <w:tcPr>
            <w:tcW w:w="624" w:type="dxa"/>
          </w:tcPr>
          <w:p w14:paraId="49E71589" w14:textId="77777777" w:rsidR="006F08FE" w:rsidRPr="00AE31EB" w:rsidRDefault="006F08FE" w:rsidP="003C2836">
            <w:pPr>
              <w:pStyle w:val="Tablecolhead"/>
            </w:pPr>
            <w:r w:rsidRPr="00AE31EB">
              <w:t>WIP</w:t>
            </w:r>
          </w:p>
        </w:tc>
        <w:tc>
          <w:tcPr>
            <w:tcW w:w="624" w:type="dxa"/>
          </w:tcPr>
          <w:p w14:paraId="4131F3FF" w14:textId="77777777" w:rsidR="006F08FE" w:rsidRPr="00AE31EB" w:rsidRDefault="006F08FE" w:rsidP="003C2836">
            <w:pPr>
              <w:pStyle w:val="Tablecolhead"/>
            </w:pPr>
            <w:r w:rsidRPr="00AE31EB">
              <w:t>N/A</w:t>
            </w:r>
          </w:p>
        </w:tc>
      </w:tr>
      <w:tr w:rsidR="006F08FE" w:rsidRPr="001C16DC" w14:paraId="42342067" w14:textId="77777777" w:rsidTr="003C2836">
        <w:trPr>
          <w:trHeight w:val="554"/>
        </w:trPr>
        <w:tc>
          <w:tcPr>
            <w:tcW w:w="6596" w:type="dxa"/>
          </w:tcPr>
          <w:p w14:paraId="70C71CAD" w14:textId="041DD8E7" w:rsidR="006F08FE" w:rsidRPr="001C16DC" w:rsidRDefault="006F08FE" w:rsidP="006F08FE">
            <w:pPr>
              <w:pStyle w:val="Tabletext"/>
            </w:pPr>
            <w:r w:rsidRPr="00FF7D7B">
              <w:t>Does your health service have a preoperative anaemia screening and management pathway for surgical patients with or at risk of anaemia? (Module 2 recommendation (R) 1; NSQHS Standards 7.1, 7.4, 7.9)</w:t>
            </w:r>
          </w:p>
        </w:tc>
        <w:tc>
          <w:tcPr>
            <w:tcW w:w="624" w:type="dxa"/>
          </w:tcPr>
          <w:p w14:paraId="21A4111C" w14:textId="77777777" w:rsidR="006F08FE" w:rsidRPr="001C16DC" w:rsidRDefault="006F08FE" w:rsidP="006F08FE">
            <w:pPr>
              <w:pStyle w:val="Tabletext"/>
            </w:pPr>
          </w:p>
        </w:tc>
        <w:tc>
          <w:tcPr>
            <w:tcW w:w="624" w:type="dxa"/>
          </w:tcPr>
          <w:p w14:paraId="2E31272E" w14:textId="77777777" w:rsidR="006F08FE" w:rsidRPr="001C16DC" w:rsidRDefault="006F08FE" w:rsidP="006F08FE">
            <w:pPr>
              <w:pStyle w:val="Tabletext"/>
            </w:pPr>
          </w:p>
        </w:tc>
        <w:tc>
          <w:tcPr>
            <w:tcW w:w="624" w:type="dxa"/>
          </w:tcPr>
          <w:p w14:paraId="2EB8D88B" w14:textId="77777777" w:rsidR="006F08FE" w:rsidRPr="001C16DC" w:rsidRDefault="006F08FE" w:rsidP="006F08FE">
            <w:pPr>
              <w:pStyle w:val="Tabletext"/>
            </w:pPr>
          </w:p>
        </w:tc>
        <w:tc>
          <w:tcPr>
            <w:tcW w:w="624" w:type="dxa"/>
          </w:tcPr>
          <w:p w14:paraId="04581541" w14:textId="77777777" w:rsidR="006F08FE" w:rsidRPr="001C16DC" w:rsidRDefault="006F08FE" w:rsidP="006F08FE">
            <w:pPr>
              <w:pStyle w:val="Tabletext"/>
            </w:pPr>
          </w:p>
        </w:tc>
      </w:tr>
      <w:tr w:rsidR="006F08FE" w:rsidRPr="001C16DC" w14:paraId="6E5043E2" w14:textId="77777777" w:rsidTr="003C2836">
        <w:trPr>
          <w:trHeight w:val="544"/>
        </w:trPr>
        <w:tc>
          <w:tcPr>
            <w:tcW w:w="6596" w:type="dxa"/>
          </w:tcPr>
          <w:p w14:paraId="64CBD553" w14:textId="116B5DB9" w:rsidR="006F08FE" w:rsidRPr="001C16DC" w:rsidRDefault="006F08FE" w:rsidP="006F08FE">
            <w:pPr>
              <w:pStyle w:val="Tabletext"/>
            </w:pPr>
            <w:r w:rsidRPr="00FF7D7B">
              <w:t xml:space="preserve">Does the anaemia screening/management pathway stipulate the timing of preoperative assessment to allow optimisation of the patient’s haemoglobin and iron stores </w:t>
            </w:r>
            <w:r>
              <w:t>(</w:t>
            </w:r>
            <w:r w:rsidRPr="00FF7D7B">
              <w:t>according to surgical priorities</w:t>
            </w:r>
            <w:r>
              <w:t>)?</w:t>
            </w:r>
            <w:r w:rsidRPr="00FF7D7B">
              <w:t xml:space="preserve"> (Module 2, practice point (PP) 1, PP 4, PP 5)</w:t>
            </w:r>
          </w:p>
        </w:tc>
        <w:tc>
          <w:tcPr>
            <w:tcW w:w="624" w:type="dxa"/>
          </w:tcPr>
          <w:p w14:paraId="7AC3BD0C" w14:textId="77777777" w:rsidR="006F08FE" w:rsidRPr="001C16DC" w:rsidRDefault="006F08FE" w:rsidP="006F08FE">
            <w:pPr>
              <w:pStyle w:val="Tabletext"/>
            </w:pPr>
          </w:p>
        </w:tc>
        <w:tc>
          <w:tcPr>
            <w:tcW w:w="624" w:type="dxa"/>
          </w:tcPr>
          <w:p w14:paraId="423864C7" w14:textId="77777777" w:rsidR="006F08FE" w:rsidRPr="001C16DC" w:rsidRDefault="006F08FE" w:rsidP="006F08FE">
            <w:pPr>
              <w:pStyle w:val="Tabletext"/>
            </w:pPr>
          </w:p>
        </w:tc>
        <w:tc>
          <w:tcPr>
            <w:tcW w:w="624" w:type="dxa"/>
          </w:tcPr>
          <w:p w14:paraId="087F0408" w14:textId="77777777" w:rsidR="006F08FE" w:rsidRPr="001C16DC" w:rsidRDefault="006F08FE" w:rsidP="006F08FE">
            <w:pPr>
              <w:pStyle w:val="Tabletext"/>
            </w:pPr>
          </w:p>
        </w:tc>
        <w:tc>
          <w:tcPr>
            <w:tcW w:w="624" w:type="dxa"/>
          </w:tcPr>
          <w:p w14:paraId="0BCA634D" w14:textId="77777777" w:rsidR="006F08FE" w:rsidRPr="001C16DC" w:rsidRDefault="006F08FE" w:rsidP="006F08FE">
            <w:pPr>
              <w:pStyle w:val="Tabletext"/>
            </w:pPr>
          </w:p>
        </w:tc>
      </w:tr>
      <w:tr w:rsidR="006F08FE" w:rsidRPr="001C16DC" w14:paraId="0ABA172B" w14:textId="77777777" w:rsidTr="003C2836">
        <w:trPr>
          <w:trHeight w:val="554"/>
        </w:trPr>
        <w:tc>
          <w:tcPr>
            <w:tcW w:w="6596" w:type="dxa"/>
          </w:tcPr>
          <w:p w14:paraId="184916D0" w14:textId="6AEE93BE" w:rsidR="006F08FE" w:rsidRPr="001C16DC" w:rsidRDefault="006F08FE" w:rsidP="006F08FE">
            <w:pPr>
              <w:pStyle w:val="Tabletext"/>
            </w:pPr>
            <w:r w:rsidRPr="00FF7D7B">
              <w:t xml:space="preserve">Are general practitioners or shared care options included in the anaemia screening pathway? (Module 2, R1) </w:t>
            </w:r>
          </w:p>
        </w:tc>
        <w:tc>
          <w:tcPr>
            <w:tcW w:w="624" w:type="dxa"/>
          </w:tcPr>
          <w:p w14:paraId="46FCD7A5" w14:textId="77777777" w:rsidR="006F08FE" w:rsidRPr="001C16DC" w:rsidRDefault="006F08FE" w:rsidP="006F08FE">
            <w:pPr>
              <w:pStyle w:val="Tabletext"/>
            </w:pPr>
          </w:p>
        </w:tc>
        <w:tc>
          <w:tcPr>
            <w:tcW w:w="624" w:type="dxa"/>
          </w:tcPr>
          <w:p w14:paraId="6CE9A39D" w14:textId="77777777" w:rsidR="006F08FE" w:rsidRPr="001C16DC" w:rsidRDefault="006F08FE" w:rsidP="006F08FE">
            <w:pPr>
              <w:pStyle w:val="Tabletext"/>
            </w:pPr>
          </w:p>
        </w:tc>
        <w:tc>
          <w:tcPr>
            <w:tcW w:w="624" w:type="dxa"/>
          </w:tcPr>
          <w:p w14:paraId="5A36B399" w14:textId="77777777" w:rsidR="006F08FE" w:rsidRPr="001C16DC" w:rsidRDefault="006F08FE" w:rsidP="006F08FE">
            <w:pPr>
              <w:pStyle w:val="Tabletext"/>
            </w:pPr>
          </w:p>
        </w:tc>
        <w:tc>
          <w:tcPr>
            <w:tcW w:w="624" w:type="dxa"/>
          </w:tcPr>
          <w:p w14:paraId="7F94CE45" w14:textId="77777777" w:rsidR="006F08FE" w:rsidRPr="001C16DC" w:rsidRDefault="006F08FE" w:rsidP="006F08FE">
            <w:pPr>
              <w:pStyle w:val="Tabletext"/>
            </w:pPr>
          </w:p>
        </w:tc>
      </w:tr>
      <w:tr w:rsidR="006F08FE" w:rsidRPr="001C16DC" w14:paraId="137E730A" w14:textId="77777777" w:rsidTr="003C2836">
        <w:trPr>
          <w:trHeight w:val="554"/>
        </w:trPr>
        <w:tc>
          <w:tcPr>
            <w:tcW w:w="6596" w:type="dxa"/>
          </w:tcPr>
          <w:p w14:paraId="265489CC" w14:textId="5DA6DC7A" w:rsidR="006F08FE" w:rsidRPr="00FF7D7B" w:rsidRDefault="006F08FE" w:rsidP="006F08FE">
            <w:pPr>
              <w:pStyle w:val="Tabletext"/>
            </w:pPr>
            <w:r w:rsidRPr="00FF7D7B">
              <w:t>Does the pathway include a preoperative haemoglobin assessment and optimisation template?</w:t>
            </w:r>
          </w:p>
        </w:tc>
        <w:tc>
          <w:tcPr>
            <w:tcW w:w="624" w:type="dxa"/>
          </w:tcPr>
          <w:p w14:paraId="1437238A" w14:textId="77777777" w:rsidR="006F08FE" w:rsidRPr="001C16DC" w:rsidRDefault="006F08FE" w:rsidP="006F08FE">
            <w:pPr>
              <w:pStyle w:val="Tabletext"/>
            </w:pPr>
          </w:p>
        </w:tc>
        <w:tc>
          <w:tcPr>
            <w:tcW w:w="624" w:type="dxa"/>
          </w:tcPr>
          <w:p w14:paraId="225B231A" w14:textId="77777777" w:rsidR="006F08FE" w:rsidRPr="001C16DC" w:rsidRDefault="006F08FE" w:rsidP="006F08FE">
            <w:pPr>
              <w:pStyle w:val="Tabletext"/>
            </w:pPr>
          </w:p>
        </w:tc>
        <w:tc>
          <w:tcPr>
            <w:tcW w:w="624" w:type="dxa"/>
          </w:tcPr>
          <w:p w14:paraId="1D5E583E" w14:textId="77777777" w:rsidR="006F08FE" w:rsidRPr="001C16DC" w:rsidRDefault="006F08FE" w:rsidP="006F08FE">
            <w:pPr>
              <w:pStyle w:val="Tabletext"/>
            </w:pPr>
          </w:p>
        </w:tc>
        <w:tc>
          <w:tcPr>
            <w:tcW w:w="624" w:type="dxa"/>
          </w:tcPr>
          <w:p w14:paraId="476BF40D" w14:textId="77777777" w:rsidR="006F08FE" w:rsidRPr="001C16DC" w:rsidRDefault="006F08FE" w:rsidP="006F08FE">
            <w:pPr>
              <w:pStyle w:val="Tabletext"/>
            </w:pPr>
          </w:p>
        </w:tc>
      </w:tr>
      <w:tr w:rsidR="006F08FE" w:rsidRPr="001C16DC" w14:paraId="5FA0BC74" w14:textId="77777777" w:rsidTr="003C2836">
        <w:trPr>
          <w:trHeight w:val="554"/>
        </w:trPr>
        <w:tc>
          <w:tcPr>
            <w:tcW w:w="6596" w:type="dxa"/>
          </w:tcPr>
          <w:p w14:paraId="56CF5F8B" w14:textId="77777777" w:rsidR="006F08FE" w:rsidRPr="00FF7D7B" w:rsidRDefault="006F08FE" w:rsidP="002B2FD9">
            <w:pPr>
              <w:pStyle w:val="Tabletext"/>
            </w:pPr>
            <w:r w:rsidRPr="00FF7D7B">
              <w:t xml:space="preserve">Does the </w:t>
            </w:r>
            <w:r w:rsidRPr="00F95181">
              <w:t>anaemia</w:t>
            </w:r>
            <w:r w:rsidRPr="00FF7D7B">
              <w:t xml:space="preserve"> screening pathway/template include the following tests? </w:t>
            </w:r>
          </w:p>
          <w:p w14:paraId="6C9148DC" w14:textId="6A0B6820" w:rsidR="006F08FE" w:rsidRPr="00F95181" w:rsidRDefault="006F08FE" w:rsidP="002B2FD9">
            <w:pPr>
              <w:pStyle w:val="Tablebullet1"/>
            </w:pPr>
            <w:r>
              <w:t>f</w:t>
            </w:r>
            <w:r w:rsidRPr="00F95181">
              <w:t>ull blood examination</w:t>
            </w:r>
            <w:r>
              <w:t xml:space="preserve"> (FBE</w:t>
            </w:r>
            <w:r w:rsidRPr="00F95181">
              <w:t>)</w:t>
            </w:r>
          </w:p>
          <w:p w14:paraId="1CA5194F" w14:textId="56439A15" w:rsidR="006F08FE" w:rsidRPr="00F95181" w:rsidRDefault="006F08FE" w:rsidP="002B2FD9">
            <w:pPr>
              <w:pStyle w:val="Tablebullet1"/>
            </w:pPr>
            <w:r>
              <w:t>i</w:t>
            </w:r>
            <w:r w:rsidRPr="00F95181">
              <w:t xml:space="preserve">ron studies including ferritin </w:t>
            </w:r>
          </w:p>
          <w:p w14:paraId="04C8A912" w14:textId="77777777" w:rsidR="006F08FE" w:rsidRPr="00F95181" w:rsidRDefault="006F08FE" w:rsidP="002B2FD9">
            <w:pPr>
              <w:pStyle w:val="Tablebullet1"/>
            </w:pPr>
            <w:r w:rsidRPr="00F95181">
              <w:t>CRP</w:t>
            </w:r>
          </w:p>
          <w:p w14:paraId="210AC1F3" w14:textId="5A71700C" w:rsidR="006F08FE" w:rsidRPr="00F95181" w:rsidRDefault="006F08FE" w:rsidP="002B2FD9">
            <w:pPr>
              <w:pStyle w:val="Tablebullet1"/>
            </w:pPr>
            <w:r>
              <w:t>r</w:t>
            </w:r>
            <w:r w:rsidRPr="00F95181">
              <w:t xml:space="preserve">enal function </w:t>
            </w:r>
          </w:p>
          <w:p w14:paraId="34BF59C6" w14:textId="77777777" w:rsidR="006F08FE" w:rsidRPr="00F95181" w:rsidRDefault="006F08FE" w:rsidP="002B2FD9">
            <w:pPr>
              <w:pStyle w:val="Tablebullet1"/>
            </w:pPr>
            <w:r w:rsidRPr="00F95181">
              <w:t>B12 and folate</w:t>
            </w:r>
            <w:r w:rsidRPr="002B2FD9">
              <w:rPr>
                <w:rFonts w:eastAsia="Times New Roman"/>
                <w:vertAlign w:val="superscript"/>
              </w:rPr>
              <w:footnoteReference w:id="1"/>
            </w:r>
          </w:p>
          <w:p w14:paraId="5BFFB592" w14:textId="2BE3DA3F" w:rsidR="006F08FE" w:rsidRPr="00F95181" w:rsidRDefault="006F08FE">
            <w:pPr>
              <w:pStyle w:val="Tabletext"/>
            </w:pPr>
            <w:r w:rsidRPr="00F95181">
              <w:t>(Module 2, Optimisation template)</w:t>
            </w:r>
          </w:p>
        </w:tc>
        <w:tc>
          <w:tcPr>
            <w:tcW w:w="624" w:type="dxa"/>
          </w:tcPr>
          <w:p w14:paraId="7BE58C82" w14:textId="77777777" w:rsidR="006F08FE" w:rsidRPr="001C16DC" w:rsidRDefault="006F08FE" w:rsidP="006F08FE">
            <w:pPr>
              <w:pStyle w:val="Tabletext"/>
            </w:pPr>
          </w:p>
        </w:tc>
        <w:tc>
          <w:tcPr>
            <w:tcW w:w="624" w:type="dxa"/>
          </w:tcPr>
          <w:p w14:paraId="304C5BB3" w14:textId="77777777" w:rsidR="006F08FE" w:rsidRPr="001C16DC" w:rsidRDefault="006F08FE" w:rsidP="006F08FE">
            <w:pPr>
              <w:pStyle w:val="Tabletext"/>
            </w:pPr>
          </w:p>
        </w:tc>
        <w:tc>
          <w:tcPr>
            <w:tcW w:w="624" w:type="dxa"/>
          </w:tcPr>
          <w:p w14:paraId="7C66C142" w14:textId="77777777" w:rsidR="006F08FE" w:rsidRPr="001C16DC" w:rsidRDefault="006F08FE" w:rsidP="006F08FE">
            <w:pPr>
              <w:pStyle w:val="Tabletext"/>
            </w:pPr>
          </w:p>
        </w:tc>
        <w:tc>
          <w:tcPr>
            <w:tcW w:w="624" w:type="dxa"/>
          </w:tcPr>
          <w:p w14:paraId="0D10FC03" w14:textId="77777777" w:rsidR="006F08FE" w:rsidRPr="001C16DC" w:rsidRDefault="006F08FE" w:rsidP="006F08FE">
            <w:pPr>
              <w:pStyle w:val="Tabletext"/>
            </w:pPr>
          </w:p>
        </w:tc>
      </w:tr>
      <w:tr w:rsidR="006F08FE" w:rsidRPr="001C16DC" w14:paraId="2B85F166" w14:textId="77777777" w:rsidTr="003C2836">
        <w:trPr>
          <w:trHeight w:val="554"/>
        </w:trPr>
        <w:tc>
          <w:tcPr>
            <w:tcW w:w="6596" w:type="dxa"/>
          </w:tcPr>
          <w:p w14:paraId="5BA53CBD" w14:textId="3706A9EF" w:rsidR="006F08FE" w:rsidRPr="00FF7D7B" w:rsidRDefault="006F08FE" w:rsidP="006F08FE">
            <w:pPr>
              <w:pStyle w:val="Tabletext"/>
            </w:pPr>
            <w:r w:rsidRPr="00FF7D7B">
              <w:lastRenderedPageBreak/>
              <w:t>Does the PBM/anaemia screening pathway specify roles and responsibilities for each of the steps in the pathway, including whose role it is to identify patients</w:t>
            </w:r>
            <w:r w:rsidR="0080220B">
              <w:t xml:space="preserve"> at risk of anaemia</w:t>
            </w:r>
            <w:r w:rsidRPr="00FF7D7B">
              <w:t xml:space="preserve"> to refer for further investigation and/or treatment?</w:t>
            </w:r>
          </w:p>
        </w:tc>
        <w:tc>
          <w:tcPr>
            <w:tcW w:w="624" w:type="dxa"/>
          </w:tcPr>
          <w:p w14:paraId="6D1805FC" w14:textId="77777777" w:rsidR="006F08FE" w:rsidRPr="001C16DC" w:rsidRDefault="006F08FE" w:rsidP="006F08FE">
            <w:pPr>
              <w:pStyle w:val="Tabletext"/>
            </w:pPr>
          </w:p>
        </w:tc>
        <w:tc>
          <w:tcPr>
            <w:tcW w:w="624" w:type="dxa"/>
          </w:tcPr>
          <w:p w14:paraId="4DAA80E5" w14:textId="77777777" w:rsidR="006F08FE" w:rsidRPr="001C16DC" w:rsidRDefault="006F08FE" w:rsidP="006F08FE">
            <w:pPr>
              <w:pStyle w:val="Tabletext"/>
            </w:pPr>
          </w:p>
        </w:tc>
        <w:tc>
          <w:tcPr>
            <w:tcW w:w="624" w:type="dxa"/>
          </w:tcPr>
          <w:p w14:paraId="211F9DD8" w14:textId="77777777" w:rsidR="006F08FE" w:rsidRPr="001C16DC" w:rsidRDefault="006F08FE" w:rsidP="006F08FE">
            <w:pPr>
              <w:pStyle w:val="Tabletext"/>
            </w:pPr>
          </w:p>
        </w:tc>
        <w:tc>
          <w:tcPr>
            <w:tcW w:w="624" w:type="dxa"/>
          </w:tcPr>
          <w:p w14:paraId="54F73A57" w14:textId="77777777" w:rsidR="006F08FE" w:rsidRPr="001C16DC" w:rsidRDefault="006F08FE" w:rsidP="006F08FE">
            <w:pPr>
              <w:pStyle w:val="Tabletext"/>
            </w:pPr>
          </w:p>
        </w:tc>
      </w:tr>
      <w:tr w:rsidR="006F08FE" w:rsidRPr="001C16DC" w14:paraId="5EA4BF94" w14:textId="77777777" w:rsidTr="003C2836">
        <w:trPr>
          <w:trHeight w:val="554"/>
        </w:trPr>
        <w:tc>
          <w:tcPr>
            <w:tcW w:w="6596" w:type="dxa"/>
          </w:tcPr>
          <w:p w14:paraId="05BAEBD3" w14:textId="271948F3" w:rsidR="006F08FE" w:rsidRPr="00FF7D7B" w:rsidRDefault="006F08FE" w:rsidP="006F08FE">
            <w:pPr>
              <w:pStyle w:val="Tabletext"/>
            </w:pPr>
            <w:r w:rsidRPr="00FF7D7B">
              <w:t>Does the PBM/screening pathway/template include discussion/advice from or referral to a specialist? (Module 2 – PP6, PP7, template)</w:t>
            </w:r>
          </w:p>
        </w:tc>
        <w:tc>
          <w:tcPr>
            <w:tcW w:w="624" w:type="dxa"/>
          </w:tcPr>
          <w:p w14:paraId="6EF5A450" w14:textId="77777777" w:rsidR="006F08FE" w:rsidRPr="001C16DC" w:rsidRDefault="006F08FE" w:rsidP="006F08FE">
            <w:pPr>
              <w:pStyle w:val="Tabletext"/>
            </w:pPr>
          </w:p>
        </w:tc>
        <w:tc>
          <w:tcPr>
            <w:tcW w:w="624" w:type="dxa"/>
          </w:tcPr>
          <w:p w14:paraId="60AD86C6" w14:textId="77777777" w:rsidR="006F08FE" w:rsidRPr="001C16DC" w:rsidRDefault="006F08FE" w:rsidP="006F08FE">
            <w:pPr>
              <w:pStyle w:val="Tabletext"/>
            </w:pPr>
          </w:p>
        </w:tc>
        <w:tc>
          <w:tcPr>
            <w:tcW w:w="624" w:type="dxa"/>
          </w:tcPr>
          <w:p w14:paraId="7C18418D" w14:textId="77777777" w:rsidR="006F08FE" w:rsidRPr="001C16DC" w:rsidRDefault="006F08FE" w:rsidP="006F08FE">
            <w:pPr>
              <w:pStyle w:val="Tabletext"/>
            </w:pPr>
          </w:p>
        </w:tc>
        <w:tc>
          <w:tcPr>
            <w:tcW w:w="624" w:type="dxa"/>
          </w:tcPr>
          <w:p w14:paraId="4997C671" w14:textId="77777777" w:rsidR="006F08FE" w:rsidRPr="001C16DC" w:rsidRDefault="006F08FE" w:rsidP="006F08FE">
            <w:pPr>
              <w:pStyle w:val="Tabletext"/>
            </w:pPr>
          </w:p>
        </w:tc>
      </w:tr>
    </w:tbl>
    <w:p w14:paraId="64C58D2E" w14:textId="7A49E04B" w:rsidR="006F08FE" w:rsidRPr="00F95181" w:rsidRDefault="006F08FE" w:rsidP="002B2FD9">
      <w:pPr>
        <w:pStyle w:val="Tablecaption"/>
      </w:pPr>
      <w:r>
        <w:t>Intraoperative</w:t>
      </w:r>
    </w:p>
    <w:tbl>
      <w:tblPr>
        <w:tblStyle w:val="TableGrid11"/>
        <w:tblW w:w="0" w:type="auto"/>
        <w:tblLayout w:type="fixed"/>
        <w:tblLook w:val="04A0" w:firstRow="1" w:lastRow="0" w:firstColumn="1" w:lastColumn="0" w:noHBand="0" w:noVBand="1"/>
      </w:tblPr>
      <w:tblGrid>
        <w:gridCol w:w="6596"/>
        <w:gridCol w:w="624"/>
        <w:gridCol w:w="624"/>
        <w:gridCol w:w="624"/>
        <w:gridCol w:w="624"/>
      </w:tblGrid>
      <w:tr w:rsidR="006F08FE" w:rsidRPr="001C16DC" w14:paraId="4ED7DED2" w14:textId="77777777" w:rsidTr="003C2836">
        <w:trPr>
          <w:trHeight w:val="554"/>
        </w:trPr>
        <w:tc>
          <w:tcPr>
            <w:tcW w:w="6596" w:type="dxa"/>
          </w:tcPr>
          <w:p w14:paraId="57DC92AE" w14:textId="402AC3ED" w:rsidR="006F08FE" w:rsidRPr="00731F1F" w:rsidRDefault="006F08FE" w:rsidP="002B2FD9">
            <w:pPr>
              <w:pStyle w:val="Tablecolhead"/>
            </w:pPr>
            <w:r w:rsidRPr="00AE31EB">
              <w:t>Element</w:t>
            </w:r>
          </w:p>
        </w:tc>
        <w:tc>
          <w:tcPr>
            <w:tcW w:w="624" w:type="dxa"/>
          </w:tcPr>
          <w:p w14:paraId="43F409A2" w14:textId="43AB2FB1" w:rsidR="006F08FE" w:rsidRPr="001C16DC" w:rsidRDefault="006F08FE" w:rsidP="002B2FD9">
            <w:pPr>
              <w:pStyle w:val="Tablecolhead"/>
            </w:pPr>
            <w:r w:rsidRPr="00AE31EB">
              <w:t>Yes</w:t>
            </w:r>
          </w:p>
        </w:tc>
        <w:tc>
          <w:tcPr>
            <w:tcW w:w="624" w:type="dxa"/>
          </w:tcPr>
          <w:p w14:paraId="04225F53" w14:textId="195175EA" w:rsidR="006F08FE" w:rsidRPr="001C16DC" w:rsidRDefault="006F08FE" w:rsidP="002B2FD9">
            <w:pPr>
              <w:pStyle w:val="Tablecolhead"/>
            </w:pPr>
            <w:r w:rsidRPr="00AE31EB">
              <w:t>No</w:t>
            </w:r>
          </w:p>
        </w:tc>
        <w:tc>
          <w:tcPr>
            <w:tcW w:w="624" w:type="dxa"/>
          </w:tcPr>
          <w:p w14:paraId="35AFB3F7" w14:textId="652558F7" w:rsidR="006F08FE" w:rsidRPr="001C16DC" w:rsidRDefault="006F08FE" w:rsidP="002B2FD9">
            <w:pPr>
              <w:pStyle w:val="Tablecolhead"/>
            </w:pPr>
            <w:r w:rsidRPr="00AE31EB">
              <w:t>WIP</w:t>
            </w:r>
          </w:p>
        </w:tc>
        <w:tc>
          <w:tcPr>
            <w:tcW w:w="624" w:type="dxa"/>
          </w:tcPr>
          <w:p w14:paraId="3097E924" w14:textId="64D2D618" w:rsidR="006F08FE" w:rsidRPr="001C16DC" w:rsidRDefault="006F08FE" w:rsidP="002B2FD9">
            <w:pPr>
              <w:pStyle w:val="Tablecolhead"/>
            </w:pPr>
            <w:r w:rsidRPr="00AE31EB">
              <w:t>N/A</w:t>
            </w:r>
          </w:p>
        </w:tc>
      </w:tr>
      <w:tr w:rsidR="006F08FE" w:rsidRPr="001C16DC" w14:paraId="5A062A47" w14:textId="77777777" w:rsidTr="003C2836">
        <w:trPr>
          <w:trHeight w:val="554"/>
        </w:trPr>
        <w:tc>
          <w:tcPr>
            <w:tcW w:w="6596" w:type="dxa"/>
          </w:tcPr>
          <w:p w14:paraId="6C424CE6" w14:textId="7E2B420F" w:rsidR="006F08FE" w:rsidRPr="00FF7D7B" w:rsidRDefault="006F08FE" w:rsidP="00F95181">
            <w:pPr>
              <w:pStyle w:val="Tabletext"/>
            </w:pPr>
            <w:r w:rsidRPr="00731F1F">
              <w:t xml:space="preserve">Does the </w:t>
            </w:r>
            <w:r w:rsidRPr="00F95181">
              <w:t>PBM</w:t>
            </w:r>
            <w:r w:rsidRPr="00731F1F">
              <w:t xml:space="preserve"> program include intraoperative PBM strategies? (Module 2 – R12</w:t>
            </w:r>
            <w:r>
              <w:t>–</w:t>
            </w:r>
            <w:r w:rsidRPr="00731F1F">
              <w:t>19, PP11, PP12, PP13)</w:t>
            </w:r>
          </w:p>
        </w:tc>
        <w:tc>
          <w:tcPr>
            <w:tcW w:w="624" w:type="dxa"/>
          </w:tcPr>
          <w:p w14:paraId="468CF7BC" w14:textId="77777777" w:rsidR="006F08FE" w:rsidRPr="001C16DC" w:rsidRDefault="006F08FE" w:rsidP="006F08FE">
            <w:pPr>
              <w:pStyle w:val="Tabletext"/>
            </w:pPr>
          </w:p>
        </w:tc>
        <w:tc>
          <w:tcPr>
            <w:tcW w:w="624" w:type="dxa"/>
          </w:tcPr>
          <w:p w14:paraId="2908BB98" w14:textId="77777777" w:rsidR="006F08FE" w:rsidRPr="001C16DC" w:rsidRDefault="006F08FE" w:rsidP="006F08FE">
            <w:pPr>
              <w:pStyle w:val="Tabletext"/>
            </w:pPr>
          </w:p>
        </w:tc>
        <w:tc>
          <w:tcPr>
            <w:tcW w:w="624" w:type="dxa"/>
          </w:tcPr>
          <w:p w14:paraId="4F1176F5" w14:textId="77777777" w:rsidR="006F08FE" w:rsidRPr="001C16DC" w:rsidRDefault="006F08FE" w:rsidP="006F08FE">
            <w:pPr>
              <w:pStyle w:val="Tabletext"/>
            </w:pPr>
          </w:p>
        </w:tc>
        <w:tc>
          <w:tcPr>
            <w:tcW w:w="624" w:type="dxa"/>
          </w:tcPr>
          <w:p w14:paraId="6C0D6C71" w14:textId="77777777" w:rsidR="006F08FE" w:rsidRPr="001C16DC" w:rsidRDefault="006F08FE" w:rsidP="006F08FE">
            <w:pPr>
              <w:pStyle w:val="Tabletext"/>
            </w:pPr>
          </w:p>
        </w:tc>
      </w:tr>
    </w:tbl>
    <w:p w14:paraId="10372E87" w14:textId="586F173E" w:rsidR="006F08FE" w:rsidRPr="00F95181" w:rsidRDefault="006F08FE" w:rsidP="002B2FD9">
      <w:pPr>
        <w:pStyle w:val="Tablecaption"/>
      </w:pPr>
      <w:r>
        <w:t>Postoperative</w:t>
      </w:r>
    </w:p>
    <w:tbl>
      <w:tblPr>
        <w:tblStyle w:val="TableGrid11"/>
        <w:tblW w:w="0" w:type="auto"/>
        <w:tblLayout w:type="fixed"/>
        <w:tblLook w:val="04A0" w:firstRow="1" w:lastRow="0" w:firstColumn="1" w:lastColumn="0" w:noHBand="0" w:noVBand="1"/>
      </w:tblPr>
      <w:tblGrid>
        <w:gridCol w:w="6596"/>
        <w:gridCol w:w="624"/>
        <w:gridCol w:w="624"/>
        <w:gridCol w:w="624"/>
        <w:gridCol w:w="624"/>
      </w:tblGrid>
      <w:tr w:rsidR="006F08FE" w:rsidRPr="001C16DC" w14:paraId="0701C283" w14:textId="77777777" w:rsidTr="003C2836">
        <w:trPr>
          <w:trHeight w:val="554"/>
        </w:trPr>
        <w:tc>
          <w:tcPr>
            <w:tcW w:w="6596" w:type="dxa"/>
          </w:tcPr>
          <w:p w14:paraId="1E7BC68B" w14:textId="15343AB6" w:rsidR="006F08FE" w:rsidRPr="00F95181" w:rsidRDefault="006F08FE" w:rsidP="002B2FD9">
            <w:pPr>
              <w:pStyle w:val="Tablecolhead"/>
            </w:pPr>
            <w:r w:rsidRPr="00F95181">
              <w:t>Element</w:t>
            </w:r>
          </w:p>
        </w:tc>
        <w:tc>
          <w:tcPr>
            <w:tcW w:w="624" w:type="dxa"/>
          </w:tcPr>
          <w:p w14:paraId="0D7C83B0" w14:textId="0FBD1B7B" w:rsidR="006F08FE" w:rsidRPr="00F95181" w:rsidRDefault="006F08FE" w:rsidP="002B2FD9">
            <w:pPr>
              <w:pStyle w:val="Tablecolhead"/>
            </w:pPr>
            <w:r w:rsidRPr="00F95181">
              <w:t>Yes</w:t>
            </w:r>
          </w:p>
        </w:tc>
        <w:tc>
          <w:tcPr>
            <w:tcW w:w="624" w:type="dxa"/>
          </w:tcPr>
          <w:p w14:paraId="7CD4AB75" w14:textId="64D3FC79" w:rsidR="006F08FE" w:rsidRPr="00F95181" w:rsidRDefault="006F08FE" w:rsidP="002B2FD9">
            <w:pPr>
              <w:pStyle w:val="Tablecolhead"/>
            </w:pPr>
            <w:r w:rsidRPr="00F95181">
              <w:t>No</w:t>
            </w:r>
          </w:p>
        </w:tc>
        <w:tc>
          <w:tcPr>
            <w:tcW w:w="624" w:type="dxa"/>
          </w:tcPr>
          <w:p w14:paraId="05C2B45F" w14:textId="3389900A" w:rsidR="006F08FE" w:rsidRPr="0062793C" w:rsidRDefault="006F08FE" w:rsidP="002B2FD9">
            <w:pPr>
              <w:pStyle w:val="Tablecolhead"/>
            </w:pPr>
            <w:r w:rsidRPr="0062793C">
              <w:t>WIP</w:t>
            </w:r>
          </w:p>
        </w:tc>
        <w:tc>
          <w:tcPr>
            <w:tcW w:w="624" w:type="dxa"/>
          </w:tcPr>
          <w:p w14:paraId="198E6693" w14:textId="3F67A08E" w:rsidR="006F08FE" w:rsidRPr="0062793C" w:rsidRDefault="006F08FE" w:rsidP="002B2FD9">
            <w:pPr>
              <w:pStyle w:val="Tablecolhead"/>
            </w:pPr>
            <w:r w:rsidRPr="0062793C">
              <w:t>N/A</w:t>
            </w:r>
          </w:p>
        </w:tc>
      </w:tr>
      <w:tr w:rsidR="006F08FE" w:rsidRPr="001C16DC" w14:paraId="696D6590" w14:textId="77777777" w:rsidTr="003C2836">
        <w:trPr>
          <w:trHeight w:val="554"/>
        </w:trPr>
        <w:tc>
          <w:tcPr>
            <w:tcW w:w="6596" w:type="dxa"/>
          </w:tcPr>
          <w:p w14:paraId="08B17AEC" w14:textId="21FFB727" w:rsidR="006F08FE" w:rsidRPr="00FF7D7B" w:rsidRDefault="006F08FE" w:rsidP="006F08FE">
            <w:pPr>
              <w:pStyle w:val="Tabletext"/>
            </w:pPr>
            <w:r w:rsidRPr="00FF7D7B">
              <w:t>Does the PBM program include strategies for addressing postoperative anaemia? (Module 2 – R20)</w:t>
            </w:r>
          </w:p>
        </w:tc>
        <w:tc>
          <w:tcPr>
            <w:tcW w:w="624" w:type="dxa"/>
          </w:tcPr>
          <w:p w14:paraId="1BC55AE5" w14:textId="77777777" w:rsidR="006F08FE" w:rsidRPr="001C16DC" w:rsidRDefault="006F08FE" w:rsidP="006F08FE">
            <w:pPr>
              <w:pStyle w:val="Tabletext"/>
            </w:pPr>
          </w:p>
        </w:tc>
        <w:tc>
          <w:tcPr>
            <w:tcW w:w="624" w:type="dxa"/>
          </w:tcPr>
          <w:p w14:paraId="7D3CCEA4" w14:textId="77777777" w:rsidR="006F08FE" w:rsidRPr="001C16DC" w:rsidRDefault="006F08FE" w:rsidP="006F08FE">
            <w:pPr>
              <w:pStyle w:val="Tabletext"/>
            </w:pPr>
          </w:p>
        </w:tc>
        <w:tc>
          <w:tcPr>
            <w:tcW w:w="624" w:type="dxa"/>
          </w:tcPr>
          <w:p w14:paraId="20D06669" w14:textId="77777777" w:rsidR="006F08FE" w:rsidRPr="001C16DC" w:rsidRDefault="006F08FE" w:rsidP="006F08FE">
            <w:pPr>
              <w:pStyle w:val="Tabletext"/>
            </w:pPr>
          </w:p>
        </w:tc>
        <w:tc>
          <w:tcPr>
            <w:tcW w:w="624" w:type="dxa"/>
          </w:tcPr>
          <w:p w14:paraId="75F5954B" w14:textId="77777777" w:rsidR="006F08FE" w:rsidRPr="001C16DC" w:rsidRDefault="006F08FE" w:rsidP="006F08FE">
            <w:pPr>
              <w:pStyle w:val="Tabletext"/>
            </w:pPr>
          </w:p>
        </w:tc>
      </w:tr>
      <w:tr w:rsidR="006F08FE" w:rsidRPr="001C16DC" w14:paraId="35C3EFDB" w14:textId="77777777" w:rsidTr="003C2836">
        <w:trPr>
          <w:trHeight w:val="554"/>
        </w:trPr>
        <w:tc>
          <w:tcPr>
            <w:tcW w:w="6596" w:type="dxa"/>
          </w:tcPr>
          <w:p w14:paraId="24DE4751" w14:textId="7D256D63" w:rsidR="006F08FE" w:rsidRPr="00FF7D7B" w:rsidRDefault="006F08FE" w:rsidP="006F08FE">
            <w:pPr>
              <w:pStyle w:val="Tabletext"/>
            </w:pPr>
            <w:r w:rsidRPr="00FF7D7B">
              <w:t xml:space="preserve">Does the PBM program promote inclusion of anaemia management in the discharge plan, where appropriate (NSQHS Standards 6 </w:t>
            </w:r>
            <w:r w:rsidR="007B7978">
              <w:t>and</w:t>
            </w:r>
            <w:r w:rsidRPr="00FF7D7B">
              <w:t xml:space="preserve"> 7.6)</w:t>
            </w:r>
          </w:p>
        </w:tc>
        <w:tc>
          <w:tcPr>
            <w:tcW w:w="624" w:type="dxa"/>
          </w:tcPr>
          <w:p w14:paraId="7E62A785" w14:textId="77777777" w:rsidR="006F08FE" w:rsidRPr="001C16DC" w:rsidRDefault="006F08FE" w:rsidP="006F08FE">
            <w:pPr>
              <w:pStyle w:val="Tabletext"/>
            </w:pPr>
          </w:p>
        </w:tc>
        <w:tc>
          <w:tcPr>
            <w:tcW w:w="624" w:type="dxa"/>
          </w:tcPr>
          <w:p w14:paraId="29C182E4" w14:textId="77777777" w:rsidR="006F08FE" w:rsidRPr="001C16DC" w:rsidRDefault="006F08FE" w:rsidP="006F08FE">
            <w:pPr>
              <w:pStyle w:val="Tabletext"/>
            </w:pPr>
          </w:p>
        </w:tc>
        <w:tc>
          <w:tcPr>
            <w:tcW w:w="624" w:type="dxa"/>
          </w:tcPr>
          <w:p w14:paraId="7FC73C1E" w14:textId="77777777" w:rsidR="006F08FE" w:rsidRPr="001C16DC" w:rsidRDefault="006F08FE" w:rsidP="006F08FE">
            <w:pPr>
              <w:pStyle w:val="Tabletext"/>
            </w:pPr>
          </w:p>
        </w:tc>
        <w:tc>
          <w:tcPr>
            <w:tcW w:w="624" w:type="dxa"/>
          </w:tcPr>
          <w:p w14:paraId="195A3C31" w14:textId="77777777" w:rsidR="006F08FE" w:rsidRPr="001C16DC" w:rsidRDefault="006F08FE" w:rsidP="006F08FE">
            <w:pPr>
              <w:pStyle w:val="Tabletext"/>
            </w:pPr>
          </w:p>
        </w:tc>
      </w:tr>
    </w:tbl>
    <w:p w14:paraId="60FBCE40" w14:textId="77777777" w:rsidR="006F08FE" w:rsidRDefault="006F08FE" w:rsidP="002B2FD9">
      <w:pPr>
        <w:pStyle w:val="Body"/>
        <w:rPr>
          <w:rFonts w:eastAsia="MS Gothic" w:cs="Arial"/>
          <w:bCs/>
          <w:color w:val="AF272F"/>
          <w:kern w:val="32"/>
          <w:sz w:val="44"/>
          <w:szCs w:val="44"/>
        </w:rPr>
      </w:pPr>
      <w:bookmarkStart w:id="45" w:name="_Toc61867188"/>
      <w:bookmarkStart w:id="46" w:name="_Toc69106573"/>
      <w:bookmarkStart w:id="47" w:name="_Toc72314124"/>
      <w:r>
        <w:br w:type="page"/>
      </w:r>
    </w:p>
    <w:p w14:paraId="62DD7A5C" w14:textId="0960C896" w:rsidR="0037064F" w:rsidRPr="008843F0" w:rsidRDefault="0037064F" w:rsidP="0037064F">
      <w:pPr>
        <w:pStyle w:val="Heading1"/>
      </w:pPr>
      <w:bookmarkStart w:id="48" w:name="_Toc78958781"/>
      <w:r w:rsidRPr="008843F0">
        <w:lastRenderedPageBreak/>
        <w:t>Introduction</w:t>
      </w:r>
      <w:bookmarkEnd w:id="45"/>
      <w:bookmarkEnd w:id="46"/>
      <w:bookmarkEnd w:id="47"/>
      <w:bookmarkEnd w:id="48"/>
    </w:p>
    <w:p w14:paraId="52E5AB1D" w14:textId="7D837FC0" w:rsidR="009F6817" w:rsidRDefault="0037064F" w:rsidP="0037064F">
      <w:pPr>
        <w:pStyle w:val="Body"/>
        <w:rPr>
          <w:lang w:val="en"/>
        </w:rPr>
      </w:pPr>
      <w:r w:rsidRPr="008843F0">
        <w:rPr>
          <w:lang w:val="en"/>
        </w:rPr>
        <w:t xml:space="preserve">The </w:t>
      </w:r>
      <w:bookmarkStart w:id="49" w:name="_Hlk66441709"/>
      <w:r w:rsidRPr="008843F0">
        <w:rPr>
          <w:lang w:val="en"/>
        </w:rPr>
        <w:t xml:space="preserve">National Blood Authority (NBA) Patient Blood Management (PBM) guidelines ‘Module 2: Perioperative’ (Module 2) </w:t>
      </w:r>
      <w:bookmarkEnd w:id="49"/>
      <w:r w:rsidRPr="008843F0">
        <w:rPr>
          <w:lang w:val="en"/>
        </w:rPr>
        <w:t>was released in March 2012 (NBA 2012</w:t>
      </w:r>
      <w:r w:rsidR="009F6817" w:rsidRPr="008843F0">
        <w:rPr>
          <w:lang w:val="en"/>
        </w:rPr>
        <w:t>)</w:t>
      </w:r>
      <w:r w:rsidR="009F6817">
        <w:rPr>
          <w:lang w:val="en"/>
        </w:rPr>
        <w:t>.</w:t>
      </w:r>
      <w:r w:rsidR="009F6817" w:rsidRPr="008843F0">
        <w:rPr>
          <w:lang w:val="en"/>
        </w:rPr>
        <w:t xml:space="preserve"> </w:t>
      </w:r>
    </w:p>
    <w:p w14:paraId="1B62BE79" w14:textId="38C8EA01" w:rsidR="009F6817" w:rsidRDefault="009F6817" w:rsidP="0037064F">
      <w:pPr>
        <w:pStyle w:val="Body"/>
        <w:rPr>
          <w:lang w:val="en"/>
        </w:rPr>
      </w:pPr>
      <w:r>
        <w:rPr>
          <w:lang w:val="en"/>
        </w:rPr>
        <w:t>T</w:t>
      </w:r>
      <w:r w:rsidRPr="008843F0">
        <w:rPr>
          <w:lang w:val="en"/>
        </w:rPr>
        <w:t xml:space="preserve">he </w:t>
      </w:r>
      <w:r w:rsidR="0037064F" w:rsidRPr="008843F0">
        <w:rPr>
          <w:lang w:val="en"/>
        </w:rPr>
        <w:t xml:space="preserve">guidelines are currently being reviewed and updated. The 2012 module remains in place to guide practice during the review period. </w:t>
      </w:r>
    </w:p>
    <w:p w14:paraId="65AC0D8A" w14:textId="0EC5E895" w:rsidR="0037064F" w:rsidRPr="008843F0" w:rsidRDefault="0037064F" w:rsidP="0037064F">
      <w:pPr>
        <w:pStyle w:val="Body"/>
        <w:rPr>
          <w:lang w:val="en"/>
        </w:rPr>
      </w:pPr>
      <w:r w:rsidRPr="008843F0">
        <w:rPr>
          <w:lang w:val="en"/>
        </w:rPr>
        <w:t xml:space="preserve">It contains six recommendations and five practice points related to the management of </w:t>
      </w:r>
      <w:r w:rsidRPr="008843F0">
        <w:t>anaemia</w:t>
      </w:r>
      <w:r w:rsidRPr="008843F0">
        <w:rPr>
          <w:lang w:val="en"/>
        </w:rPr>
        <w:t xml:space="preserve"> in the perioperative patient to:</w:t>
      </w:r>
    </w:p>
    <w:p w14:paraId="14904A1E" w14:textId="77777777" w:rsidR="0037064F" w:rsidRPr="00B2394D" w:rsidRDefault="0037064F" w:rsidP="0037064F">
      <w:pPr>
        <w:pStyle w:val="Bullet1"/>
      </w:pPr>
      <w:r w:rsidRPr="00B2394D">
        <w:t>improve practice related to the assessment and management of reversible anaemia prior to surgery</w:t>
      </w:r>
    </w:p>
    <w:p w14:paraId="7E781259" w14:textId="77777777" w:rsidR="0037064F" w:rsidRPr="00B2394D" w:rsidRDefault="0037064F" w:rsidP="0037064F">
      <w:pPr>
        <w:pStyle w:val="Bullet1"/>
      </w:pPr>
      <w:r w:rsidRPr="00B2394D">
        <w:t xml:space="preserve">improve outcomes for patients undergoing elective surgical procedures. </w:t>
      </w:r>
    </w:p>
    <w:p w14:paraId="5EF684CF" w14:textId="407F4F1B" w:rsidR="009F6817" w:rsidRDefault="0037064F" w:rsidP="0037064F">
      <w:pPr>
        <w:pStyle w:val="Bodyafterbullets"/>
        <w:rPr>
          <w:lang w:val="en"/>
        </w:rPr>
      </w:pPr>
      <w:r>
        <w:rPr>
          <w:lang w:val="en"/>
        </w:rPr>
        <w:t xml:space="preserve">Anaemia </w:t>
      </w:r>
      <w:r w:rsidRPr="00457219">
        <w:rPr>
          <w:lang w:val="en"/>
        </w:rPr>
        <w:t>is a major public health issue</w:t>
      </w:r>
      <w:r w:rsidR="009F6817">
        <w:rPr>
          <w:lang w:val="en"/>
        </w:rPr>
        <w:t>. I</w:t>
      </w:r>
      <w:r w:rsidRPr="00361AF8">
        <w:rPr>
          <w:lang w:val="en"/>
        </w:rPr>
        <w:t>n surgical patients</w:t>
      </w:r>
      <w:r w:rsidR="009F6817">
        <w:rPr>
          <w:lang w:val="en"/>
        </w:rPr>
        <w:t>,</w:t>
      </w:r>
      <w:r>
        <w:rPr>
          <w:lang w:val="en"/>
        </w:rPr>
        <w:t xml:space="preserve"> </w:t>
      </w:r>
      <w:r w:rsidRPr="00361AF8">
        <w:rPr>
          <w:lang w:val="en"/>
        </w:rPr>
        <w:t>preoperative an</w:t>
      </w:r>
      <w:r w:rsidR="00971720">
        <w:rPr>
          <w:lang w:val="en"/>
        </w:rPr>
        <w:t>a</w:t>
      </w:r>
      <w:r w:rsidRPr="00361AF8">
        <w:rPr>
          <w:lang w:val="en"/>
        </w:rPr>
        <w:t xml:space="preserve">emia </w:t>
      </w:r>
      <w:r w:rsidR="009F6817">
        <w:rPr>
          <w:lang w:val="en"/>
        </w:rPr>
        <w:t>is</w:t>
      </w:r>
      <w:r w:rsidRPr="00361AF8">
        <w:rPr>
          <w:lang w:val="en"/>
        </w:rPr>
        <w:t xml:space="preserve"> associat</w:t>
      </w:r>
      <w:r>
        <w:rPr>
          <w:lang w:val="en"/>
        </w:rPr>
        <w:t xml:space="preserve">ed with </w:t>
      </w:r>
      <w:r w:rsidRPr="00361AF8">
        <w:rPr>
          <w:lang w:val="en"/>
        </w:rPr>
        <w:t>adverse outcomes, including increased length of</w:t>
      </w:r>
      <w:r>
        <w:rPr>
          <w:lang w:val="en"/>
        </w:rPr>
        <w:t xml:space="preserve"> </w:t>
      </w:r>
      <w:r w:rsidRPr="00361AF8">
        <w:rPr>
          <w:lang w:val="en"/>
        </w:rPr>
        <w:t>stay, risk of infection and risk of receiving a blood transfusion</w:t>
      </w:r>
      <w:r>
        <w:rPr>
          <w:lang w:val="en"/>
        </w:rPr>
        <w:t xml:space="preserve"> (</w:t>
      </w:r>
      <w:proofErr w:type="spellStart"/>
      <w:r>
        <w:rPr>
          <w:lang w:val="en"/>
        </w:rPr>
        <w:t>Delaforce</w:t>
      </w:r>
      <w:proofErr w:type="spellEnd"/>
      <w:r>
        <w:rPr>
          <w:lang w:val="en"/>
        </w:rPr>
        <w:t xml:space="preserve"> 2020)</w:t>
      </w:r>
      <w:r w:rsidRPr="00361AF8">
        <w:rPr>
          <w:lang w:val="en"/>
        </w:rPr>
        <w:t>.</w:t>
      </w:r>
      <w:r>
        <w:rPr>
          <w:lang w:val="en"/>
        </w:rPr>
        <w:t xml:space="preserve"> </w:t>
      </w:r>
    </w:p>
    <w:p w14:paraId="5F64DC09" w14:textId="6F0A8CE2" w:rsidR="0037064F" w:rsidRDefault="0037064F" w:rsidP="002B2FD9">
      <w:pPr>
        <w:pStyle w:val="Body"/>
        <w:rPr>
          <w:lang w:val="en"/>
        </w:rPr>
      </w:pPr>
      <w:r>
        <w:rPr>
          <w:lang w:val="en"/>
        </w:rPr>
        <w:t>T</w:t>
      </w:r>
      <w:r w:rsidRPr="00457219">
        <w:rPr>
          <w:lang w:val="en"/>
        </w:rPr>
        <w:t xml:space="preserve">he </w:t>
      </w:r>
      <w:r w:rsidR="009F6817">
        <w:rPr>
          <w:lang w:val="en"/>
        </w:rPr>
        <w:t xml:space="preserve">most </w:t>
      </w:r>
      <w:r w:rsidRPr="00457219">
        <w:rPr>
          <w:lang w:val="en"/>
        </w:rPr>
        <w:t xml:space="preserve">common cause of </w:t>
      </w:r>
      <w:r>
        <w:rPr>
          <w:lang w:val="en"/>
        </w:rPr>
        <w:t>a</w:t>
      </w:r>
      <w:r w:rsidRPr="00457219">
        <w:rPr>
          <w:lang w:val="en"/>
        </w:rPr>
        <w:t>naemia is iron deficiency</w:t>
      </w:r>
      <w:r>
        <w:rPr>
          <w:lang w:val="en"/>
        </w:rPr>
        <w:t xml:space="preserve">. </w:t>
      </w:r>
      <w:r w:rsidRPr="004028EA">
        <w:rPr>
          <w:lang w:val="en"/>
        </w:rPr>
        <w:t xml:space="preserve">Iron </w:t>
      </w:r>
      <w:r w:rsidRPr="002B2FD9">
        <w:t>deficiency</w:t>
      </w:r>
      <w:r w:rsidRPr="004028EA">
        <w:rPr>
          <w:lang w:val="en"/>
        </w:rPr>
        <w:t xml:space="preserve"> and iron deficiency anaemia have</w:t>
      </w:r>
      <w:r>
        <w:rPr>
          <w:lang w:val="en"/>
        </w:rPr>
        <w:t xml:space="preserve"> </w:t>
      </w:r>
      <w:r w:rsidRPr="004028EA">
        <w:rPr>
          <w:lang w:val="en"/>
        </w:rPr>
        <w:t>significant impact</w:t>
      </w:r>
      <w:r w:rsidR="009F6817">
        <w:rPr>
          <w:lang w:val="en"/>
        </w:rPr>
        <w:t>s</w:t>
      </w:r>
      <w:r w:rsidRPr="004028EA">
        <w:rPr>
          <w:lang w:val="en"/>
        </w:rPr>
        <w:t xml:space="preserve"> on health and wellbeing</w:t>
      </w:r>
      <w:r w:rsidRPr="00457219">
        <w:rPr>
          <w:lang w:val="en"/>
        </w:rPr>
        <w:t xml:space="preserve"> </w:t>
      </w:r>
      <w:r>
        <w:rPr>
          <w:lang w:val="en"/>
        </w:rPr>
        <w:t>(Pasricha 2021).</w:t>
      </w:r>
      <w:r w:rsidRPr="004028EA">
        <w:t xml:space="preserve"> </w:t>
      </w:r>
    </w:p>
    <w:p w14:paraId="3B5A4147" w14:textId="7920EEDF" w:rsidR="0037064F" w:rsidRPr="008843F0" w:rsidRDefault="0037064F" w:rsidP="0037064F">
      <w:pPr>
        <w:pStyle w:val="Body"/>
      </w:pPr>
      <w:r w:rsidRPr="00C30298">
        <w:t xml:space="preserve">This audit </w:t>
      </w:r>
      <w:r w:rsidR="009F6817">
        <w:t>was</w:t>
      </w:r>
      <w:r w:rsidRPr="00C30298">
        <w:t xml:space="preserve"> designed to determine </w:t>
      </w:r>
      <w:r w:rsidR="009F6817">
        <w:t>the</w:t>
      </w:r>
      <w:r w:rsidR="009F6817" w:rsidRPr="00C30298">
        <w:t xml:space="preserve"> </w:t>
      </w:r>
      <w:r w:rsidRPr="00C30298">
        <w:t>processes health services</w:t>
      </w:r>
      <w:r w:rsidR="009F6817">
        <w:t xml:space="preserve"> use</w:t>
      </w:r>
      <w:r w:rsidRPr="00C30298">
        <w:t xml:space="preserve"> to assess and/or manage anaemia at all stages of the perioperative patient path</w:t>
      </w:r>
      <w:r w:rsidR="009F6817">
        <w:t xml:space="preserve"> (</w:t>
      </w:r>
      <w:r w:rsidRPr="00C30298">
        <w:t>that is</w:t>
      </w:r>
      <w:r w:rsidR="009F6817">
        <w:t>,</w:t>
      </w:r>
      <w:r w:rsidR="009F6817" w:rsidRPr="00C30298">
        <w:t xml:space="preserve"> </w:t>
      </w:r>
      <w:r w:rsidRPr="00C30298">
        <w:t>pre</w:t>
      </w:r>
      <w:r w:rsidR="009F6817">
        <w:t>-</w:t>
      </w:r>
      <w:r w:rsidRPr="00C30298">
        <w:t>, intra</w:t>
      </w:r>
      <w:r w:rsidR="009F6817">
        <w:t>-</w:t>
      </w:r>
      <w:r w:rsidRPr="00C30298">
        <w:t xml:space="preserve"> and postoperatively</w:t>
      </w:r>
      <w:r w:rsidR="009F6817">
        <w:t>)</w:t>
      </w:r>
      <w:r w:rsidRPr="00C30298">
        <w:t xml:space="preserve">. </w:t>
      </w:r>
    </w:p>
    <w:p w14:paraId="10870BE0" w14:textId="77777777" w:rsidR="0037064F" w:rsidRPr="00B2394D" w:rsidRDefault="0037064F" w:rsidP="0037064F">
      <w:pPr>
        <w:pStyle w:val="Heading2"/>
        <w:rPr>
          <w:rFonts w:eastAsia="MS Gothic"/>
        </w:rPr>
      </w:pPr>
      <w:bookmarkStart w:id="50" w:name="_Toc78958782"/>
      <w:r w:rsidRPr="008843F0">
        <w:rPr>
          <w:rFonts w:eastAsia="MS Gothic"/>
        </w:rPr>
        <w:t>Audit aims</w:t>
      </w:r>
      <w:bookmarkEnd w:id="50"/>
    </w:p>
    <w:p w14:paraId="27DF4401" w14:textId="5979A210" w:rsidR="0037064F" w:rsidRPr="008843F0" w:rsidRDefault="0037064F" w:rsidP="0037064F">
      <w:pPr>
        <w:pStyle w:val="Body"/>
        <w:rPr>
          <w:lang w:val="en"/>
        </w:rPr>
      </w:pPr>
      <w:r w:rsidRPr="008843F0">
        <w:rPr>
          <w:lang w:val="en"/>
        </w:rPr>
        <w:t xml:space="preserve">To assess </w:t>
      </w:r>
      <w:r w:rsidR="009F6817">
        <w:rPr>
          <w:lang w:val="en"/>
        </w:rPr>
        <w:t xml:space="preserve">health services’ </w:t>
      </w:r>
      <w:r w:rsidRPr="008843F0">
        <w:rPr>
          <w:lang w:val="en"/>
        </w:rPr>
        <w:t xml:space="preserve">compliance </w:t>
      </w:r>
      <w:r w:rsidR="009F6817">
        <w:rPr>
          <w:lang w:val="en"/>
        </w:rPr>
        <w:t>with</w:t>
      </w:r>
      <w:r w:rsidRPr="008843F0">
        <w:rPr>
          <w:lang w:val="en"/>
        </w:rPr>
        <w:t xml:space="preserve"> Module 2 </w:t>
      </w:r>
      <w:r w:rsidR="009F6817">
        <w:rPr>
          <w:lang w:val="en"/>
        </w:rPr>
        <w:t>in relation</w:t>
      </w:r>
      <w:r w:rsidR="009F6817" w:rsidRPr="008843F0">
        <w:rPr>
          <w:lang w:val="en"/>
        </w:rPr>
        <w:t xml:space="preserve"> </w:t>
      </w:r>
      <w:r w:rsidRPr="008843F0">
        <w:rPr>
          <w:lang w:val="en"/>
        </w:rPr>
        <w:t>to:</w:t>
      </w:r>
    </w:p>
    <w:p w14:paraId="3B40939C" w14:textId="77777777" w:rsidR="0037064F" w:rsidRPr="00B2394D" w:rsidRDefault="0037064F" w:rsidP="0037064F">
      <w:pPr>
        <w:pStyle w:val="Bullet1"/>
      </w:pPr>
      <w:r w:rsidRPr="00B2394D">
        <w:t xml:space="preserve">assessment and management of reversible anaemia prior to elective surgery </w:t>
      </w:r>
    </w:p>
    <w:p w14:paraId="376B98D2" w14:textId="77777777" w:rsidR="0037064F" w:rsidRPr="00B2394D" w:rsidRDefault="0037064F" w:rsidP="0037064F">
      <w:pPr>
        <w:pStyle w:val="Bullet1"/>
      </w:pPr>
      <w:r w:rsidRPr="00B2394D">
        <w:t>blood conservation strategies used intraoperatively to reduce postoperative anaemia</w:t>
      </w:r>
    </w:p>
    <w:p w14:paraId="35D27F44" w14:textId="77777777" w:rsidR="0037064F" w:rsidRPr="00B2394D" w:rsidRDefault="0037064F" w:rsidP="0037064F">
      <w:pPr>
        <w:pStyle w:val="Bullet1"/>
      </w:pPr>
      <w:r w:rsidRPr="00B2394D">
        <w:t>postoperative strategies to manage and treat anaemia.</w:t>
      </w:r>
    </w:p>
    <w:p w14:paraId="67691869" w14:textId="77777777" w:rsidR="0037064F" w:rsidRPr="008843F0" w:rsidRDefault="0037064F" w:rsidP="0037064F">
      <w:pPr>
        <w:pStyle w:val="Heading2"/>
        <w:rPr>
          <w:rFonts w:eastAsia="MS Gothic"/>
        </w:rPr>
      </w:pPr>
      <w:bookmarkStart w:id="51" w:name="_Toc78958783"/>
      <w:r w:rsidRPr="008843F0">
        <w:rPr>
          <w:rFonts w:eastAsia="MS Gothic"/>
        </w:rPr>
        <w:t>Objectives</w:t>
      </w:r>
      <w:bookmarkEnd w:id="51"/>
    </w:p>
    <w:p w14:paraId="45DA63A3" w14:textId="21E12247" w:rsidR="0037064F" w:rsidRPr="00B2394D" w:rsidRDefault="0037064F" w:rsidP="0037064F">
      <w:pPr>
        <w:pStyle w:val="Body"/>
      </w:pPr>
      <w:r w:rsidRPr="008843F0">
        <w:rPr>
          <w:lang w:val="en"/>
        </w:rPr>
        <w:t>To determine health services</w:t>
      </w:r>
      <w:r w:rsidR="009F6817">
        <w:rPr>
          <w:lang w:val="en"/>
        </w:rPr>
        <w:t>’</w:t>
      </w:r>
      <w:r w:rsidRPr="008843F0">
        <w:rPr>
          <w:lang w:val="en"/>
        </w:rPr>
        <w:t>:</w:t>
      </w:r>
    </w:p>
    <w:p w14:paraId="662D48D7" w14:textId="54ECB996" w:rsidR="0037064F" w:rsidRPr="00B2394D" w:rsidRDefault="0037064F" w:rsidP="0037064F">
      <w:pPr>
        <w:pStyle w:val="Bullet1"/>
      </w:pPr>
      <w:r w:rsidRPr="00B2394D">
        <w:t>practice in relation to assessment, management and prevention of anaemia in the perioperative period (pre</w:t>
      </w:r>
      <w:r w:rsidR="009F6817">
        <w:t>-</w:t>
      </w:r>
      <w:r w:rsidRPr="00B2394D">
        <w:t>, intra</w:t>
      </w:r>
      <w:r w:rsidR="009F6817">
        <w:t>-</w:t>
      </w:r>
      <w:r w:rsidRPr="00B2394D">
        <w:t xml:space="preserve"> and postoperative)</w:t>
      </w:r>
    </w:p>
    <w:p w14:paraId="72505E22" w14:textId="18988763" w:rsidR="0037064F" w:rsidRPr="00B2394D" w:rsidRDefault="0037064F" w:rsidP="0037064F">
      <w:pPr>
        <w:pStyle w:val="Bullet1"/>
      </w:pPr>
      <w:r w:rsidRPr="00B2394D">
        <w:t xml:space="preserve">use of intraoperative measures that may influence blood loss and potential postoperative anaemia </w:t>
      </w:r>
    </w:p>
    <w:p w14:paraId="10382C20" w14:textId="77777777" w:rsidR="0037064F" w:rsidRPr="00B2394D" w:rsidRDefault="0037064F" w:rsidP="0037064F">
      <w:pPr>
        <w:pStyle w:val="Bullet1"/>
      </w:pPr>
      <w:r w:rsidRPr="00B2394D">
        <w:t>management of postoperative anaemia.</w:t>
      </w:r>
    </w:p>
    <w:p w14:paraId="56017F25" w14:textId="77777777" w:rsidR="0037064F" w:rsidRPr="00B2394D" w:rsidRDefault="0037064F" w:rsidP="0037064F">
      <w:pPr>
        <w:pStyle w:val="Heading2"/>
        <w:rPr>
          <w:rFonts w:eastAsia="MS Gothic"/>
        </w:rPr>
      </w:pPr>
      <w:bookmarkStart w:id="52" w:name="_Toc78958784"/>
      <w:r w:rsidRPr="008843F0">
        <w:rPr>
          <w:rFonts w:eastAsia="MS Gothic"/>
        </w:rPr>
        <w:t>Inclusions</w:t>
      </w:r>
      <w:bookmarkEnd w:id="52"/>
    </w:p>
    <w:p w14:paraId="12779F23" w14:textId="77777777" w:rsidR="0037064F" w:rsidRPr="008843F0" w:rsidRDefault="0037064F" w:rsidP="0037064F">
      <w:pPr>
        <w:pStyle w:val="Body"/>
      </w:pPr>
      <w:r w:rsidRPr="008843F0">
        <w:t xml:space="preserve">The audit included patients undergoing major elective orthopaedic, gastrointestinal, cardiothoracic or gynaecological surgical procedures in which substantial blood loss is anticipated, occurring between 15 March 2019 and 15 March 2020. </w:t>
      </w:r>
    </w:p>
    <w:p w14:paraId="1220BC63" w14:textId="77777777" w:rsidR="0037064F" w:rsidRPr="00B2394D" w:rsidRDefault="0037064F" w:rsidP="0037064F">
      <w:pPr>
        <w:pStyle w:val="Heading2"/>
        <w:rPr>
          <w:rFonts w:eastAsia="MS Gothic"/>
        </w:rPr>
      </w:pPr>
      <w:bookmarkStart w:id="53" w:name="_Toc78958785"/>
      <w:r w:rsidRPr="008843F0">
        <w:rPr>
          <w:rFonts w:eastAsia="MS Gothic"/>
        </w:rPr>
        <w:lastRenderedPageBreak/>
        <w:t>Exclusions</w:t>
      </w:r>
      <w:bookmarkEnd w:id="53"/>
    </w:p>
    <w:p w14:paraId="0CE7DE10" w14:textId="77777777" w:rsidR="0037064F" w:rsidRPr="00B2394D" w:rsidRDefault="0037064F" w:rsidP="002B2FD9">
      <w:pPr>
        <w:pStyle w:val="Body"/>
        <w:keepNext/>
        <w:keepLines/>
      </w:pPr>
      <w:r w:rsidRPr="008843F0">
        <w:t xml:space="preserve">The audit excluded: </w:t>
      </w:r>
    </w:p>
    <w:p w14:paraId="363EB2DA" w14:textId="77777777" w:rsidR="0037064F" w:rsidRPr="008843F0" w:rsidRDefault="0037064F" w:rsidP="0037064F">
      <w:pPr>
        <w:pStyle w:val="Bullet1"/>
      </w:pPr>
      <w:r w:rsidRPr="008843F0">
        <w:t xml:space="preserve">minor surgical procedures where </w:t>
      </w:r>
      <w:r w:rsidRPr="00B2394D">
        <w:t>t</w:t>
      </w:r>
      <w:r w:rsidRPr="008843F0">
        <w:t xml:space="preserve">here is a low or no expectation of need for transfusion, that is: </w:t>
      </w:r>
    </w:p>
    <w:p w14:paraId="1E602106" w14:textId="77777777" w:rsidR="0037064F" w:rsidRPr="00B2394D" w:rsidRDefault="0037064F" w:rsidP="0037064F">
      <w:pPr>
        <w:pStyle w:val="Bullet2"/>
      </w:pPr>
      <w:r w:rsidRPr="00B2394D">
        <w:t xml:space="preserve">orthopaedic surgery such as arthroscopy </w:t>
      </w:r>
    </w:p>
    <w:p w14:paraId="68DFB620" w14:textId="77777777" w:rsidR="0037064F" w:rsidRPr="00B2394D" w:rsidRDefault="0037064F" w:rsidP="0037064F">
      <w:pPr>
        <w:pStyle w:val="Bullet2"/>
      </w:pPr>
      <w:r w:rsidRPr="00B2394D">
        <w:t xml:space="preserve">gastrointestinal surgery such as endoscopy and laparoscopic gastric banding </w:t>
      </w:r>
    </w:p>
    <w:p w14:paraId="695AC662" w14:textId="77777777" w:rsidR="0037064F" w:rsidRPr="00B2394D" w:rsidRDefault="0037064F" w:rsidP="0037064F">
      <w:pPr>
        <w:pStyle w:val="Bullet2"/>
      </w:pPr>
      <w:r w:rsidRPr="00B2394D">
        <w:t xml:space="preserve">interventional cardiology such as coronary angiography and stent insertion </w:t>
      </w:r>
    </w:p>
    <w:p w14:paraId="5A7998DB" w14:textId="77777777" w:rsidR="0037064F" w:rsidRPr="00B2394D" w:rsidRDefault="0037064F" w:rsidP="0037064F">
      <w:pPr>
        <w:pStyle w:val="Bullet2"/>
      </w:pPr>
      <w:r w:rsidRPr="00B2394D">
        <w:t>gynaecology such as dilation and curettage, colposcopy</w:t>
      </w:r>
    </w:p>
    <w:p w14:paraId="05EA020C" w14:textId="77777777" w:rsidR="0037064F" w:rsidRPr="008843F0" w:rsidRDefault="0037064F" w:rsidP="0037064F">
      <w:pPr>
        <w:pStyle w:val="Bullet1"/>
      </w:pPr>
      <w:r w:rsidRPr="008843F0">
        <w:t>emergency procedures or surgical management of traumatic injury.</w:t>
      </w:r>
    </w:p>
    <w:p w14:paraId="62AD166A" w14:textId="77777777" w:rsidR="009F6817" w:rsidRDefault="009F6817">
      <w:pPr>
        <w:spacing w:after="0" w:line="240" w:lineRule="auto"/>
        <w:rPr>
          <w:rFonts w:eastAsia="MS Gothic" w:cs="Arial"/>
          <w:bCs/>
          <w:color w:val="AF272F"/>
          <w:kern w:val="32"/>
          <w:sz w:val="44"/>
          <w:szCs w:val="44"/>
        </w:rPr>
      </w:pPr>
      <w:bookmarkStart w:id="54" w:name="_Toc61867189"/>
      <w:bookmarkStart w:id="55" w:name="_Toc69106574"/>
      <w:bookmarkStart w:id="56" w:name="_Toc72314125"/>
      <w:r>
        <w:br w:type="page"/>
      </w:r>
    </w:p>
    <w:p w14:paraId="7D5D3CD4" w14:textId="3A0165D9" w:rsidR="0037064F" w:rsidRPr="00B2394D" w:rsidRDefault="0037064F" w:rsidP="0037064F">
      <w:pPr>
        <w:pStyle w:val="Heading1"/>
      </w:pPr>
      <w:bookmarkStart w:id="57" w:name="_Toc78958786"/>
      <w:r w:rsidRPr="008843F0">
        <w:lastRenderedPageBreak/>
        <w:t>Method</w:t>
      </w:r>
      <w:bookmarkEnd w:id="54"/>
      <w:bookmarkEnd w:id="55"/>
      <w:bookmarkEnd w:id="56"/>
      <w:bookmarkEnd w:id="57"/>
    </w:p>
    <w:p w14:paraId="558685D0" w14:textId="34E7C080" w:rsidR="009F6817" w:rsidRDefault="009F6817" w:rsidP="0037064F">
      <w:pPr>
        <w:pStyle w:val="Body"/>
      </w:pPr>
      <w:r>
        <w:t>Blood Matters invited 140</w:t>
      </w:r>
      <w:r w:rsidR="0037064F" w:rsidRPr="008843F0">
        <w:t xml:space="preserve"> health services from Victoria, Tasmania, Australian Capital Territory and the Northern Territory that perform surgery to participate</w:t>
      </w:r>
      <w:r>
        <w:t xml:space="preserve"> in the audit</w:t>
      </w:r>
      <w:r w:rsidR="0037064F" w:rsidRPr="008843F0">
        <w:t xml:space="preserve">. </w:t>
      </w:r>
    </w:p>
    <w:p w14:paraId="7CF3933D" w14:textId="29F68424" w:rsidR="0037064F" w:rsidRPr="008843F0" w:rsidRDefault="009F6817" w:rsidP="0037064F">
      <w:pPr>
        <w:pStyle w:val="Body"/>
      </w:pPr>
      <w:r>
        <w:t>Auditors</w:t>
      </w:r>
      <w:r w:rsidR="0037064F" w:rsidRPr="008843F0">
        <w:t xml:space="preserve"> were not trained</w:t>
      </w:r>
      <w:r>
        <w:t>.</w:t>
      </w:r>
      <w:r w:rsidRPr="008843F0">
        <w:t xml:space="preserve"> </w:t>
      </w:r>
      <w:r>
        <w:t>H</w:t>
      </w:r>
      <w:r w:rsidRPr="008843F0">
        <w:t>owever</w:t>
      </w:r>
      <w:r w:rsidR="0037064F" w:rsidRPr="008843F0">
        <w:t xml:space="preserve">, the audit forms (Appendix 3) were accompanied with definitions and instructions for conducting the audit (Appendix 4). </w:t>
      </w:r>
    </w:p>
    <w:p w14:paraId="27647FAD" w14:textId="77777777" w:rsidR="0037064F" w:rsidRPr="008843F0" w:rsidRDefault="0037064F" w:rsidP="0037064F">
      <w:pPr>
        <w:pStyle w:val="Body"/>
      </w:pPr>
      <w:r w:rsidRPr="008843F0">
        <w:t xml:space="preserve">The Blood Matters secretariat was available to provide guidance and clarification throughout the audit. </w:t>
      </w:r>
    </w:p>
    <w:p w14:paraId="5582D4B5" w14:textId="713816D1" w:rsidR="0037064F" w:rsidRPr="008843F0" w:rsidRDefault="0037064F" w:rsidP="0037064F">
      <w:pPr>
        <w:pStyle w:val="Body"/>
      </w:pPr>
      <w:r w:rsidRPr="008843F0">
        <w:t xml:space="preserve">Auditors submitted data via an online tool, </w:t>
      </w:r>
      <w:proofErr w:type="spellStart"/>
      <w:r w:rsidRPr="008843F0">
        <w:t>LimeSurvey</w:t>
      </w:r>
      <w:proofErr w:type="spellEnd"/>
      <w:r w:rsidRPr="008843F0">
        <w:t xml:space="preserve">, between 1 August to 12 October 2020. </w:t>
      </w:r>
    </w:p>
    <w:p w14:paraId="22F74FEF" w14:textId="1AF83607" w:rsidR="009F6817" w:rsidRDefault="0037064F" w:rsidP="0037064F">
      <w:pPr>
        <w:pStyle w:val="Body"/>
      </w:pPr>
      <w:r w:rsidRPr="008843F0">
        <w:t xml:space="preserve">The audit was undertaken as a quality improvement activity to support the Australian Commission on Safety and Quality in Health Care National Safety and Quality Health Services Standards </w:t>
      </w:r>
      <w:r w:rsidR="009F6817">
        <w:t>b</w:t>
      </w:r>
      <w:r w:rsidRPr="008843F0">
        <w:t xml:space="preserve">lood </w:t>
      </w:r>
      <w:r w:rsidR="009F6817">
        <w:t xml:space="preserve">management standards: </w:t>
      </w:r>
    </w:p>
    <w:p w14:paraId="7145C82E" w14:textId="57014EA4" w:rsidR="009F6817" w:rsidRPr="009F6817" w:rsidRDefault="0037064F" w:rsidP="002B2FD9">
      <w:pPr>
        <w:pStyle w:val="Bullet1"/>
      </w:pPr>
      <w:r w:rsidRPr="00F95181">
        <w:t>7.4</w:t>
      </w:r>
      <w:r w:rsidR="009F6817" w:rsidRPr="00F95181">
        <w:t xml:space="preserve">: </w:t>
      </w:r>
      <w:r w:rsidR="009F6817" w:rsidRPr="009F6817">
        <w:t xml:space="preserve">Optimising </w:t>
      </w:r>
      <w:r w:rsidRPr="009F6817">
        <w:t>and conserving patients’ own blood</w:t>
      </w:r>
    </w:p>
    <w:p w14:paraId="1726FAD3" w14:textId="4C3AE011" w:rsidR="0037064F" w:rsidRPr="009F6817" w:rsidRDefault="0037064F" w:rsidP="002B2FD9">
      <w:pPr>
        <w:pStyle w:val="Bullet1"/>
      </w:pPr>
      <w:r w:rsidRPr="009F6817">
        <w:t>7.6</w:t>
      </w:r>
      <w:r w:rsidR="009F6817" w:rsidRPr="009F6817">
        <w:t>:</w:t>
      </w:r>
      <w:r w:rsidRPr="009F6817">
        <w:t xml:space="preserve"> </w:t>
      </w:r>
      <w:r w:rsidR="009F6817" w:rsidRPr="009F6817">
        <w:t xml:space="preserve">Prescribing </w:t>
      </w:r>
      <w:r w:rsidRPr="009F6817">
        <w:t>and administering blood and blood products appropriately, and in accordance with national guidelines and criteria</w:t>
      </w:r>
      <w:r w:rsidR="009F6817" w:rsidRPr="009F6817">
        <w:t>.</w:t>
      </w:r>
    </w:p>
    <w:p w14:paraId="1D3AD3E2" w14:textId="77777777" w:rsidR="009F6817" w:rsidRDefault="0037064F" w:rsidP="009F6817">
      <w:pPr>
        <w:pStyle w:val="Bodyafterbullets"/>
      </w:pPr>
      <w:r w:rsidRPr="008843F0">
        <w:t xml:space="preserve">The audit </w:t>
      </w:r>
      <w:r w:rsidRPr="00F95181">
        <w:t>consisted</w:t>
      </w:r>
      <w:r w:rsidRPr="008843F0">
        <w:t xml:space="preserve"> of a series of questions pertaining to a single episode of care to ascertain whether</w:t>
      </w:r>
      <w:r w:rsidR="009F6817">
        <w:t>:</w:t>
      </w:r>
      <w:r w:rsidRPr="008843F0">
        <w:t xml:space="preserve"> </w:t>
      </w:r>
    </w:p>
    <w:p w14:paraId="318A4105" w14:textId="09B2C2B9" w:rsidR="009F6817" w:rsidRPr="009F6817" w:rsidRDefault="0037064F" w:rsidP="002B2FD9">
      <w:pPr>
        <w:pStyle w:val="Bullet1"/>
      </w:pPr>
      <w:r w:rsidRPr="00F95181">
        <w:t>anaemia was screened, identified and managed as per Module 2 prior to scheduled elective surgery</w:t>
      </w:r>
    </w:p>
    <w:p w14:paraId="51F2757A" w14:textId="29E4EA48" w:rsidR="009F6817" w:rsidRPr="009F6817" w:rsidRDefault="0037064F" w:rsidP="002B2FD9">
      <w:pPr>
        <w:pStyle w:val="Bullet1"/>
      </w:pPr>
      <w:r w:rsidRPr="009F6817">
        <w:t xml:space="preserve">blood loss was minimised intraoperatively </w:t>
      </w:r>
    </w:p>
    <w:p w14:paraId="4D7126AD" w14:textId="4CCCA1A6" w:rsidR="0037064F" w:rsidRPr="009F6817" w:rsidRDefault="0037064F" w:rsidP="002B2FD9">
      <w:pPr>
        <w:pStyle w:val="Bullet1"/>
      </w:pPr>
      <w:r w:rsidRPr="009F6817">
        <w:t xml:space="preserve">anaemia </w:t>
      </w:r>
      <w:r w:rsidR="009F6817" w:rsidRPr="009F6817">
        <w:t xml:space="preserve">was </w:t>
      </w:r>
      <w:r w:rsidRPr="009F6817">
        <w:t>managed postoperatively.</w:t>
      </w:r>
    </w:p>
    <w:p w14:paraId="08E59344" w14:textId="77777777" w:rsidR="0037064F" w:rsidRPr="008843F0" w:rsidRDefault="0037064F" w:rsidP="002B2FD9">
      <w:pPr>
        <w:pStyle w:val="Bodyafterbullets"/>
      </w:pPr>
      <w:r w:rsidRPr="008843F0">
        <w:t xml:space="preserve">Health services were requested to audit up to </w:t>
      </w:r>
      <w:r w:rsidRPr="00F95181">
        <w:t>30</w:t>
      </w:r>
      <w:r w:rsidRPr="008843F0">
        <w:t xml:space="preserve"> patients (from one site if there were multiple sites within a health service) who had undergone elective surgery in the previous 12 months (15 March 2019 to 15 March 2020) from </w:t>
      </w:r>
      <w:r w:rsidRPr="008843F0">
        <w:rPr>
          <w:b/>
        </w:rPr>
        <w:t>one</w:t>
      </w:r>
      <w:r w:rsidRPr="008843F0">
        <w:t xml:space="preserve"> of the following clinical specialties </w:t>
      </w:r>
      <w:r w:rsidRPr="008843F0">
        <w:rPr>
          <w:b/>
        </w:rPr>
        <w:t>only</w:t>
      </w:r>
      <w:r w:rsidRPr="008843F0">
        <w:t xml:space="preserve">: </w:t>
      </w:r>
    </w:p>
    <w:p w14:paraId="6A4F5810" w14:textId="4DFC930A" w:rsidR="0037064F" w:rsidRPr="00B2394D" w:rsidRDefault="0037064F" w:rsidP="0037064F">
      <w:pPr>
        <w:pStyle w:val="Bullet1"/>
      </w:pPr>
      <w:r w:rsidRPr="00B2394D">
        <w:t xml:space="preserve">orthopaedics </w:t>
      </w:r>
    </w:p>
    <w:p w14:paraId="00F25F25" w14:textId="6DA1BA07" w:rsidR="0037064F" w:rsidRPr="00B2394D" w:rsidRDefault="0037064F" w:rsidP="0037064F">
      <w:pPr>
        <w:pStyle w:val="Bullet1"/>
      </w:pPr>
      <w:r w:rsidRPr="00B2394D">
        <w:t xml:space="preserve">gastrointestinal (upper and/or lower) </w:t>
      </w:r>
    </w:p>
    <w:p w14:paraId="6D38AF2F" w14:textId="77777777" w:rsidR="0037064F" w:rsidRPr="00B2394D" w:rsidRDefault="0037064F" w:rsidP="0037064F">
      <w:pPr>
        <w:pStyle w:val="Bullet1"/>
      </w:pPr>
      <w:r w:rsidRPr="00B2394D">
        <w:t>gynaecology, or</w:t>
      </w:r>
    </w:p>
    <w:p w14:paraId="32A58660" w14:textId="77777777" w:rsidR="0037064F" w:rsidRPr="00B2394D" w:rsidRDefault="0037064F" w:rsidP="0037064F">
      <w:pPr>
        <w:pStyle w:val="Bullet1"/>
      </w:pPr>
      <w:r w:rsidRPr="00B2394D">
        <w:t xml:space="preserve">cardiothoracic. </w:t>
      </w:r>
    </w:p>
    <w:p w14:paraId="0FF58D25" w14:textId="1B43F355" w:rsidR="009F6817" w:rsidRDefault="0037064F" w:rsidP="009F6817">
      <w:pPr>
        <w:pStyle w:val="Bodyafterbullets"/>
      </w:pPr>
      <w:r w:rsidRPr="00B2394D">
        <w:t xml:space="preserve">Exclusion criteria included </w:t>
      </w:r>
      <w:r w:rsidRPr="00F95181">
        <w:t>patients</w:t>
      </w:r>
      <w:r w:rsidR="009F6817">
        <w:t xml:space="preserve"> who:</w:t>
      </w:r>
    </w:p>
    <w:p w14:paraId="42AF5F01" w14:textId="0CCC949B" w:rsidR="009F6817" w:rsidRPr="009F6817" w:rsidRDefault="009F6817" w:rsidP="002B2FD9">
      <w:pPr>
        <w:pStyle w:val="Bullet1"/>
      </w:pPr>
      <w:r w:rsidRPr="00F95181">
        <w:t xml:space="preserve">were </w:t>
      </w:r>
      <w:r w:rsidR="0037064F" w:rsidRPr="009F6817">
        <w:t>readmitted to theatre within seven days</w:t>
      </w:r>
    </w:p>
    <w:p w14:paraId="49286E05" w14:textId="1F6DA69F" w:rsidR="009F6817" w:rsidRPr="009F6817" w:rsidRDefault="0037064F" w:rsidP="002B2FD9">
      <w:pPr>
        <w:pStyle w:val="Bullet1"/>
      </w:pPr>
      <w:r w:rsidRPr="009F6817">
        <w:t>only had minor surgical procedures (that is, substantial blood loss was not anticipated</w:t>
      </w:r>
      <w:r w:rsidR="009F6817" w:rsidRPr="009F6817">
        <w:t>)</w:t>
      </w:r>
    </w:p>
    <w:p w14:paraId="1320F043" w14:textId="4C9DF0F6" w:rsidR="0037064F" w:rsidRPr="009F6817" w:rsidRDefault="0037064F" w:rsidP="002B2FD9">
      <w:pPr>
        <w:pStyle w:val="Bullet1"/>
      </w:pPr>
      <w:r w:rsidRPr="009F6817">
        <w:t>were admitted for emergency procedures or surgical management of traumatic injury.</w:t>
      </w:r>
    </w:p>
    <w:p w14:paraId="71ADF694" w14:textId="77777777" w:rsidR="0037064F" w:rsidRPr="00B2394D" w:rsidRDefault="0037064F" w:rsidP="002B2FD9">
      <w:pPr>
        <w:pStyle w:val="Bodyafterbullets"/>
      </w:pPr>
      <w:r w:rsidRPr="00B2394D">
        <w:t>After the audit, each participating health service was sent a summary of their data for verification and invited to correct any discrepancies or incomplete records.</w:t>
      </w:r>
    </w:p>
    <w:p w14:paraId="39D98D78" w14:textId="40923707" w:rsidR="0037064F" w:rsidRPr="00B2394D" w:rsidRDefault="009F6817" w:rsidP="0037064F">
      <w:pPr>
        <w:pStyle w:val="Body"/>
      </w:pPr>
      <w:r>
        <w:t>F</w:t>
      </w:r>
      <w:r w:rsidRPr="00B2394D">
        <w:t>ollowing verification and correction</w:t>
      </w:r>
      <w:r>
        <w:t>,</w:t>
      </w:r>
      <w:r w:rsidRPr="00B2394D">
        <w:t xml:space="preserve"> </w:t>
      </w:r>
      <w:r>
        <w:t>d</w:t>
      </w:r>
      <w:r w:rsidRPr="00B2394D">
        <w:t xml:space="preserve">ata </w:t>
      </w:r>
      <w:r w:rsidR="0037064F" w:rsidRPr="00B2394D">
        <w:t>was imported into an audit-specific Microsoft Access database for validation and analysis.</w:t>
      </w:r>
    </w:p>
    <w:p w14:paraId="6A14F840" w14:textId="77777777" w:rsidR="0037064F" w:rsidRPr="00B2394D" w:rsidRDefault="0037064F" w:rsidP="0037064F">
      <w:pPr>
        <w:pStyle w:val="Body"/>
      </w:pPr>
      <w:r w:rsidRPr="00B2394D">
        <w:t>Each patient episode was compared with the Module 2 template to assess quality of the preoperative anaemia screening assessment, intraoperative and postoperative management of the patient.</w:t>
      </w:r>
    </w:p>
    <w:p w14:paraId="4184B047" w14:textId="4455DDDC" w:rsidR="0037064F" w:rsidRDefault="0037064F" w:rsidP="0037064F">
      <w:pPr>
        <w:pStyle w:val="Body"/>
      </w:pPr>
      <w:r w:rsidRPr="00B2394D">
        <w:t xml:space="preserve">For the purposes of this audit patients were considered anaemic if </w:t>
      </w:r>
      <w:r w:rsidR="000B3101">
        <w:t>h</w:t>
      </w:r>
      <w:r w:rsidR="005F1EE8">
        <w:t>aemoglobin (</w:t>
      </w:r>
      <w:r w:rsidRPr="00B2394D">
        <w:t>Hb</w:t>
      </w:r>
      <w:r w:rsidR="005F1EE8">
        <w:t>)</w:t>
      </w:r>
      <w:r w:rsidRPr="00B2394D">
        <w:t xml:space="preserve"> was below the values</w:t>
      </w:r>
      <w:r w:rsidR="005F1EE8">
        <w:t xml:space="preserve"> set out in Table 1</w:t>
      </w:r>
      <w:r w:rsidRPr="00B2394D">
        <w:t>:</w:t>
      </w:r>
    </w:p>
    <w:p w14:paraId="58F38143" w14:textId="00B7113A" w:rsidR="009F6817" w:rsidRPr="0038378B" w:rsidRDefault="009F6817" w:rsidP="002B2FD9">
      <w:pPr>
        <w:pStyle w:val="Tablecaption"/>
      </w:pPr>
      <w:r>
        <w:lastRenderedPageBreak/>
        <w:t>Table</w:t>
      </w:r>
      <w:r w:rsidR="005F1EE8">
        <w:t xml:space="preserve"> </w:t>
      </w:r>
      <w:r w:rsidR="005E52B4">
        <w:fldChar w:fldCharType="begin"/>
      </w:r>
      <w:r w:rsidR="005E52B4">
        <w:instrText xml:space="preserve"> SEQ Table \* ARAB</w:instrText>
      </w:r>
      <w:r w:rsidR="005E52B4">
        <w:instrText xml:space="preserve">IC </w:instrText>
      </w:r>
      <w:r w:rsidR="005E52B4">
        <w:fldChar w:fldCharType="separate"/>
      </w:r>
      <w:r w:rsidR="00857812">
        <w:rPr>
          <w:noProof/>
        </w:rPr>
        <w:t>1</w:t>
      </w:r>
      <w:r w:rsidR="005E52B4">
        <w:rPr>
          <w:noProof/>
        </w:rPr>
        <w:fldChar w:fldCharType="end"/>
      </w:r>
      <w:r>
        <w:t>:</w:t>
      </w:r>
      <w:r w:rsidR="005F1EE8">
        <w:t xml:space="preserve"> Hb levels for different age ranges and sexes</w:t>
      </w:r>
    </w:p>
    <w:tbl>
      <w:tblPr>
        <w:tblStyle w:val="TableGrid11"/>
        <w:tblW w:w="0" w:type="auto"/>
        <w:tblLayout w:type="fixed"/>
        <w:tblLook w:val="04A0" w:firstRow="1" w:lastRow="0" w:firstColumn="1" w:lastColumn="0" w:noHBand="0" w:noVBand="1"/>
      </w:tblPr>
      <w:tblGrid>
        <w:gridCol w:w="2223"/>
        <w:gridCol w:w="3261"/>
        <w:gridCol w:w="3827"/>
      </w:tblGrid>
      <w:tr w:rsidR="0037064F" w:rsidRPr="008843F0" w14:paraId="51A87976" w14:textId="77777777" w:rsidTr="002B2FD9">
        <w:trPr>
          <w:tblHeader/>
        </w:trPr>
        <w:tc>
          <w:tcPr>
            <w:tcW w:w="2223" w:type="dxa"/>
          </w:tcPr>
          <w:p w14:paraId="1A6B6564" w14:textId="77777777" w:rsidR="0037064F" w:rsidRPr="00B2394D" w:rsidRDefault="0037064F" w:rsidP="003C2836">
            <w:pPr>
              <w:pStyle w:val="Tablecolhead"/>
            </w:pPr>
            <w:r w:rsidRPr="00B2394D">
              <w:t>Age range</w:t>
            </w:r>
          </w:p>
        </w:tc>
        <w:tc>
          <w:tcPr>
            <w:tcW w:w="3261" w:type="dxa"/>
          </w:tcPr>
          <w:p w14:paraId="251D7FC0" w14:textId="1B8A7632" w:rsidR="0037064F" w:rsidRPr="00B2394D" w:rsidRDefault="0080220B" w:rsidP="003C2836">
            <w:pPr>
              <w:pStyle w:val="Tablecolhead"/>
            </w:pPr>
            <w:r>
              <w:t>Gender</w:t>
            </w:r>
          </w:p>
        </w:tc>
        <w:tc>
          <w:tcPr>
            <w:tcW w:w="3827" w:type="dxa"/>
          </w:tcPr>
          <w:p w14:paraId="77BABB18" w14:textId="77777777" w:rsidR="0037064F" w:rsidRPr="00B2394D" w:rsidRDefault="0037064F" w:rsidP="003C2836">
            <w:pPr>
              <w:pStyle w:val="Tablecolhead"/>
            </w:pPr>
            <w:r w:rsidRPr="00B2394D">
              <w:t>Haemoglobin (Hb) g/L</w:t>
            </w:r>
          </w:p>
        </w:tc>
      </w:tr>
      <w:tr w:rsidR="0037064F" w:rsidRPr="008843F0" w14:paraId="34717C8F" w14:textId="77777777" w:rsidTr="003C2836">
        <w:tc>
          <w:tcPr>
            <w:tcW w:w="2223" w:type="dxa"/>
          </w:tcPr>
          <w:p w14:paraId="47487384" w14:textId="37D86BF5" w:rsidR="0037064F" w:rsidRPr="00B2394D" w:rsidRDefault="0037064F" w:rsidP="003C2836">
            <w:pPr>
              <w:pStyle w:val="Tabletext"/>
            </w:pPr>
            <w:r w:rsidRPr="00B2394D">
              <w:t>Adult</w:t>
            </w:r>
          </w:p>
        </w:tc>
        <w:tc>
          <w:tcPr>
            <w:tcW w:w="3261" w:type="dxa"/>
          </w:tcPr>
          <w:p w14:paraId="41846C04" w14:textId="04B278FD" w:rsidR="0037064F" w:rsidRPr="00B2394D" w:rsidRDefault="005F1EE8" w:rsidP="003C2836">
            <w:pPr>
              <w:pStyle w:val="Tabletext"/>
            </w:pPr>
            <w:r>
              <w:t>M</w:t>
            </w:r>
            <w:r w:rsidRPr="00B2394D">
              <w:t>ale</w:t>
            </w:r>
          </w:p>
        </w:tc>
        <w:tc>
          <w:tcPr>
            <w:tcW w:w="3827" w:type="dxa"/>
          </w:tcPr>
          <w:p w14:paraId="10309FDC" w14:textId="77777777" w:rsidR="0037064F" w:rsidRPr="00B2394D" w:rsidRDefault="0037064F" w:rsidP="002B2FD9">
            <w:pPr>
              <w:pStyle w:val="Tabletext"/>
              <w:jc w:val="right"/>
            </w:pPr>
            <w:r w:rsidRPr="00B2394D">
              <w:t>&lt; 130</w:t>
            </w:r>
          </w:p>
        </w:tc>
      </w:tr>
      <w:tr w:rsidR="0037064F" w:rsidRPr="008843F0" w14:paraId="08D98637" w14:textId="77777777" w:rsidTr="003C2836">
        <w:tc>
          <w:tcPr>
            <w:tcW w:w="2223" w:type="dxa"/>
          </w:tcPr>
          <w:p w14:paraId="00C4584A" w14:textId="4DD8335D" w:rsidR="0037064F" w:rsidRPr="00B2394D" w:rsidRDefault="0037064F" w:rsidP="003C2836">
            <w:pPr>
              <w:pStyle w:val="Tabletext"/>
            </w:pPr>
            <w:r w:rsidRPr="00B2394D">
              <w:t>Adult</w:t>
            </w:r>
          </w:p>
        </w:tc>
        <w:tc>
          <w:tcPr>
            <w:tcW w:w="3261" w:type="dxa"/>
          </w:tcPr>
          <w:p w14:paraId="077BB64D" w14:textId="7A374C20" w:rsidR="0037064F" w:rsidRPr="00B2394D" w:rsidRDefault="005F1EE8" w:rsidP="003C2836">
            <w:pPr>
              <w:pStyle w:val="Tabletext"/>
            </w:pPr>
            <w:r>
              <w:t>F</w:t>
            </w:r>
            <w:r w:rsidRPr="00B2394D">
              <w:t>emale</w:t>
            </w:r>
          </w:p>
        </w:tc>
        <w:tc>
          <w:tcPr>
            <w:tcW w:w="3827" w:type="dxa"/>
          </w:tcPr>
          <w:p w14:paraId="300D49EB" w14:textId="77777777" w:rsidR="0037064F" w:rsidRPr="00B2394D" w:rsidRDefault="0037064F" w:rsidP="002B2FD9">
            <w:pPr>
              <w:pStyle w:val="Tabletext"/>
              <w:jc w:val="right"/>
            </w:pPr>
            <w:r w:rsidRPr="00B2394D">
              <w:t>&lt; 120</w:t>
            </w:r>
          </w:p>
        </w:tc>
      </w:tr>
      <w:tr w:rsidR="0037064F" w:rsidRPr="008843F0" w14:paraId="50040D81" w14:textId="77777777" w:rsidTr="003C2836">
        <w:tc>
          <w:tcPr>
            <w:tcW w:w="2223" w:type="dxa"/>
          </w:tcPr>
          <w:p w14:paraId="1BFEB2E7" w14:textId="3670638F" w:rsidR="0037064F" w:rsidRPr="00B2394D" w:rsidRDefault="0037064F" w:rsidP="003C2836">
            <w:pPr>
              <w:pStyle w:val="Tabletext"/>
            </w:pPr>
            <w:r w:rsidRPr="00B2394D">
              <w:t>2–11 years</w:t>
            </w:r>
          </w:p>
        </w:tc>
        <w:tc>
          <w:tcPr>
            <w:tcW w:w="3261" w:type="dxa"/>
          </w:tcPr>
          <w:p w14:paraId="15220B9E" w14:textId="10A82936" w:rsidR="0037064F" w:rsidRPr="00B2394D" w:rsidRDefault="005F1EE8" w:rsidP="003C2836">
            <w:pPr>
              <w:pStyle w:val="Tabletext"/>
            </w:pPr>
            <w:r>
              <w:t>B</w:t>
            </w:r>
            <w:r w:rsidRPr="00B2394D">
              <w:t xml:space="preserve">oys </w:t>
            </w:r>
            <w:r w:rsidR="0037064F" w:rsidRPr="00B2394D">
              <w:t>and girls</w:t>
            </w:r>
          </w:p>
        </w:tc>
        <w:tc>
          <w:tcPr>
            <w:tcW w:w="3827" w:type="dxa"/>
          </w:tcPr>
          <w:p w14:paraId="5624775D" w14:textId="77777777" w:rsidR="0037064F" w:rsidRPr="00B2394D" w:rsidRDefault="0037064F" w:rsidP="002B2FD9">
            <w:pPr>
              <w:pStyle w:val="Tabletext"/>
              <w:jc w:val="right"/>
            </w:pPr>
            <w:r w:rsidRPr="00B2394D">
              <w:t>&lt; 115</w:t>
            </w:r>
          </w:p>
        </w:tc>
      </w:tr>
      <w:tr w:rsidR="0037064F" w:rsidRPr="008843F0" w14:paraId="4545FE73" w14:textId="77777777" w:rsidTr="003C2836">
        <w:tc>
          <w:tcPr>
            <w:tcW w:w="2223" w:type="dxa"/>
          </w:tcPr>
          <w:p w14:paraId="4686E06F" w14:textId="1E41C24E" w:rsidR="0037064F" w:rsidRPr="00B2394D" w:rsidRDefault="0037064F" w:rsidP="003C2836">
            <w:pPr>
              <w:pStyle w:val="Tabletext"/>
            </w:pPr>
            <w:r w:rsidRPr="00B2394D">
              <w:t>6–24 months</w:t>
            </w:r>
          </w:p>
        </w:tc>
        <w:tc>
          <w:tcPr>
            <w:tcW w:w="3261" w:type="dxa"/>
          </w:tcPr>
          <w:p w14:paraId="3F5CE29C" w14:textId="5BC7DAF7" w:rsidR="0037064F" w:rsidRPr="00B2394D" w:rsidRDefault="005F1EE8" w:rsidP="003C2836">
            <w:pPr>
              <w:pStyle w:val="Tabletext"/>
            </w:pPr>
            <w:r>
              <w:t>B</w:t>
            </w:r>
            <w:r w:rsidRPr="00B2394D">
              <w:t xml:space="preserve">oys </w:t>
            </w:r>
            <w:r w:rsidR="0037064F" w:rsidRPr="00B2394D">
              <w:t>and girls</w:t>
            </w:r>
          </w:p>
        </w:tc>
        <w:tc>
          <w:tcPr>
            <w:tcW w:w="3827" w:type="dxa"/>
          </w:tcPr>
          <w:p w14:paraId="696E3DCE" w14:textId="77777777" w:rsidR="0037064F" w:rsidRPr="00B2394D" w:rsidRDefault="0037064F" w:rsidP="002B2FD9">
            <w:pPr>
              <w:pStyle w:val="Tabletext"/>
              <w:jc w:val="right"/>
            </w:pPr>
            <w:r w:rsidRPr="00B2394D">
              <w:t>&lt; 105</w:t>
            </w:r>
          </w:p>
        </w:tc>
      </w:tr>
    </w:tbl>
    <w:p w14:paraId="293F49DC" w14:textId="4E7C625A" w:rsidR="0037064F" w:rsidRDefault="005F1EE8" w:rsidP="005F1EE8">
      <w:pPr>
        <w:pStyle w:val="Tablefigurenote"/>
      </w:pPr>
      <w:r w:rsidRPr="005F1EE8">
        <w:t xml:space="preserve">Source for adult age range – Module 2 template </w:t>
      </w:r>
    </w:p>
    <w:p w14:paraId="7C014CB8" w14:textId="3E8C2BB0" w:rsidR="0037064F" w:rsidRPr="00B2394D" w:rsidRDefault="005F1EE8" w:rsidP="0037064F">
      <w:pPr>
        <w:pStyle w:val="Tablefigurenote"/>
      </w:pPr>
      <w:r>
        <w:t>Source for child age ranges –</w:t>
      </w:r>
      <w:r w:rsidR="00E4065E">
        <w:t xml:space="preserve"> </w:t>
      </w:r>
      <w:r w:rsidRPr="00B2394D">
        <w:t>Royal Children’s Hospital Melbourne</w:t>
      </w:r>
      <w:r>
        <w:t>,</w:t>
      </w:r>
      <w:r w:rsidRPr="00B2394D">
        <w:t xml:space="preserve"> </w:t>
      </w:r>
      <w:r w:rsidRPr="00AE31EB">
        <w:rPr>
          <w:i/>
          <w:iCs/>
        </w:rPr>
        <w:t>Clinical practice guidelines</w:t>
      </w:r>
    </w:p>
    <w:p w14:paraId="1F3D884A" w14:textId="77777777" w:rsidR="0037064F" w:rsidRDefault="0037064F">
      <w:pPr>
        <w:spacing w:after="0" w:line="240" w:lineRule="auto"/>
        <w:rPr>
          <w:rFonts w:eastAsia="MS Gothic" w:cs="Arial"/>
          <w:bCs/>
          <w:color w:val="AF272F"/>
          <w:kern w:val="32"/>
          <w:sz w:val="44"/>
          <w:szCs w:val="44"/>
        </w:rPr>
      </w:pPr>
      <w:r>
        <w:br w:type="page"/>
      </w:r>
    </w:p>
    <w:p w14:paraId="2B91ECE2" w14:textId="77777777" w:rsidR="00FA0D20" w:rsidRPr="008843F0" w:rsidRDefault="00FA0D20" w:rsidP="00FA0D20">
      <w:pPr>
        <w:pStyle w:val="Heading1"/>
      </w:pPr>
      <w:bookmarkStart w:id="58" w:name="_Toc78958787"/>
      <w:r w:rsidRPr="008E4115">
        <w:lastRenderedPageBreak/>
        <w:t>Results</w:t>
      </w:r>
      <w:bookmarkEnd w:id="58"/>
    </w:p>
    <w:p w14:paraId="18396316" w14:textId="2274E478" w:rsidR="00FA0D20" w:rsidRPr="008843F0" w:rsidRDefault="00FA0D20" w:rsidP="00FA0D20">
      <w:pPr>
        <w:pStyle w:val="Heading2"/>
      </w:pPr>
      <w:bookmarkStart w:id="59" w:name="_Toc69106576"/>
      <w:bookmarkStart w:id="60" w:name="_Toc72314127"/>
      <w:bookmarkStart w:id="61" w:name="_Toc78958788"/>
      <w:r w:rsidRPr="008843F0">
        <w:t xml:space="preserve">Preoperative </w:t>
      </w:r>
      <w:bookmarkEnd w:id="59"/>
      <w:bookmarkEnd w:id="60"/>
      <w:r w:rsidR="003557F7">
        <w:t>a</w:t>
      </w:r>
      <w:r w:rsidR="00CC757F">
        <w:t>naemia</w:t>
      </w:r>
      <w:bookmarkEnd w:id="61"/>
      <w:r w:rsidR="00CC757F">
        <w:t xml:space="preserve"> </w:t>
      </w:r>
    </w:p>
    <w:p w14:paraId="6C9AF352" w14:textId="796D87C9" w:rsidR="00FA0D20" w:rsidRDefault="00FA0D20" w:rsidP="00FA0D20">
      <w:pPr>
        <w:pStyle w:val="Body"/>
      </w:pPr>
      <w:r w:rsidRPr="008843F0">
        <w:t xml:space="preserve">For the </w:t>
      </w:r>
      <w:r w:rsidRPr="008843F0">
        <w:rPr>
          <w:b/>
        </w:rPr>
        <w:t>purposes of this audit,</w:t>
      </w:r>
      <w:r w:rsidRPr="008843F0">
        <w:t xml:space="preserve"> a quality preoperative anaemia screening assessment was based on Module 2 recommendations and practice points (Appendix 6) and measured as defined </w:t>
      </w:r>
      <w:r w:rsidR="005F1EE8">
        <w:t>in Table 2</w:t>
      </w:r>
      <w:r w:rsidRPr="008843F0">
        <w:t>:</w:t>
      </w:r>
    </w:p>
    <w:p w14:paraId="088BC1F5" w14:textId="6C73A017" w:rsidR="005F1EE8" w:rsidRPr="00AE31EB" w:rsidRDefault="005F1EE8" w:rsidP="005F1EE8">
      <w:pPr>
        <w:pStyle w:val="Tablecaption"/>
        <w:rPr>
          <w:rFonts w:eastAsia="Times"/>
        </w:rPr>
      </w:pPr>
      <w:r>
        <w:t xml:space="preserve">Table </w:t>
      </w:r>
      <w:r w:rsidR="005E52B4">
        <w:fldChar w:fldCharType="begin"/>
      </w:r>
      <w:r w:rsidR="005E52B4">
        <w:instrText xml:space="preserve"> SEQ Table \* ARABIC </w:instrText>
      </w:r>
      <w:r w:rsidR="005E52B4">
        <w:fldChar w:fldCharType="separate"/>
      </w:r>
      <w:r w:rsidR="00857812">
        <w:rPr>
          <w:noProof/>
        </w:rPr>
        <w:t>2</w:t>
      </w:r>
      <w:r w:rsidR="005E52B4">
        <w:rPr>
          <w:noProof/>
        </w:rPr>
        <w:fldChar w:fldCharType="end"/>
      </w:r>
      <w:r>
        <w:t>: Definition of anaemia</w:t>
      </w:r>
      <w:r w:rsidR="0080220B">
        <w:t xml:space="preserve"> assessment</w:t>
      </w:r>
    </w:p>
    <w:tbl>
      <w:tblPr>
        <w:tblStyle w:val="TableGrid1"/>
        <w:tblW w:w="0" w:type="auto"/>
        <w:tblLook w:val="04A0" w:firstRow="1" w:lastRow="0" w:firstColumn="1" w:lastColumn="0" w:noHBand="0" w:noVBand="1"/>
      </w:tblPr>
      <w:tblGrid>
        <w:gridCol w:w="1783"/>
        <w:gridCol w:w="3856"/>
        <w:gridCol w:w="3269"/>
      </w:tblGrid>
      <w:tr w:rsidR="00FA0D20" w:rsidRPr="008843F0" w14:paraId="589E792B" w14:textId="77777777" w:rsidTr="002B2FD9">
        <w:tc>
          <w:tcPr>
            <w:tcW w:w="1783" w:type="dxa"/>
          </w:tcPr>
          <w:p w14:paraId="0F7570B3" w14:textId="77777777" w:rsidR="00FA0D20" w:rsidRPr="008843F0" w:rsidRDefault="00FA0D20" w:rsidP="003C2836">
            <w:pPr>
              <w:pStyle w:val="Tablecolhead"/>
              <w:rPr>
                <w:rFonts w:eastAsia="Times"/>
              </w:rPr>
            </w:pPr>
            <w:r w:rsidRPr="008843F0">
              <w:rPr>
                <w:rFonts w:eastAsia="Times"/>
              </w:rPr>
              <w:t>Process</w:t>
            </w:r>
          </w:p>
        </w:tc>
        <w:tc>
          <w:tcPr>
            <w:tcW w:w="3856" w:type="dxa"/>
          </w:tcPr>
          <w:p w14:paraId="277149B0" w14:textId="77777777" w:rsidR="00FA0D20" w:rsidRPr="008843F0" w:rsidRDefault="00FA0D20" w:rsidP="003C2836">
            <w:pPr>
              <w:pStyle w:val="Tablecolhead"/>
              <w:rPr>
                <w:rFonts w:eastAsia="Times"/>
              </w:rPr>
            </w:pPr>
            <w:r w:rsidRPr="008843F0">
              <w:rPr>
                <w:rFonts w:eastAsia="Times"/>
              </w:rPr>
              <w:t>Description</w:t>
            </w:r>
          </w:p>
        </w:tc>
        <w:tc>
          <w:tcPr>
            <w:tcW w:w="3269" w:type="dxa"/>
          </w:tcPr>
          <w:p w14:paraId="4024A36E" w14:textId="77777777" w:rsidR="00FA0D20" w:rsidRPr="008843F0" w:rsidRDefault="00FA0D20" w:rsidP="003C2836">
            <w:pPr>
              <w:pStyle w:val="Tablecolhead"/>
              <w:rPr>
                <w:rFonts w:eastAsia="Times"/>
              </w:rPr>
            </w:pPr>
            <w:r w:rsidRPr="008843F0">
              <w:rPr>
                <w:rFonts w:eastAsia="Times"/>
              </w:rPr>
              <w:t>Measure</w:t>
            </w:r>
          </w:p>
        </w:tc>
      </w:tr>
      <w:tr w:rsidR="00FA0D20" w:rsidRPr="008843F0" w14:paraId="75DA0371" w14:textId="77777777" w:rsidTr="002B2FD9">
        <w:tc>
          <w:tcPr>
            <w:tcW w:w="1783" w:type="dxa"/>
          </w:tcPr>
          <w:p w14:paraId="529B4807" w14:textId="77777777" w:rsidR="00FA0D20" w:rsidRPr="008843F0" w:rsidRDefault="00FA0D20" w:rsidP="003C2836">
            <w:pPr>
              <w:pStyle w:val="Tabletext"/>
              <w:rPr>
                <w:rFonts w:eastAsia="Times"/>
              </w:rPr>
            </w:pPr>
            <w:r w:rsidRPr="008843F0">
              <w:rPr>
                <w:rFonts w:eastAsia="Times"/>
              </w:rPr>
              <w:t>Screening</w:t>
            </w:r>
          </w:p>
          <w:p w14:paraId="2A27137B" w14:textId="77777777" w:rsidR="00FA0D20" w:rsidRPr="008843F0" w:rsidRDefault="00FA0D20" w:rsidP="003C2836">
            <w:pPr>
              <w:pStyle w:val="Tabletext"/>
              <w:rPr>
                <w:rFonts w:eastAsia="Times"/>
              </w:rPr>
            </w:pPr>
          </w:p>
        </w:tc>
        <w:tc>
          <w:tcPr>
            <w:tcW w:w="3856" w:type="dxa"/>
          </w:tcPr>
          <w:p w14:paraId="38230E7B" w14:textId="77777777" w:rsidR="00FA0D20" w:rsidRPr="008843F0" w:rsidRDefault="00FA0D20" w:rsidP="003C2836">
            <w:pPr>
              <w:pStyle w:val="Tabletext"/>
              <w:rPr>
                <w:rFonts w:eastAsia="Times"/>
              </w:rPr>
            </w:pPr>
            <w:r w:rsidRPr="008843F0">
              <w:rPr>
                <w:rFonts w:eastAsia="Times"/>
              </w:rPr>
              <w:t>Assessment occurred with sufficient time to correct anaemia, if appropriate</w:t>
            </w:r>
          </w:p>
          <w:p w14:paraId="33EF5263" w14:textId="77777777" w:rsidR="00FA0D20" w:rsidRPr="008843F0" w:rsidRDefault="00FA0D20" w:rsidP="003C2836">
            <w:pPr>
              <w:pStyle w:val="Tabletext"/>
              <w:rPr>
                <w:rFonts w:eastAsia="Times"/>
              </w:rPr>
            </w:pPr>
            <w:r w:rsidRPr="008843F0">
              <w:rPr>
                <w:rFonts w:eastAsia="Times"/>
              </w:rPr>
              <w:t>Module 2: R2, R3, PP1, PP4, PP5</w:t>
            </w:r>
          </w:p>
          <w:p w14:paraId="7F38614C" w14:textId="735777AB" w:rsidR="00FA0D20" w:rsidRPr="008843F0" w:rsidRDefault="00FA0D20" w:rsidP="003C2836">
            <w:pPr>
              <w:pStyle w:val="Tabletext"/>
              <w:rPr>
                <w:rFonts w:eastAsia="Times"/>
              </w:rPr>
            </w:pPr>
            <w:r w:rsidRPr="008843F0">
              <w:rPr>
                <w:rFonts w:eastAsia="Times"/>
              </w:rPr>
              <w:t>(Minck et</w:t>
            </w:r>
            <w:r w:rsidR="005F1EE8">
              <w:rPr>
                <w:rFonts w:eastAsia="Times"/>
              </w:rPr>
              <w:t xml:space="preserve"> </w:t>
            </w:r>
            <w:r w:rsidRPr="008843F0">
              <w:rPr>
                <w:rFonts w:eastAsia="Times"/>
              </w:rPr>
              <w:t>al. 2013; Goodnough et</w:t>
            </w:r>
            <w:r w:rsidR="005F1EE8">
              <w:rPr>
                <w:rFonts w:eastAsia="Times"/>
              </w:rPr>
              <w:t xml:space="preserve"> </w:t>
            </w:r>
            <w:r w:rsidRPr="008843F0">
              <w:rPr>
                <w:rFonts w:eastAsia="Times"/>
              </w:rPr>
              <w:t>al. 2011)</w:t>
            </w:r>
          </w:p>
        </w:tc>
        <w:tc>
          <w:tcPr>
            <w:tcW w:w="3269" w:type="dxa"/>
          </w:tcPr>
          <w:p w14:paraId="30F9AFCC" w14:textId="7D96D866" w:rsidR="00FA0D20" w:rsidRPr="008843F0" w:rsidRDefault="00FA0D20" w:rsidP="003C2836">
            <w:pPr>
              <w:pStyle w:val="Tabletext"/>
              <w:rPr>
                <w:rFonts w:eastAsia="Times"/>
              </w:rPr>
            </w:pPr>
            <w:r w:rsidRPr="008843F0">
              <w:rPr>
                <w:rFonts w:eastAsia="Times"/>
              </w:rPr>
              <w:t>Preoperative assessment date was reported to be at least 28 days prior to scheduled surgery date</w:t>
            </w:r>
          </w:p>
        </w:tc>
      </w:tr>
      <w:tr w:rsidR="00FA0D20" w:rsidRPr="008843F0" w14:paraId="17008602" w14:textId="77777777" w:rsidTr="002B2FD9">
        <w:tc>
          <w:tcPr>
            <w:tcW w:w="1783" w:type="dxa"/>
          </w:tcPr>
          <w:p w14:paraId="47C2FA31" w14:textId="77777777" w:rsidR="00FA0D20" w:rsidRPr="008843F0" w:rsidRDefault="00FA0D20" w:rsidP="003C2836">
            <w:pPr>
              <w:pStyle w:val="Tabletext"/>
              <w:rPr>
                <w:rFonts w:eastAsia="Times"/>
              </w:rPr>
            </w:pPr>
            <w:r w:rsidRPr="008843F0">
              <w:rPr>
                <w:rFonts w:eastAsia="Times"/>
              </w:rPr>
              <w:t>Testing</w:t>
            </w:r>
          </w:p>
        </w:tc>
        <w:tc>
          <w:tcPr>
            <w:tcW w:w="3856" w:type="dxa"/>
          </w:tcPr>
          <w:p w14:paraId="1E04F242" w14:textId="77777777" w:rsidR="00FA0D20" w:rsidRPr="008843F0" w:rsidRDefault="00FA0D20" w:rsidP="003C2836">
            <w:pPr>
              <w:pStyle w:val="Tabletext"/>
              <w:rPr>
                <w:rFonts w:eastAsia="Times"/>
              </w:rPr>
            </w:pPr>
            <w:r w:rsidRPr="008843F0">
              <w:rPr>
                <w:rFonts w:eastAsia="Times"/>
              </w:rPr>
              <w:t>Blood tests likely to identify anaemia, and an appropriate intervention</w:t>
            </w:r>
          </w:p>
        </w:tc>
        <w:tc>
          <w:tcPr>
            <w:tcW w:w="3269" w:type="dxa"/>
          </w:tcPr>
          <w:p w14:paraId="3ECE9A41" w14:textId="1EF8B5DF" w:rsidR="00FA0D20" w:rsidRPr="008843F0" w:rsidRDefault="00FA0D20" w:rsidP="003C2836">
            <w:pPr>
              <w:pStyle w:val="Tabletext"/>
              <w:rPr>
                <w:rFonts w:eastAsia="Times"/>
              </w:rPr>
            </w:pPr>
            <w:r w:rsidRPr="008843F0">
              <w:rPr>
                <w:rFonts w:eastAsia="Times"/>
              </w:rPr>
              <w:t>Hb and ferritin available at assessment</w:t>
            </w:r>
          </w:p>
        </w:tc>
      </w:tr>
      <w:tr w:rsidR="00FA0D20" w:rsidRPr="008843F0" w14:paraId="36AB7F6E" w14:textId="77777777" w:rsidTr="002B2FD9">
        <w:tc>
          <w:tcPr>
            <w:tcW w:w="1783" w:type="dxa"/>
          </w:tcPr>
          <w:p w14:paraId="0A21BEC4" w14:textId="77777777" w:rsidR="00FA0D20" w:rsidRPr="008843F0" w:rsidRDefault="00FA0D20" w:rsidP="003C2836">
            <w:pPr>
              <w:pStyle w:val="Tabletext"/>
              <w:rPr>
                <w:rFonts w:eastAsia="Times"/>
              </w:rPr>
            </w:pPr>
            <w:r w:rsidRPr="008843F0">
              <w:rPr>
                <w:rFonts w:eastAsia="Times"/>
              </w:rPr>
              <w:t>Document</w:t>
            </w:r>
          </w:p>
        </w:tc>
        <w:tc>
          <w:tcPr>
            <w:tcW w:w="3856" w:type="dxa"/>
          </w:tcPr>
          <w:p w14:paraId="4BA015FB" w14:textId="77777777" w:rsidR="00FA0D20" w:rsidRPr="008843F0" w:rsidRDefault="00FA0D20" w:rsidP="003C2836">
            <w:pPr>
              <w:pStyle w:val="Tabletext"/>
              <w:rPr>
                <w:rFonts w:eastAsia="Times"/>
              </w:rPr>
            </w:pPr>
            <w:r w:rsidRPr="008843F0">
              <w:rPr>
                <w:rFonts w:eastAsia="Times"/>
              </w:rPr>
              <w:t>If present, that the anaemia is documented in patient’s clinical notes</w:t>
            </w:r>
          </w:p>
        </w:tc>
        <w:tc>
          <w:tcPr>
            <w:tcW w:w="3269" w:type="dxa"/>
          </w:tcPr>
          <w:p w14:paraId="5778218A" w14:textId="77777777" w:rsidR="00FA0D20" w:rsidRPr="008843F0" w:rsidRDefault="00FA0D20" w:rsidP="003C2836">
            <w:pPr>
              <w:pStyle w:val="Tabletext"/>
              <w:rPr>
                <w:rFonts w:eastAsia="Times"/>
              </w:rPr>
            </w:pPr>
            <w:r w:rsidRPr="008843F0">
              <w:rPr>
                <w:rFonts w:eastAsia="Times"/>
              </w:rPr>
              <w:t>Compare the number of patients meeting Module 2 anaemia definition, and those documented as anaemic by the health service (or had reported treatment for anaemia management)</w:t>
            </w:r>
          </w:p>
        </w:tc>
      </w:tr>
      <w:tr w:rsidR="00FA0D20" w:rsidRPr="008843F0" w14:paraId="0AC1FE57" w14:textId="77777777" w:rsidTr="002B2FD9">
        <w:tc>
          <w:tcPr>
            <w:tcW w:w="1783" w:type="dxa"/>
          </w:tcPr>
          <w:p w14:paraId="6C445FB2" w14:textId="77777777" w:rsidR="00FA0D20" w:rsidRPr="008843F0" w:rsidRDefault="00FA0D20" w:rsidP="003C2836">
            <w:pPr>
              <w:pStyle w:val="Tabletext"/>
              <w:rPr>
                <w:rFonts w:eastAsia="Times"/>
              </w:rPr>
            </w:pPr>
            <w:r w:rsidRPr="008843F0">
              <w:rPr>
                <w:rFonts w:eastAsia="Times"/>
              </w:rPr>
              <w:t>Manage</w:t>
            </w:r>
          </w:p>
        </w:tc>
        <w:tc>
          <w:tcPr>
            <w:tcW w:w="3856" w:type="dxa"/>
          </w:tcPr>
          <w:p w14:paraId="16182D79" w14:textId="77777777" w:rsidR="00FA0D20" w:rsidRPr="008843F0" w:rsidRDefault="00FA0D20" w:rsidP="003C2836">
            <w:pPr>
              <w:pStyle w:val="Tabletext"/>
              <w:rPr>
                <w:rFonts w:eastAsia="Times"/>
              </w:rPr>
            </w:pPr>
            <w:r w:rsidRPr="008843F0">
              <w:rPr>
                <w:rFonts w:eastAsia="Times"/>
              </w:rPr>
              <w:t xml:space="preserve">For patients with anaemia, treatment should occur prior to surgery to optimise the patient’s haemoglobin and iron stores </w:t>
            </w:r>
          </w:p>
          <w:p w14:paraId="38952D89" w14:textId="77777777" w:rsidR="00FA0D20" w:rsidRPr="008843F0" w:rsidRDefault="00FA0D20" w:rsidP="003C2836">
            <w:pPr>
              <w:pStyle w:val="Tabletext"/>
              <w:rPr>
                <w:rFonts w:eastAsia="Times"/>
              </w:rPr>
            </w:pPr>
            <w:r w:rsidRPr="008843F0">
              <w:rPr>
                <w:rFonts w:eastAsia="Times"/>
              </w:rPr>
              <w:t>Module 2: R4, PP6</w:t>
            </w:r>
          </w:p>
        </w:tc>
        <w:tc>
          <w:tcPr>
            <w:tcW w:w="3269" w:type="dxa"/>
          </w:tcPr>
          <w:p w14:paraId="4E00AB8C" w14:textId="4665E661" w:rsidR="00FA0D20" w:rsidRPr="008843F0" w:rsidRDefault="00FA0D20" w:rsidP="003C2836">
            <w:pPr>
              <w:pStyle w:val="Tabletext"/>
              <w:rPr>
                <w:rFonts w:eastAsia="Times"/>
              </w:rPr>
            </w:pPr>
            <w:r w:rsidRPr="008843F0">
              <w:rPr>
                <w:rFonts w:eastAsia="Times"/>
              </w:rPr>
              <w:t>Patient was reported to have received: Oral iron supplements, IV iron infusion, B12 and/or folate, and/or erythropoietin. If patients were transfused preoperatively this was also captured</w:t>
            </w:r>
          </w:p>
        </w:tc>
      </w:tr>
      <w:tr w:rsidR="00FA0D20" w:rsidRPr="008843F0" w14:paraId="36D0BF62" w14:textId="77777777" w:rsidTr="002B2FD9">
        <w:tc>
          <w:tcPr>
            <w:tcW w:w="1783" w:type="dxa"/>
          </w:tcPr>
          <w:p w14:paraId="4F471956" w14:textId="77777777" w:rsidR="00FA0D20" w:rsidRPr="008843F0" w:rsidRDefault="00FA0D20" w:rsidP="003C2836">
            <w:pPr>
              <w:pStyle w:val="Tabletext"/>
              <w:rPr>
                <w:rFonts w:eastAsia="Times"/>
              </w:rPr>
            </w:pPr>
            <w:r w:rsidRPr="008843F0">
              <w:rPr>
                <w:rFonts w:eastAsia="Times"/>
              </w:rPr>
              <w:t>Evaluate</w:t>
            </w:r>
          </w:p>
        </w:tc>
        <w:tc>
          <w:tcPr>
            <w:tcW w:w="3856" w:type="dxa"/>
          </w:tcPr>
          <w:p w14:paraId="75A3C7E3" w14:textId="77777777" w:rsidR="00FA0D20" w:rsidRPr="008843F0" w:rsidRDefault="00FA0D20" w:rsidP="003C2836">
            <w:pPr>
              <w:pStyle w:val="Tabletext"/>
              <w:rPr>
                <w:rFonts w:eastAsia="Times"/>
              </w:rPr>
            </w:pPr>
            <w:r w:rsidRPr="008843F0">
              <w:rPr>
                <w:rFonts w:eastAsia="Times"/>
              </w:rPr>
              <w:t>In order to assess the impact of treatment, it is advised that the Hb should be remeasured after treatment has been instigated, and prior to surgery</w:t>
            </w:r>
          </w:p>
        </w:tc>
        <w:tc>
          <w:tcPr>
            <w:tcW w:w="3269" w:type="dxa"/>
          </w:tcPr>
          <w:p w14:paraId="273852E4" w14:textId="4E44042F" w:rsidR="00FA0D20" w:rsidRPr="008843F0" w:rsidRDefault="00FA0D20" w:rsidP="003C2836">
            <w:pPr>
              <w:pStyle w:val="Tabletext"/>
              <w:rPr>
                <w:rFonts w:eastAsia="Times"/>
              </w:rPr>
            </w:pPr>
            <w:r w:rsidRPr="008843F0">
              <w:rPr>
                <w:rFonts w:eastAsia="Times"/>
              </w:rPr>
              <w:t>Hb reported to be remeasured after treatment and prior to surgery</w:t>
            </w:r>
          </w:p>
        </w:tc>
      </w:tr>
    </w:tbl>
    <w:p w14:paraId="3AF95D84" w14:textId="1A6E3A62" w:rsidR="005F1EE8" w:rsidRDefault="00FA0D20" w:rsidP="00FA0D20">
      <w:pPr>
        <w:pStyle w:val="Bodyaftertablefigure"/>
      </w:pPr>
      <w:r w:rsidRPr="008843F0">
        <w:t xml:space="preserve">As shown in </w:t>
      </w:r>
      <w:r w:rsidRPr="008843F0">
        <w:fldChar w:fldCharType="begin"/>
      </w:r>
      <w:r w:rsidRPr="008843F0">
        <w:instrText xml:space="preserve"> REF _Ref67385226 \h </w:instrText>
      </w:r>
      <w:r w:rsidRPr="008843F0">
        <w:fldChar w:fldCharType="separate"/>
      </w:r>
      <w:r w:rsidR="00857812" w:rsidRPr="008843F0">
        <w:t xml:space="preserve">Figure </w:t>
      </w:r>
      <w:r w:rsidR="00857812">
        <w:rPr>
          <w:noProof/>
        </w:rPr>
        <w:t>1</w:t>
      </w:r>
      <w:r w:rsidRPr="008843F0">
        <w:fldChar w:fldCharType="end"/>
      </w:r>
      <w:r w:rsidRPr="008843F0">
        <w:t xml:space="preserve">, </w:t>
      </w:r>
      <w:r w:rsidR="005F1EE8">
        <w:t>59 health services submitted d</w:t>
      </w:r>
      <w:r w:rsidRPr="008843F0">
        <w:t>ata (44 public and 15 private), providing 1,</w:t>
      </w:r>
      <w:r w:rsidR="005F1EE8" w:rsidRPr="008843F0">
        <w:t>698</w:t>
      </w:r>
      <w:r w:rsidR="005F1EE8">
        <w:t> </w:t>
      </w:r>
      <w:r w:rsidRPr="008843F0">
        <w:t xml:space="preserve">patient </w:t>
      </w:r>
      <w:r w:rsidRPr="008E4115">
        <w:t>episodes</w:t>
      </w:r>
      <w:r w:rsidRPr="008843F0">
        <w:t xml:space="preserve"> for review. </w:t>
      </w:r>
    </w:p>
    <w:p w14:paraId="16BDF22C" w14:textId="77777777" w:rsidR="005F1EE8" w:rsidRDefault="00FA0D20" w:rsidP="005F1EE8">
      <w:pPr>
        <w:pStyle w:val="Body"/>
      </w:pPr>
      <w:r w:rsidRPr="008843F0">
        <w:t xml:space="preserve">One audit was excluded due to </w:t>
      </w:r>
      <w:r w:rsidRPr="00F95181">
        <w:t>the</w:t>
      </w:r>
      <w:r w:rsidRPr="008843F0">
        <w:t xml:space="preserve"> patient returning to theatre within seven days. In addition, one health service submitted more than 30 episodes (186); every sixth episode was kept in the analysis. </w:t>
      </w:r>
    </w:p>
    <w:p w14:paraId="014AE22E" w14:textId="0281B320" w:rsidR="00FA0D20" w:rsidRPr="008843F0" w:rsidRDefault="005F1EE8" w:rsidP="002B2FD9">
      <w:pPr>
        <w:pStyle w:val="Body"/>
      </w:pPr>
      <w:r>
        <w:t>The final</w:t>
      </w:r>
      <w:r w:rsidRPr="008843F0">
        <w:t xml:space="preserve"> </w:t>
      </w:r>
      <w:r w:rsidR="00FA0D20" w:rsidRPr="008843F0">
        <w:t>analysis was completed on 1,541 episodes.</w:t>
      </w:r>
    </w:p>
    <w:p w14:paraId="16BED82D" w14:textId="4D653A96" w:rsidR="005F1EE8" w:rsidRDefault="005F1EE8" w:rsidP="00FA0D20">
      <w:pPr>
        <w:pStyle w:val="Body"/>
      </w:pPr>
      <w:r>
        <w:t xml:space="preserve">Most </w:t>
      </w:r>
      <w:r w:rsidR="00FA0D20" w:rsidRPr="008843F0">
        <w:t xml:space="preserve">data </w:t>
      </w:r>
      <w:proofErr w:type="gramStart"/>
      <w:r w:rsidR="00FA0D20" w:rsidRPr="008843F0">
        <w:t>was</w:t>
      </w:r>
      <w:proofErr w:type="gramEnd"/>
      <w:r w:rsidR="00FA0D20" w:rsidRPr="008843F0">
        <w:t xml:space="preserve"> submitted for the </w:t>
      </w:r>
      <w:bookmarkStart w:id="62" w:name="_Hlk68785074"/>
      <w:r w:rsidR="00FA0D20" w:rsidRPr="008843F0">
        <w:t xml:space="preserve">orthopaedic group (n = 772, 50 per cent), followed by gynaecology (n = 343, 22 per cent), major gastrointestinal (n = 296, 19 per cent) and cardiothoracic (n = 130, </w:t>
      </w:r>
      <w:r w:rsidRPr="008843F0">
        <w:t>8</w:t>
      </w:r>
      <w:r>
        <w:t> </w:t>
      </w:r>
      <w:r w:rsidR="00FA0D20" w:rsidRPr="008843F0">
        <w:t>per cent).</w:t>
      </w:r>
      <w:bookmarkEnd w:id="62"/>
      <w:r w:rsidR="00FA0D20" w:rsidRPr="008843F0">
        <w:t xml:space="preserve"> </w:t>
      </w:r>
    </w:p>
    <w:p w14:paraId="41BBC280" w14:textId="77777777" w:rsidR="005F1EE8" w:rsidRDefault="00FA0D20" w:rsidP="00FA0D20">
      <w:pPr>
        <w:pStyle w:val="Body"/>
      </w:pPr>
      <w:r w:rsidRPr="008843F0">
        <w:t xml:space="preserve">Of the reports received, females accounted for 960 reports (62 per cent) and males 581 (38 per cent). </w:t>
      </w:r>
    </w:p>
    <w:p w14:paraId="30D3AE71" w14:textId="32780745" w:rsidR="00FA0D20" w:rsidRPr="008843F0" w:rsidRDefault="00FA0D20" w:rsidP="00FA0D20">
      <w:pPr>
        <w:pStyle w:val="Body"/>
      </w:pPr>
      <w:r w:rsidRPr="008843F0">
        <w:lastRenderedPageBreak/>
        <w:t>Age at last birthday ranged from one year to 93 years, with the average age being 62 years. Only 24 (0.2 per cent) people were reported to be aged less than 16 years; and 283 (18 per cent) were aged greater than 75 years.</w:t>
      </w:r>
    </w:p>
    <w:p w14:paraId="43D7F394" w14:textId="2EEB58FF" w:rsidR="00FA0D20" w:rsidRDefault="00FA0D20" w:rsidP="001C5B45">
      <w:pPr>
        <w:pStyle w:val="Figurecaption"/>
      </w:pPr>
      <w:bookmarkStart w:id="63" w:name="_Ref67385226"/>
      <w:r w:rsidRPr="008843F0">
        <w:t xml:space="preserve">Figure </w:t>
      </w:r>
      <w:r w:rsidR="005E52B4">
        <w:fldChar w:fldCharType="begin"/>
      </w:r>
      <w:r w:rsidR="005E52B4">
        <w:instrText xml:space="preserve"> SEQ Figure \* ARABIC </w:instrText>
      </w:r>
      <w:r w:rsidR="005E52B4">
        <w:fldChar w:fldCharType="separate"/>
      </w:r>
      <w:r w:rsidR="00857812">
        <w:rPr>
          <w:noProof/>
        </w:rPr>
        <w:t>1</w:t>
      </w:r>
      <w:r w:rsidR="005E52B4">
        <w:rPr>
          <w:noProof/>
        </w:rPr>
        <w:fldChar w:fldCharType="end"/>
      </w:r>
      <w:bookmarkEnd w:id="63"/>
      <w:r w:rsidRPr="008843F0">
        <w:t>: Flow</w:t>
      </w:r>
      <w:r w:rsidR="00971720">
        <w:t xml:space="preserve"> </w:t>
      </w:r>
      <w:r w:rsidRPr="008843F0">
        <w:t xml:space="preserve">chart of </w:t>
      </w:r>
      <w:r w:rsidRPr="001C5B45">
        <w:t>response</w:t>
      </w:r>
      <w:r w:rsidRPr="008843F0">
        <w:t xml:space="preserve"> received</w:t>
      </w:r>
    </w:p>
    <w:p w14:paraId="1091E3D4" w14:textId="119CD347" w:rsidR="000D100C" w:rsidRPr="00F95181" w:rsidRDefault="00C8320E" w:rsidP="002B2FD9">
      <w:pPr>
        <w:pStyle w:val="Body"/>
      </w:pPr>
      <w:r w:rsidRPr="008843F0">
        <w:rPr>
          <w:rFonts w:cs="Arial"/>
          <w:b/>
          <w:noProof/>
          <w:sz w:val="20"/>
          <w:lang w:eastAsia="en-AU"/>
        </w:rPr>
        <w:drawing>
          <wp:inline distT="0" distB="0" distL="0" distR="0" wp14:anchorId="7436B774" wp14:editId="55A726AA">
            <wp:extent cx="5867400" cy="3345180"/>
            <wp:effectExtent l="0" t="0" r="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7E6C896" w14:textId="77777777" w:rsidR="00FA0D20" w:rsidRPr="00F95181" w:rsidRDefault="00FA0D20" w:rsidP="00F95181">
      <w:pPr>
        <w:pStyle w:val="Heading3"/>
      </w:pPr>
      <w:r w:rsidRPr="008E4115">
        <w:t>Preoperative</w:t>
      </w:r>
      <w:r w:rsidRPr="008843F0">
        <w:t xml:space="preserve"> </w:t>
      </w:r>
      <w:r w:rsidRPr="00F95181">
        <w:t>anaemia</w:t>
      </w:r>
      <w:r w:rsidRPr="008843F0">
        <w:t>: screening</w:t>
      </w:r>
    </w:p>
    <w:p w14:paraId="4B2633EF" w14:textId="51AC951B" w:rsidR="000D100C" w:rsidRDefault="00FA0D20" w:rsidP="00FA0D20">
      <w:pPr>
        <w:pStyle w:val="Body"/>
      </w:pPr>
      <w:r w:rsidRPr="008843F0">
        <w:t xml:space="preserve">Module 2 </w:t>
      </w:r>
      <w:r w:rsidR="000D100C">
        <w:t>states</w:t>
      </w:r>
      <w:r w:rsidR="000D100C" w:rsidRPr="008843F0">
        <w:t xml:space="preserve"> </w:t>
      </w:r>
      <w:r w:rsidRPr="008843F0">
        <w:t xml:space="preserve">that all elective surgical patients </w:t>
      </w:r>
      <w:r w:rsidRPr="008E4115">
        <w:t>should</w:t>
      </w:r>
      <w:r w:rsidRPr="008843F0">
        <w:t xml:space="preserve"> be assessed as early as possible</w:t>
      </w:r>
      <w:r w:rsidR="000D100C">
        <w:t xml:space="preserve"> to allow for</w:t>
      </w:r>
      <w:r w:rsidRPr="008843F0">
        <w:t xml:space="preserve"> optimisation of the patient’s haemoglobin and iron stores. </w:t>
      </w:r>
    </w:p>
    <w:p w14:paraId="4D018E8A" w14:textId="269DED6E" w:rsidR="000D100C" w:rsidRDefault="000D100C" w:rsidP="00FA0D20">
      <w:pPr>
        <w:pStyle w:val="Body"/>
      </w:pPr>
      <w:r>
        <w:t>This means</w:t>
      </w:r>
      <w:r w:rsidR="00FA0D20" w:rsidRPr="008843F0">
        <w:t xml:space="preserve"> there must be sufficient time</w:t>
      </w:r>
      <w:r>
        <w:t xml:space="preserve"> to implement any management strategies</w:t>
      </w:r>
      <w:r w:rsidR="00FA0D20" w:rsidRPr="008843F0">
        <w:t xml:space="preserve"> between the </w:t>
      </w:r>
      <w:r>
        <w:t xml:space="preserve">time of the </w:t>
      </w:r>
      <w:r w:rsidR="00FA0D20" w:rsidRPr="008843F0">
        <w:t>assessment and the surgery</w:t>
      </w:r>
      <w:r>
        <w:t>.</w:t>
      </w:r>
    </w:p>
    <w:p w14:paraId="3B4A4B28" w14:textId="77777777" w:rsidR="0038378B" w:rsidRDefault="00FA0D20" w:rsidP="00FA0D20">
      <w:pPr>
        <w:pStyle w:val="Body"/>
      </w:pPr>
      <w:r w:rsidRPr="008843F0">
        <w:t xml:space="preserve">The Network for Advancement of Transfusion Alternatives guidelines recommend that haemoglobin is measured a minimum of 28 days before scheduled orthopaedic surgery (Goodnough et.al. 2011; Minck et.al. 2013). </w:t>
      </w:r>
    </w:p>
    <w:p w14:paraId="5BA9F596" w14:textId="13AA4E95" w:rsidR="00FA0D20" w:rsidRPr="008843F0" w:rsidRDefault="00FA0D20" w:rsidP="00FA0D20">
      <w:pPr>
        <w:pStyle w:val="Body"/>
      </w:pPr>
      <w:r w:rsidRPr="008843F0">
        <w:t>The European Society of Anaesthesiology guidelines recommend that patients at risk of bleeding be assessed for anaemia three to eight weeks before surgery to ensure adequate time to investigate and manage anaemia without resorting to transfusion or delaying surgery (</w:t>
      </w:r>
      <w:proofErr w:type="spellStart"/>
      <w:r w:rsidRPr="008843F0">
        <w:t>Kozek-Langenecker</w:t>
      </w:r>
      <w:proofErr w:type="spellEnd"/>
      <w:r w:rsidRPr="008843F0">
        <w:t xml:space="preserve"> et</w:t>
      </w:r>
      <w:r w:rsidR="000D100C">
        <w:t xml:space="preserve"> </w:t>
      </w:r>
      <w:r w:rsidRPr="008843F0">
        <w:t>al.</w:t>
      </w:r>
      <w:r w:rsidR="000D100C">
        <w:t xml:space="preserve"> </w:t>
      </w:r>
      <w:r w:rsidRPr="008843F0">
        <w:t xml:space="preserve">2017). </w:t>
      </w:r>
    </w:p>
    <w:p w14:paraId="75FD8651" w14:textId="02F1C942" w:rsidR="000D100C" w:rsidRDefault="00FA0D20" w:rsidP="00FA0D20">
      <w:pPr>
        <w:pStyle w:val="Body"/>
      </w:pPr>
      <w:r w:rsidRPr="008843F0">
        <w:t>In this audit, 1,250 (81 per cent) of patients were reported by the health service to have been assessed for anaemia preoperatively (</w:t>
      </w:r>
      <w:r w:rsidRPr="008843F0">
        <w:rPr>
          <w:rFonts w:cs="Arial"/>
        </w:rPr>
        <w:fldChar w:fldCharType="begin"/>
      </w:r>
      <w:r w:rsidRPr="008843F0">
        <w:rPr>
          <w:rFonts w:cs="Arial"/>
        </w:rPr>
        <w:instrText xml:space="preserve"> REF _Ref67385226 \h </w:instrText>
      </w:r>
      <w:r w:rsidRPr="008843F0">
        <w:rPr>
          <w:rFonts w:cs="Arial"/>
        </w:rPr>
      </w:r>
      <w:r w:rsidRPr="008843F0">
        <w:rPr>
          <w:rFonts w:cs="Arial"/>
        </w:rPr>
        <w:fldChar w:fldCharType="separate"/>
      </w:r>
      <w:r w:rsidR="00857812" w:rsidRPr="008843F0">
        <w:t xml:space="preserve">Figure </w:t>
      </w:r>
      <w:r w:rsidR="00857812">
        <w:rPr>
          <w:noProof/>
        </w:rPr>
        <w:t>1</w:t>
      </w:r>
      <w:r w:rsidRPr="008843F0">
        <w:rPr>
          <w:rFonts w:cs="Arial"/>
        </w:rPr>
        <w:fldChar w:fldCharType="end"/>
      </w:r>
      <w:r w:rsidRPr="008843F0">
        <w:t xml:space="preserve">). </w:t>
      </w:r>
    </w:p>
    <w:p w14:paraId="74A0AB68" w14:textId="77777777" w:rsidR="000D100C" w:rsidRDefault="00FA0D20" w:rsidP="00FA0D20">
      <w:pPr>
        <w:pStyle w:val="Body"/>
      </w:pPr>
      <w:r w:rsidRPr="008843F0">
        <w:t xml:space="preserve">This included </w:t>
      </w:r>
      <w:r w:rsidRPr="008E4115">
        <w:t>654</w:t>
      </w:r>
      <w:r w:rsidRPr="008843F0">
        <w:t xml:space="preserve"> (85 per cent) orthopaedic surgery, 241 (70 per cent) gynaecologic surgery, 245 (83 per cent) gastrointestinal surgery and 110 (85 per cent) cardiothoracic surgery patients. </w:t>
      </w:r>
    </w:p>
    <w:p w14:paraId="23108491" w14:textId="43D9D66A" w:rsidR="003557F7" w:rsidRDefault="00FA0D20" w:rsidP="00FA0D20">
      <w:pPr>
        <w:pStyle w:val="Body"/>
      </w:pPr>
      <w:r w:rsidRPr="008843F0">
        <w:t xml:space="preserve">However, closer scrutiny of the data, showed 752 (60 per cent) patients were assessed </w:t>
      </w:r>
      <w:r w:rsidR="003557F7">
        <w:t>within</w:t>
      </w:r>
      <w:r w:rsidRPr="008843F0">
        <w:t xml:space="preserve"> </w:t>
      </w:r>
      <w:r w:rsidR="000D100C" w:rsidRPr="008843F0">
        <w:t>28</w:t>
      </w:r>
      <w:r w:rsidR="000D100C">
        <w:t> </w:t>
      </w:r>
      <w:r w:rsidRPr="008843F0">
        <w:t xml:space="preserve">days prior to surgery, and a further 186 (15 per cent) who had no testing available. </w:t>
      </w:r>
    </w:p>
    <w:p w14:paraId="223F6631" w14:textId="17037E65" w:rsidR="00FA0D20" w:rsidRPr="008843F0" w:rsidRDefault="00FA0D20" w:rsidP="00FA0D20">
      <w:pPr>
        <w:pStyle w:val="Body"/>
      </w:pPr>
      <w:r w:rsidRPr="008843F0">
        <w:t xml:space="preserve">This decreases the percentage of patients assessed </w:t>
      </w:r>
      <w:r w:rsidR="003557F7">
        <w:t xml:space="preserve">in accordance with </w:t>
      </w:r>
      <w:r w:rsidRPr="008843F0">
        <w:t>Module 2 to 312 or 25 per cent of all episodes audited.</w:t>
      </w:r>
    </w:p>
    <w:p w14:paraId="75403273" w14:textId="3E534DFB" w:rsidR="00FA0D20" w:rsidRPr="008843F0" w:rsidRDefault="00FA0D20" w:rsidP="00FA0D20">
      <w:pPr>
        <w:pStyle w:val="Body"/>
      </w:pPr>
      <w:r w:rsidRPr="008843F0">
        <w:lastRenderedPageBreak/>
        <w:t xml:space="preserve">When patients are </w:t>
      </w:r>
      <w:r w:rsidRPr="008E4115">
        <w:t>assessed</w:t>
      </w:r>
      <w:r w:rsidRPr="008843F0">
        <w:t xml:space="preserve"> </w:t>
      </w:r>
      <w:r w:rsidR="003557F7">
        <w:t>within</w:t>
      </w:r>
      <w:r w:rsidRPr="008843F0">
        <w:t xml:space="preserve"> 28 days </w:t>
      </w:r>
      <w:r w:rsidR="003557F7">
        <w:t>of</w:t>
      </w:r>
      <w:r w:rsidR="003557F7" w:rsidRPr="008843F0">
        <w:t xml:space="preserve"> </w:t>
      </w:r>
      <w:r w:rsidRPr="008843F0">
        <w:t>surgery</w:t>
      </w:r>
      <w:r w:rsidR="003557F7">
        <w:t>,</w:t>
      </w:r>
      <w:r w:rsidRPr="008843F0">
        <w:t xml:space="preserve"> there is not adequate time for investigation of </w:t>
      </w:r>
      <w:r w:rsidR="003557F7">
        <w:t xml:space="preserve">any </w:t>
      </w:r>
      <w:r w:rsidRPr="008843F0">
        <w:t>anaemia found</w:t>
      </w:r>
      <w:r w:rsidR="003557F7">
        <w:t>,</w:t>
      </w:r>
      <w:r w:rsidR="003557F7" w:rsidRPr="008843F0">
        <w:t xml:space="preserve"> </w:t>
      </w:r>
      <w:r w:rsidR="003557F7">
        <w:t>nor is there</w:t>
      </w:r>
      <w:r w:rsidRPr="008843F0">
        <w:t xml:space="preserve"> time for adequate treatment to take place without delaying surgery, or potentially resorting to transfusion (</w:t>
      </w:r>
      <w:r w:rsidRPr="008843F0">
        <w:fldChar w:fldCharType="begin"/>
      </w:r>
      <w:r w:rsidRPr="008843F0">
        <w:instrText xml:space="preserve"> REF _Ref67385597 \h </w:instrText>
      </w:r>
      <w:r w:rsidRPr="008843F0">
        <w:fldChar w:fldCharType="separate"/>
      </w:r>
      <w:r w:rsidR="00857812" w:rsidRPr="008843F0">
        <w:t xml:space="preserve">Table </w:t>
      </w:r>
      <w:r w:rsidR="00857812">
        <w:rPr>
          <w:noProof/>
        </w:rPr>
        <w:t>3</w:t>
      </w:r>
      <w:r w:rsidRPr="008843F0">
        <w:fldChar w:fldCharType="end"/>
      </w:r>
      <w:r w:rsidRPr="008843F0">
        <w:t xml:space="preserve">). </w:t>
      </w:r>
    </w:p>
    <w:p w14:paraId="312CBBA3" w14:textId="5C7ACBF5" w:rsidR="003557F7" w:rsidRDefault="00FA0D20" w:rsidP="00FA0D20">
      <w:pPr>
        <w:pStyle w:val="Body"/>
      </w:pPr>
      <w:r w:rsidRPr="008E4115">
        <w:t xml:space="preserve">For some patients, </w:t>
      </w:r>
      <w:r w:rsidR="003557F7">
        <w:t>such as</w:t>
      </w:r>
      <w:r w:rsidRPr="008E4115">
        <w:t xml:space="preserve"> those undergoing major gastrointestinal and cardiothoracic surgery, the median wait time between listing for surgery and surgery date is less than 28 days. </w:t>
      </w:r>
    </w:p>
    <w:p w14:paraId="26951549" w14:textId="6DEF6798" w:rsidR="003557F7" w:rsidRDefault="00FA0D20" w:rsidP="00FA0D20">
      <w:pPr>
        <w:pStyle w:val="Body"/>
      </w:pPr>
      <w:r w:rsidRPr="008E4115">
        <w:t>The median waiting times to admission from elective surgery waiting lists in Victoria (2019</w:t>
      </w:r>
      <w:r w:rsidR="003557F7">
        <w:t>–</w:t>
      </w:r>
      <w:r w:rsidRPr="008E4115">
        <w:t xml:space="preserve">20) was 19 days for cardiothoracic surgery, 28 days for gynaecology and 55 days for orthopaedic surgery (AIHW 2020). </w:t>
      </w:r>
    </w:p>
    <w:p w14:paraId="3ADC5F03" w14:textId="74457FE7" w:rsidR="00FA0D20" w:rsidRPr="008E4115" w:rsidRDefault="00FA0D20" w:rsidP="00FA0D20">
      <w:pPr>
        <w:pStyle w:val="Body"/>
      </w:pPr>
      <w:r w:rsidRPr="008E4115">
        <w:t xml:space="preserve">This may, in part, contribute to the smaller percentage of patients who were assessed four weeks or </w:t>
      </w:r>
      <w:r w:rsidR="003557F7">
        <w:t>more before</w:t>
      </w:r>
      <w:r w:rsidRPr="008E4115">
        <w:t xml:space="preserve"> surgery. However, postponement of major, non</w:t>
      </w:r>
      <w:r>
        <w:t>-</w:t>
      </w:r>
      <w:r w:rsidRPr="008E4115">
        <w:t>urgent surgery should be considered to allow the diagnosis and treatment of preoperative anaemia, if appropriate (</w:t>
      </w:r>
      <w:bookmarkStart w:id="64" w:name="_Hlk68958915"/>
      <w:r w:rsidRPr="008E4115">
        <w:t>Munoz 2017</w:t>
      </w:r>
      <w:bookmarkEnd w:id="64"/>
      <w:r w:rsidRPr="008E4115">
        <w:t>).</w:t>
      </w:r>
    </w:p>
    <w:p w14:paraId="3335CC09" w14:textId="4A0FFCE9" w:rsidR="00FA0D20" w:rsidRPr="008843F0" w:rsidRDefault="00FA0D20" w:rsidP="001C5B45">
      <w:pPr>
        <w:pStyle w:val="Tablecaption"/>
      </w:pPr>
      <w:bookmarkStart w:id="65" w:name="_Ref67385597"/>
      <w:r w:rsidRPr="008843F0">
        <w:t xml:space="preserve">Table </w:t>
      </w:r>
      <w:r w:rsidR="005E52B4">
        <w:fldChar w:fldCharType="begin"/>
      </w:r>
      <w:r w:rsidR="005E52B4">
        <w:instrText xml:space="preserve"> SEQ Table \* ARABIC </w:instrText>
      </w:r>
      <w:r w:rsidR="005E52B4">
        <w:fldChar w:fldCharType="separate"/>
      </w:r>
      <w:r w:rsidR="00857812">
        <w:rPr>
          <w:noProof/>
        </w:rPr>
        <w:t>3</w:t>
      </w:r>
      <w:r w:rsidR="005E52B4">
        <w:rPr>
          <w:noProof/>
        </w:rPr>
        <w:fldChar w:fldCharType="end"/>
      </w:r>
      <w:bookmarkEnd w:id="65"/>
      <w:r w:rsidRPr="008843F0">
        <w:t xml:space="preserve">: Timing of </w:t>
      </w:r>
      <w:r w:rsidRPr="001C5B45">
        <w:t>anaemia</w:t>
      </w:r>
      <w:r w:rsidRPr="008843F0">
        <w:t xml:space="preserve"> assessment prior to surgery</w:t>
      </w:r>
    </w:p>
    <w:tbl>
      <w:tblPr>
        <w:tblStyle w:val="TableGrid1"/>
        <w:tblW w:w="8959" w:type="dxa"/>
        <w:tblLayout w:type="fixed"/>
        <w:tblLook w:val="04A0" w:firstRow="1" w:lastRow="0" w:firstColumn="1" w:lastColumn="0" w:noHBand="0" w:noVBand="1"/>
      </w:tblPr>
      <w:tblGrid>
        <w:gridCol w:w="2830"/>
        <w:gridCol w:w="1203"/>
        <w:gridCol w:w="1203"/>
        <w:gridCol w:w="1203"/>
        <w:gridCol w:w="1203"/>
        <w:gridCol w:w="1317"/>
      </w:tblGrid>
      <w:tr w:rsidR="003557F7" w:rsidRPr="008843F0" w14:paraId="7E55A4ED" w14:textId="77777777" w:rsidTr="002B2FD9">
        <w:tc>
          <w:tcPr>
            <w:tcW w:w="2803" w:type="dxa"/>
          </w:tcPr>
          <w:p w14:paraId="31E135DC" w14:textId="77777777" w:rsidR="00FA0D20" w:rsidRPr="008E4115" w:rsidRDefault="00FA0D20" w:rsidP="003C2836">
            <w:pPr>
              <w:pStyle w:val="Tablecolhead"/>
            </w:pPr>
            <w:r w:rsidRPr="008E4115">
              <w:t>Time of assessment prior to surgery</w:t>
            </w:r>
          </w:p>
        </w:tc>
        <w:tc>
          <w:tcPr>
            <w:tcW w:w="1191" w:type="dxa"/>
          </w:tcPr>
          <w:p w14:paraId="27DC026E" w14:textId="2E84F2C5" w:rsidR="00FA0D20" w:rsidRPr="008E4115" w:rsidRDefault="00FA0D20" w:rsidP="003C2836">
            <w:pPr>
              <w:pStyle w:val="Tablecolhead"/>
            </w:pPr>
            <w:r w:rsidRPr="008E4115">
              <w:t>Ortho</w:t>
            </w:r>
            <w:r w:rsidR="003557F7">
              <w:t>-</w:t>
            </w:r>
            <w:proofErr w:type="spellStart"/>
            <w:r w:rsidRPr="008E4115">
              <w:t>paedic</w:t>
            </w:r>
            <w:proofErr w:type="spellEnd"/>
            <w:r w:rsidRPr="008E4115">
              <w:t xml:space="preserve"> </w:t>
            </w:r>
          </w:p>
        </w:tc>
        <w:tc>
          <w:tcPr>
            <w:tcW w:w="1191" w:type="dxa"/>
          </w:tcPr>
          <w:p w14:paraId="3E55F0B5" w14:textId="639EFC9D" w:rsidR="00FA0D20" w:rsidRPr="008E4115" w:rsidRDefault="00FA0D20" w:rsidP="003C2836">
            <w:pPr>
              <w:pStyle w:val="Tablecolhead"/>
            </w:pPr>
            <w:r w:rsidRPr="008E4115">
              <w:t>Gynae</w:t>
            </w:r>
            <w:r w:rsidR="003557F7">
              <w:t>-</w:t>
            </w:r>
            <w:proofErr w:type="spellStart"/>
            <w:r w:rsidR="003557F7">
              <w:t>c</w:t>
            </w:r>
            <w:r w:rsidRPr="008E4115">
              <w:t>ology</w:t>
            </w:r>
            <w:proofErr w:type="spellEnd"/>
          </w:p>
        </w:tc>
        <w:tc>
          <w:tcPr>
            <w:tcW w:w="1191" w:type="dxa"/>
          </w:tcPr>
          <w:p w14:paraId="020012D2" w14:textId="24F696A7" w:rsidR="00FA0D20" w:rsidRPr="008E4115" w:rsidRDefault="00FA0D20" w:rsidP="003C2836">
            <w:pPr>
              <w:pStyle w:val="Tablecolhead"/>
            </w:pPr>
            <w:r w:rsidRPr="008E4115">
              <w:t>Major gastro</w:t>
            </w:r>
            <w:r w:rsidR="003557F7">
              <w:t>-</w:t>
            </w:r>
            <w:r w:rsidRPr="008E4115">
              <w:t>intestinal</w:t>
            </w:r>
          </w:p>
        </w:tc>
        <w:tc>
          <w:tcPr>
            <w:tcW w:w="1191" w:type="dxa"/>
          </w:tcPr>
          <w:p w14:paraId="57DEA534" w14:textId="2CC5C708" w:rsidR="00FA0D20" w:rsidRPr="008E4115" w:rsidRDefault="00FA0D20" w:rsidP="003C2836">
            <w:pPr>
              <w:pStyle w:val="Tablecolhead"/>
            </w:pPr>
            <w:r w:rsidRPr="008E4115">
              <w:t>Cardio</w:t>
            </w:r>
            <w:r w:rsidR="003557F7">
              <w:t>-</w:t>
            </w:r>
            <w:r w:rsidRPr="008E4115">
              <w:t xml:space="preserve">thoracic </w:t>
            </w:r>
          </w:p>
        </w:tc>
        <w:tc>
          <w:tcPr>
            <w:tcW w:w="1304" w:type="dxa"/>
          </w:tcPr>
          <w:p w14:paraId="1374AE76" w14:textId="77777777" w:rsidR="00FA0D20" w:rsidRPr="008E4115" w:rsidRDefault="00FA0D20" w:rsidP="003C2836">
            <w:pPr>
              <w:pStyle w:val="Tablecolhead"/>
            </w:pPr>
            <w:r w:rsidRPr="008E4115">
              <w:t>Total</w:t>
            </w:r>
          </w:p>
        </w:tc>
      </w:tr>
      <w:tr w:rsidR="003557F7" w:rsidRPr="008843F0" w14:paraId="3EA775ED" w14:textId="77777777" w:rsidTr="002B2FD9">
        <w:tc>
          <w:tcPr>
            <w:tcW w:w="2803" w:type="dxa"/>
          </w:tcPr>
          <w:p w14:paraId="36A523EA" w14:textId="654E0F6A" w:rsidR="00FA0D20" w:rsidRPr="008E4115" w:rsidRDefault="00FA0D20" w:rsidP="003C2836">
            <w:pPr>
              <w:pStyle w:val="Tabletext"/>
            </w:pPr>
            <w:r w:rsidRPr="008E4115">
              <w:t xml:space="preserve">4 weeks and </w:t>
            </w:r>
            <w:r w:rsidR="003557F7">
              <w:t>more</w:t>
            </w:r>
          </w:p>
        </w:tc>
        <w:tc>
          <w:tcPr>
            <w:tcW w:w="1191" w:type="dxa"/>
          </w:tcPr>
          <w:p w14:paraId="785F9FBF" w14:textId="77777777" w:rsidR="00FA0D20" w:rsidRPr="008E4115" w:rsidRDefault="00FA0D20" w:rsidP="002B2FD9">
            <w:pPr>
              <w:pStyle w:val="Tabletext"/>
              <w:jc w:val="right"/>
            </w:pPr>
            <w:r w:rsidRPr="008E4115">
              <w:t>320 (49%)</w:t>
            </w:r>
          </w:p>
        </w:tc>
        <w:tc>
          <w:tcPr>
            <w:tcW w:w="1191" w:type="dxa"/>
          </w:tcPr>
          <w:p w14:paraId="07805721" w14:textId="77777777" w:rsidR="00FA0D20" w:rsidRPr="008E4115" w:rsidRDefault="00FA0D20" w:rsidP="002B2FD9">
            <w:pPr>
              <w:pStyle w:val="Tabletext"/>
              <w:jc w:val="right"/>
            </w:pPr>
            <w:r w:rsidRPr="008E4115">
              <w:t>104 (43%)</w:t>
            </w:r>
          </w:p>
        </w:tc>
        <w:tc>
          <w:tcPr>
            <w:tcW w:w="1191" w:type="dxa"/>
          </w:tcPr>
          <w:p w14:paraId="619B4076" w14:textId="77777777" w:rsidR="00FA0D20" w:rsidRPr="008E4115" w:rsidRDefault="00FA0D20" w:rsidP="002B2FD9">
            <w:pPr>
              <w:pStyle w:val="Tabletext"/>
              <w:jc w:val="right"/>
            </w:pPr>
            <w:r w:rsidRPr="008E4115">
              <w:t>48 (20%)</w:t>
            </w:r>
          </w:p>
        </w:tc>
        <w:tc>
          <w:tcPr>
            <w:tcW w:w="1191" w:type="dxa"/>
          </w:tcPr>
          <w:p w14:paraId="1C04E6E8" w14:textId="77777777" w:rsidR="00FA0D20" w:rsidRPr="008E4115" w:rsidRDefault="00FA0D20" w:rsidP="002B2FD9">
            <w:pPr>
              <w:pStyle w:val="Tabletext"/>
              <w:jc w:val="right"/>
            </w:pPr>
            <w:r w:rsidRPr="008E4115">
              <w:t>26 (24%)</w:t>
            </w:r>
          </w:p>
        </w:tc>
        <w:tc>
          <w:tcPr>
            <w:tcW w:w="1304" w:type="dxa"/>
          </w:tcPr>
          <w:p w14:paraId="031B0550" w14:textId="77777777" w:rsidR="00FA0D20" w:rsidRPr="008E4115" w:rsidRDefault="00FA0D20" w:rsidP="002B2FD9">
            <w:pPr>
              <w:pStyle w:val="Tabletext"/>
              <w:jc w:val="right"/>
            </w:pPr>
            <w:r w:rsidRPr="008E4115">
              <w:t>498 (40%)</w:t>
            </w:r>
          </w:p>
        </w:tc>
      </w:tr>
      <w:tr w:rsidR="003557F7" w:rsidRPr="008843F0" w14:paraId="6DCBECEC" w14:textId="77777777" w:rsidTr="002B2FD9">
        <w:tc>
          <w:tcPr>
            <w:tcW w:w="2803" w:type="dxa"/>
          </w:tcPr>
          <w:p w14:paraId="3963D0DA" w14:textId="7EB2436D" w:rsidR="00FA0D20" w:rsidRPr="008E4115" w:rsidRDefault="003557F7" w:rsidP="003C2836">
            <w:pPr>
              <w:pStyle w:val="Tabletext"/>
            </w:pPr>
            <w:r>
              <w:t xml:space="preserve">Between </w:t>
            </w:r>
            <w:r w:rsidR="00FA0D20" w:rsidRPr="008E4115">
              <w:t>1 week and 4 weeks</w:t>
            </w:r>
          </w:p>
        </w:tc>
        <w:tc>
          <w:tcPr>
            <w:tcW w:w="1191" w:type="dxa"/>
          </w:tcPr>
          <w:p w14:paraId="45501E2D" w14:textId="77777777" w:rsidR="00FA0D20" w:rsidRPr="008E4115" w:rsidRDefault="00FA0D20" w:rsidP="002B2FD9">
            <w:pPr>
              <w:pStyle w:val="Tabletext"/>
              <w:jc w:val="right"/>
            </w:pPr>
            <w:r w:rsidRPr="008E4115">
              <w:t>252 (39%)</w:t>
            </w:r>
          </w:p>
        </w:tc>
        <w:tc>
          <w:tcPr>
            <w:tcW w:w="1191" w:type="dxa"/>
          </w:tcPr>
          <w:p w14:paraId="2DA27C2A" w14:textId="77777777" w:rsidR="00FA0D20" w:rsidRPr="008E4115" w:rsidRDefault="00FA0D20" w:rsidP="002B2FD9">
            <w:pPr>
              <w:pStyle w:val="Tabletext"/>
              <w:jc w:val="right"/>
            </w:pPr>
            <w:r w:rsidRPr="008E4115">
              <w:t>95 (39%)</w:t>
            </w:r>
          </w:p>
        </w:tc>
        <w:tc>
          <w:tcPr>
            <w:tcW w:w="1191" w:type="dxa"/>
          </w:tcPr>
          <w:p w14:paraId="4D822C9A" w14:textId="77777777" w:rsidR="00FA0D20" w:rsidRPr="008E4115" w:rsidRDefault="00FA0D20" w:rsidP="002B2FD9">
            <w:pPr>
              <w:pStyle w:val="Tabletext"/>
              <w:jc w:val="right"/>
            </w:pPr>
            <w:r w:rsidRPr="008E4115">
              <w:t>138 (56%)</w:t>
            </w:r>
          </w:p>
        </w:tc>
        <w:tc>
          <w:tcPr>
            <w:tcW w:w="1191" w:type="dxa"/>
          </w:tcPr>
          <w:p w14:paraId="15F5E584" w14:textId="77777777" w:rsidR="00FA0D20" w:rsidRPr="008E4115" w:rsidRDefault="00FA0D20" w:rsidP="002B2FD9">
            <w:pPr>
              <w:pStyle w:val="Tabletext"/>
              <w:jc w:val="right"/>
            </w:pPr>
            <w:r w:rsidRPr="008E4115">
              <w:t>59 (54%)</w:t>
            </w:r>
          </w:p>
        </w:tc>
        <w:tc>
          <w:tcPr>
            <w:tcW w:w="1304" w:type="dxa"/>
          </w:tcPr>
          <w:p w14:paraId="1572BD11" w14:textId="77777777" w:rsidR="00FA0D20" w:rsidRPr="008E4115" w:rsidRDefault="00FA0D20" w:rsidP="002B2FD9">
            <w:pPr>
              <w:pStyle w:val="Tabletext"/>
              <w:jc w:val="right"/>
            </w:pPr>
            <w:r w:rsidRPr="008E4115">
              <w:t>544 (44%)</w:t>
            </w:r>
          </w:p>
        </w:tc>
      </w:tr>
      <w:tr w:rsidR="003557F7" w:rsidRPr="008843F0" w14:paraId="6072301B" w14:textId="77777777" w:rsidTr="002B2FD9">
        <w:tc>
          <w:tcPr>
            <w:tcW w:w="2803" w:type="dxa"/>
          </w:tcPr>
          <w:p w14:paraId="434CF8F8" w14:textId="77777777" w:rsidR="00FA0D20" w:rsidRPr="008E4115" w:rsidRDefault="00FA0D20" w:rsidP="003C2836">
            <w:pPr>
              <w:pStyle w:val="Tabletext"/>
            </w:pPr>
            <w:r w:rsidRPr="008E4115">
              <w:t>Less than 1 week</w:t>
            </w:r>
          </w:p>
        </w:tc>
        <w:tc>
          <w:tcPr>
            <w:tcW w:w="1191" w:type="dxa"/>
          </w:tcPr>
          <w:p w14:paraId="7AF816D6" w14:textId="77777777" w:rsidR="00FA0D20" w:rsidRPr="008E4115" w:rsidRDefault="00FA0D20" w:rsidP="002B2FD9">
            <w:pPr>
              <w:pStyle w:val="Tabletext"/>
              <w:jc w:val="right"/>
            </w:pPr>
            <w:r w:rsidRPr="008E4115">
              <w:t>57 (9%)</w:t>
            </w:r>
          </w:p>
        </w:tc>
        <w:tc>
          <w:tcPr>
            <w:tcW w:w="1191" w:type="dxa"/>
          </w:tcPr>
          <w:p w14:paraId="1A90FA4B" w14:textId="77777777" w:rsidR="00FA0D20" w:rsidRPr="008E4115" w:rsidRDefault="00FA0D20" w:rsidP="002B2FD9">
            <w:pPr>
              <w:pStyle w:val="Tabletext"/>
              <w:jc w:val="right"/>
            </w:pPr>
            <w:r w:rsidRPr="008E4115">
              <w:t>35 (15%)</w:t>
            </w:r>
          </w:p>
        </w:tc>
        <w:tc>
          <w:tcPr>
            <w:tcW w:w="1191" w:type="dxa"/>
          </w:tcPr>
          <w:p w14:paraId="46DECE1C" w14:textId="77777777" w:rsidR="00FA0D20" w:rsidRPr="008E4115" w:rsidRDefault="00FA0D20" w:rsidP="002B2FD9">
            <w:pPr>
              <w:pStyle w:val="Tabletext"/>
              <w:jc w:val="right"/>
            </w:pPr>
            <w:r w:rsidRPr="008E4115">
              <w:t>48 (20%)</w:t>
            </w:r>
          </w:p>
        </w:tc>
        <w:tc>
          <w:tcPr>
            <w:tcW w:w="1191" w:type="dxa"/>
          </w:tcPr>
          <w:p w14:paraId="6C95F138" w14:textId="77777777" w:rsidR="00FA0D20" w:rsidRPr="008E4115" w:rsidRDefault="00FA0D20" w:rsidP="002B2FD9">
            <w:pPr>
              <w:pStyle w:val="Tabletext"/>
              <w:jc w:val="right"/>
            </w:pPr>
            <w:r w:rsidRPr="008E4115">
              <w:t>15 (14%)</w:t>
            </w:r>
          </w:p>
        </w:tc>
        <w:tc>
          <w:tcPr>
            <w:tcW w:w="1304" w:type="dxa"/>
          </w:tcPr>
          <w:p w14:paraId="4F53E482" w14:textId="77777777" w:rsidR="00FA0D20" w:rsidRPr="008E4115" w:rsidRDefault="00FA0D20" w:rsidP="002B2FD9">
            <w:pPr>
              <w:pStyle w:val="Tabletext"/>
              <w:jc w:val="right"/>
            </w:pPr>
            <w:r w:rsidRPr="008E4115">
              <w:t>155 (12%)</w:t>
            </w:r>
          </w:p>
        </w:tc>
      </w:tr>
      <w:tr w:rsidR="003557F7" w:rsidRPr="008843F0" w14:paraId="4F3B4992" w14:textId="77777777" w:rsidTr="002B2FD9">
        <w:tc>
          <w:tcPr>
            <w:tcW w:w="2803" w:type="dxa"/>
          </w:tcPr>
          <w:p w14:paraId="17AC76B2" w14:textId="77777777" w:rsidR="00FA0D20" w:rsidRPr="008E4115" w:rsidRDefault="00FA0D20" w:rsidP="003C2836">
            <w:pPr>
              <w:pStyle w:val="Tabletext"/>
            </w:pPr>
            <w:r w:rsidRPr="008E4115">
              <w:t>1 day prior</w:t>
            </w:r>
          </w:p>
        </w:tc>
        <w:tc>
          <w:tcPr>
            <w:tcW w:w="1191" w:type="dxa"/>
          </w:tcPr>
          <w:p w14:paraId="4E5239F1" w14:textId="77777777" w:rsidR="00FA0D20" w:rsidRPr="008E4115" w:rsidRDefault="00FA0D20" w:rsidP="002B2FD9">
            <w:pPr>
              <w:pStyle w:val="Tabletext"/>
              <w:jc w:val="right"/>
            </w:pPr>
            <w:r w:rsidRPr="008E4115">
              <w:t>25 (4%)</w:t>
            </w:r>
          </w:p>
        </w:tc>
        <w:tc>
          <w:tcPr>
            <w:tcW w:w="1191" w:type="dxa"/>
          </w:tcPr>
          <w:p w14:paraId="4385C3FE" w14:textId="77777777" w:rsidR="00FA0D20" w:rsidRPr="008E4115" w:rsidRDefault="00FA0D20" w:rsidP="002B2FD9">
            <w:pPr>
              <w:pStyle w:val="Tabletext"/>
              <w:jc w:val="right"/>
            </w:pPr>
            <w:r w:rsidRPr="008E4115">
              <w:t>7 (3%)</w:t>
            </w:r>
          </w:p>
        </w:tc>
        <w:tc>
          <w:tcPr>
            <w:tcW w:w="1191" w:type="dxa"/>
          </w:tcPr>
          <w:p w14:paraId="7DBCC142" w14:textId="77777777" w:rsidR="00FA0D20" w:rsidRPr="008E4115" w:rsidRDefault="00FA0D20" w:rsidP="002B2FD9">
            <w:pPr>
              <w:pStyle w:val="Tabletext"/>
              <w:jc w:val="right"/>
            </w:pPr>
            <w:r w:rsidRPr="008E4115">
              <w:t>11 (4%)</w:t>
            </w:r>
          </w:p>
        </w:tc>
        <w:tc>
          <w:tcPr>
            <w:tcW w:w="1191" w:type="dxa"/>
          </w:tcPr>
          <w:p w14:paraId="4D4F06F3" w14:textId="77777777" w:rsidR="00FA0D20" w:rsidRPr="008E4115" w:rsidRDefault="00FA0D20" w:rsidP="002B2FD9">
            <w:pPr>
              <w:pStyle w:val="Tabletext"/>
              <w:jc w:val="right"/>
            </w:pPr>
            <w:r w:rsidRPr="008E4115">
              <w:t>10 (9%)</w:t>
            </w:r>
          </w:p>
        </w:tc>
        <w:tc>
          <w:tcPr>
            <w:tcW w:w="1304" w:type="dxa"/>
          </w:tcPr>
          <w:p w14:paraId="6BCA696C" w14:textId="77777777" w:rsidR="00FA0D20" w:rsidRPr="008E4115" w:rsidRDefault="00FA0D20" w:rsidP="002B2FD9">
            <w:pPr>
              <w:pStyle w:val="Tabletext"/>
              <w:jc w:val="right"/>
            </w:pPr>
            <w:r w:rsidRPr="008E4115">
              <w:t>53 (4%)</w:t>
            </w:r>
          </w:p>
        </w:tc>
      </w:tr>
    </w:tbl>
    <w:p w14:paraId="58AEA51D" w14:textId="1C3BD1BC" w:rsidR="003557F7" w:rsidRDefault="00FA0D20" w:rsidP="002B2FD9">
      <w:pPr>
        <w:pStyle w:val="Bodyaftertablefigure"/>
      </w:pPr>
      <w:r w:rsidRPr="008843F0">
        <w:t>For the majority of patients, 952 (76 per cent), preoperative anaemia screening took place in the health service clinic. Only small numbers of patients were seen in other areas</w:t>
      </w:r>
      <w:r w:rsidR="003557F7">
        <w:t>,</w:t>
      </w:r>
      <w:r w:rsidRPr="008843F0">
        <w:t xml:space="preserve"> such as a GP</w:t>
      </w:r>
      <w:r w:rsidR="005157DF">
        <w:t>’s</w:t>
      </w:r>
      <w:r w:rsidRPr="008843F0">
        <w:t xml:space="preserve"> or physician</w:t>
      </w:r>
      <w:r w:rsidR="005157DF">
        <w:t>’</w:t>
      </w:r>
      <w:r w:rsidRPr="008843F0">
        <w:t xml:space="preserve">s rooms. </w:t>
      </w:r>
    </w:p>
    <w:p w14:paraId="3FD2E669" w14:textId="77777777" w:rsidR="003557F7" w:rsidRDefault="00FA0D20" w:rsidP="003557F7">
      <w:pPr>
        <w:pStyle w:val="Body"/>
      </w:pPr>
      <w:r w:rsidRPr="008843F0">
        <w:t xml:space="preserve">This may highlight a missed opportunity to engage with GPs, </w:t>
      </w:r>
      <w:r w:rsidRPr="008E4115">
        <w:t>where</w:t>
      </w:r>
      <w:r w:rsidRPr="008843F0">
        <w:t xml:space="preserve"> they may be able to review patients with greater time to surgery, thus making use of the time the patients spend on waitlists. </w:t>
      </w:r>
    </w:p>
    <w:p w14:paraId="1E3F5EE7" w14:textId="4DE013E9" w:rsidR="003557F7" w:rsidRDefault="00FA0D20" w:rsidP="003557F7">
      <w:pPr>
        <w:pStyle w:val="Body"/>
      </w:pPr>
      <w:r w:rsidRPr="008843F0">
        <w:t>It is important to maintain good, open communication with GPs to keep them informed of when their patients are waitlisted for surgery</w:t>
      </w:r>
      <w:r w:rsidR="003557F7">
        <w:t xml:space="preserve">. This will allow them </w:t>
      </w:r>
      <w:r w:rsidRPr="008843F0">
        <w:t xml:space="preserve">to follow up and commence the anaemia assessment process. </w:t>
      </w:r>
    </w:p>
    <w:p w14:paraId="30825143" w14:textId="623EB22E" w:rsidR="00FA0D20" w:rsidRPr="008843F0" w:rsidRDefault="00FA0D20" w:rsidP="002B2FD9">
      <w:pPr>
        <w:pStyle w:val="Body"/>
      </w:pPr>
      <w:r>
        <w:t xml:space="preserve">Greater </w:t>
      </w:r>
      <w:r w:rsidRPr="00DE6588">
        <w:t xml:space="preserve">GP awareness of anaemia </w:t>
      </w:r>
      <w:r>
        <w:t xml:space="preserve">and its treatment </w:t>
      </w:r>
      <w:r w:rsidR="003557F7">
        <w:t>is</w:t>
      </w:r>
      <w:r w:rsidRPr="00DE6588">
        <w:t xml:space="preserve"> </w:t>
      </w:r>
      <w:r>
        <w:t xml:space="preserve">a </w:t>
      </w:r>
      <w:r w:rsidRPr="00DE6588">
        <w:t xml:space="preserve">key </w:t>
      </w:r>
      <w:r w:rsidR="003557F7">
        <w:t xml:space="preserve">success factor for </w:t>
      </w:r>
      <w:r w:rsidRPr="00DE6588">
        <w:t>PBM.</w:t>
      </w:r>
    </w:p>
    <w:p w14:paraId="6111422E" w14:textId="69391FDA" w:rsidR="003557F7" w:rsidRDefault="003557F7" w:rsidP="00FA0D20">
      <w:pPr>
        <w:pStyle w:val="Body"/>
      </w:pPr>
      <w:r>
        <w:t>GPs also need a way to easily</w:t>
      </w:r>
      <w:r w:rsidR="00FA0D20" w:rsidRPr="008843F0">
        <w:t xml:space="preserve"> refer patients </w:t>
      </w:r>
      <w:r>
        <w:t>for</w:t>
      </w:r>
      <w:r w:rsidR="00FA0D20" w:rsidRPr="008843F0">
        <w:t xml:space="preserve"> further investigation with a haematologist, gastroenterologist or other specialist service. </w:t>
      </w:r>
    </w:p>
    <w:p w14:paraId="12744E69" w14:textId="66D0E480" w:rsidR="00FA0D20" w:rsidRPr="008843F0" w:rsidRDefault="003557F7" w:rsidP="00FA0D20">
      <w:pPr>
        <w:pStyle w:val="Body"/>
      </w:pPr>
      <w:r>
        <w:t>More</w:t>
      </w:r>
      <w:r w:rsidR="00FA0D20" w:rsidRPr="008843F0">
        <w:t xml:space="preserve"> GP practices </w:t>
      </w:r>
      <w:r>
        <w:t>now offer</w:t>
      </w:r>
      <w:r w:rsidRPr="008843F0">
        <w:t xml:space="preserve"> </w:t>
      </w:r>
      <w:r w:rsidR="00FA0D20" w:rsidRPr="008843F0">
        <w:t>intravenous iron therapy</w:t>
      </w:r>
      <w:r>
        <w:t>.</w:t>
      </w:r>
      <w:r w:rsidRPr="008843F0">
        <w:t xml:space="preserve"> </w:t>
      </w:r>
      <w:r>
        <w:t>This</w:t>
      </w:r>
      <w:r w:rsidRPr="008843F0">
        <w:t xml:space="preserve"> </w:t>
      </w:r>
      <w:r w:rsidR="00FA0D20" w:rsidRPr="008843F0">
        <w:t xml:space="preserve">removes the need for patients to attend </w:t>
      </w:r>
      <w:r>
        <w:t xml:space="preserve">a </w:t>
      </w:r>
      <w:r w:rsidR="00FA0D20" w:rsidRPr="008843F0">
        <w:t>health service for treatment</w:t>
      </w:r>
      <w:r>
        <w:t xml:space="preserve">. It also means the </w:t>
      </w:r>
      <w:r w:rsidR="00FA0D20" w:rsidRPr="008843F0">
        <w:t xml:space="preserve">therapy </w:t>
      </w:r>
      <w:r>
        <w:t xml:space="preserve">can be </w:t>
      </w:r>
      <w:r w:rsidR="00FA0D20" w:rsidRPr="008843F0">
        <w:t xml:space="preserve">administered closer to </w:t>
      </w:r>
      <w:r>
        <w:t>home</w:t>
      </w:r>
      <w:r w:rsidR="00FA0D20" w:rsidRPr="008843F0">
        <w:t xml:space="preserve">. </w:t>
      </w:r>
    </w:p>
    <w:p w14:paraId="12F0C82C" w14:textId="77777777" w:rsidR="00FA0D20" w:rsidRPr="008E4115" w:rsidRDefault="00FA0D20" w:rsidP="00FA0D20">
      <w:pPr>
        <w:pStyle w:val="Heading3"/>
      </w:pPr>
      <w:r w:rsidRPr="008843F0">
        <w:t>Preoperative anaemia: testing</w:t>
      </w:r>
    </w:p>
    <w:p w14:paraId="3A3BF20A" w14:textId="77777777" w:rsidR="00FA0D20" w:rsidRPr="008843F0" w:rsidRDefault="00FA0D20" w:rsidP="00FA0D20">
      <w:pPr>
        <w:pStyle w:val="Body"/>
      </w:pPr>
      <w:r w:rsidRPr="008843F0">
        <w:t>Module 2 includes the follo</w:t>
      </w:r>
      <w:r w:rsidRPr="008E4115">
        <w:t>w</w:t>
      </w:r>
      <w:r w:rsidRPr="008843F0">
        <w:t xml:space="preserve">ing as baseline tests for </w:t>
      </w:r>
      <w:r w:rsidRPr="008E4115">
        <w:t>assessment</w:t>
      </w:r>
      <w:r w:rsidRPr="008843F0">
        <w:t xml:space="preserve"> and identification of anaemia: </w:t>
      </w:r>
    </w:p>
    <w:p w14:paraId="28C129FF" w14:textId="77777777" w:rsidR="00FA0D20" w:rsidRPr="008E4115" w:rsidRDefault="00FA0D20" w:rsidP="00FA0D20">
      <w:pPr>
        <w:pStyle w:val="Bullet1"/>
      </w:pPr>
      <w:r w:rsidRPr="008E4115">
        <w:t xml:space="preserve">full blood count </w:t>
      </w:r>
    </w:p>
    <w:p w14:paraId="1574F69A" w14:textId="77777777" w:rsidR="00FA0D20" w:rsidRPr="008E4115" w:rsidRDefault="00FA0D20" w:rsidP="00FA0D20">
      <w:pPr>
        <w:pStyle w:val="Bullet1"/>
      </w:pPr>
      <w:r w:rsidRPr="008E4115">
        <w:t xml:space="preserve">iron studies (including ferritin) </w:t>
      </w:r>
    </w:p>
    <w:p w14:paraId="4325390D" w14:textId="77777777" w:rsidR="00FA0D20" w:rsidRPr="008E4115" w:rsidRDefault="00FA0D20" w:rsidP="00FA0D20">
      <w:pPr>
        <w:pStyle w:val="Bullet1"/>
      </w:pPr>
      <w:r w:rsidRPr="008E4115">
        <w:t xml:space="preserve">C-reactive protein (CRP) </w:t>
      </w:r>
    </w:p>
    <w:p w14:paraId="060A9007" w14:textId="77777777" w:rsidR="00FA0D20" w:rsidRPr="008E4115" w:rsidRDefault="00FA0D20" w:rsidP="00FA0D20">
      <w:pPr>
        <w:pStyle w:val="Bullet1"/>
      </w:pPr>
      <w:r w:rsidRPr="008E4115">
        <w:t xml:space="preserve">renal function. </w:t>
      </w:r>
    </w:p>
    <w:p w14:paraId="4349D355" w14:textId="76DAF6B6" w:rsidR="00CC757F" w:rsidRDefault="00CC757F" w:rsidP="00FA0D20">
      <w:pPr>
        <w:pStyle w:val="Bodyafterbullets"/>
      </w:pPr>
      <w:r>
        <w:lastRenderedPageBreak/>
        <w:t>The audit shows that</w:t>
      </w:r>
      <w:r w:rsidR="00FA0D20" w:rsidRPr="008843F0">
        <w:t xml:space="preserve"> 1,204 of the 1,250 (96 per cent) had some testing completed as part of the preoperative assessment. </w:t>
      </w:r>
    </w:p>
    <w:p w14:paraId="04051B8B" w14:textId="5D40886A" w:rsidR="00CC757F" w:rsidRDefault="00FA0D20" w:rsidP="00FA0D20">
      <w:pPr>
        <w:pStyle w:val="Bodyafterbullets"/>
      </w:pPr>
      <w:r w:rsidRPr="008843F0">
        <w:t xml:space="preserve">Of those reported as </w:t>
      </w:r>
      <w:r w:rsidRPr="008E4115">
        <w:t>assessed</w:t>
      </w:r>
      <w:r w:rsidRPr="008843F0">
        <w:t xml:space="preserve">, 1,198 (96 per cent) had FBE. Other tests that might help to determine the cause of anaemia were less commonly performed. </w:t>
      </w:r>
    </w:p>
    <w:p w14:paraId="5E440A06" w14:textId="023D4823" w:rsidR="00FA0D20" w:rsidRPr="008843F0" w:rsidRDefault="00FA0D20" w:rsidP="00FA0D20">
      <w:pPr>
        <w:pStyle w:val="Bodyafterbullets"/>
      </w:pPr>
      <w:r w:rsidRPr="008843F0">
        <w:t xml:space="preserve">Renal function was assessed in 880 (70 per cent), 588 (47 per cent) had ferritin levels tested, and 343 (27 per cent) had CRP measured. </w:t>
      </w:r>
    </w:p>
    <w:p w14:paraId="29A4D032" w14:textId="2AB43325" w:rsidR="00CC757F" w:rsidRDefault="00CC757F" w:rsidP="00FA0D20">
      <w:pPr>
        <w:pStyle w:val="Body"/>
      </w:pPr>
      <w:r>
        <w:t xml:space="preserve">An </w:t>
      </w:r>
      <w:r w:rsidR="00FA0D20" w:rsidRPr="008843F0">
        <w:t xml:space="preserve">FBE only </w:t>
      </w:r>
      <w:r>
        <w:t>identifies</w:t>
      </w:r>
      <w:r w:rsidRPr="008843F0">
        <w:t xml:space="preserve"> </w:t>
      </w:r>
      <w:r w:rsidR="00FA0D20" w:rsidRPr="008843F0">
        <w:t>anaemia status</w:t>
      </w:r>
      <w:r>
        <w:t>.</w:t>
      </w:r>
      <w:r w:rsidRPr="008843F0">
        <w:t xml:space="preserve"> </w:t>
      </w:r>
      <w:r>
        <w:t>It does not help to</w:t>
      </w:r>
      <w:r w:rsidR="00FA0D20" w:rsidRPr="008843F0">
        <w:t xml:space="preserve"> determine the cause of anaemia or, for patients who are not anaemic, if </w:t>
      </w:r>
      <w:r>
        <w:t xml:space="preserve">the person is </w:t>
      </w:r>
      <w:r w:rsidR="00FA0D20" w:rsidRPr="008843F0">
        <w:t xml:space="preserve">at risk of anaemia associated with iron deficiency. </w:t>
      </w:r>
    </w:p>
    <w:p w14:paraId="05FCA59A" w14:textId="5E1AD101" w:rsidR="00CC757F" w:rsidRDefault="00FA0D20" w:rsidP="00FA0D20">
      <w:pPr>
        <w:pStyle w:val="Body"/>
      </w:pPr>
      <w:r w:rsidRPr="008843F0">
        <w:t xml:space="preserve">While renal function and CRP may be tested later following abnormal haemoglobin results, all patients should have a ferritin </w:t>
      </w:r>
      <w:r w:rsidR="00CC757F">
        <w:t>test</w:t>
      </w:r>
      <w:r w:rsidR="00CC757F" w:rsidRPr="008843F0">
        <w:t xml:space="preserve"> </w:t>
      </w:r>
      <w:r w:rsidRPr="008843F0">
        <w:t xml:space="preserve">to check for iron deficiency. </w:t>
      </w:r>
    </w:p>
    <w:p w14:paraId="73416BD5" w14:textId="7CCB6C25" w:rsidR="00FA0D20" w:rsidRPr="008843F0" w:rsidRDefault="00FA0D20" w:rsidP="00FA0D20">
      <w:pPr>
        <w:pStyle w:val="Body"/>
      </w:pPr>
      <w:r w:rsidRPr="008843F0">
        <w:t>If patients go to surgery with low iron levels</w:t>
      </w:r>
      <w:r w:rsidR="00CC757F">
        <w:t>,</w:t>
      </w:r>
      <w:r w:rsidRPr="008843F0">
        <w:t xml:space="preserve"> they may have difficulty maintaining or replacing haemoglobin levels when there is substantial intraoperative blood loss, as anticipated in the surgeries included in this audit.</w:t>
      </w:r>
    </w:p>
    <w:p w14:paraId="2FD2BA8C" w14:textId="02DECC39" w:rsidR="00FA0D20" w:rsidRPr="008843F0" w:rsidRDefault="00726913" w:rsidP="00FA0D20">
      <w:pPr>
        <w:pStyle w:val="Body"/>
      </w:pPr>
      <w:r>
        <w:t>Table 4</w:t>
      </w:r>
      <w:r w:rsidR="00FA0D20" w:rsidRPr="008843F0">
        <w:t xml:space="preserve"> documents the screening tests reported in this audit. Note that while some testing was performed for most patients, there was a small number of patients who were reported as assessed</w:t>
      </w:r>
      <w:r w:rsidR="0080220B">
        <w:t xml:space="preserve">, who had </w:t>
      </w:r>
      <w:r w:rsidR="00FA0D20" w:rsidRPr="008843F0">
        <w:t xml:space="preserve">no preoperative screening tests recorded (n = 46; </w:t>
      </w:r>
      <w:r w:rsidR="00CC757F">
        <w:t>4</w:t>
      </w:r>
      <w:r w:rsidR="00CC757F" w:rsidRPr="008843F0">
        <w:t xml:space="preserve"> </w:t>
      </w:r>
      <w:r w:rsidR="00FA0D20" w:rsidRPr="008843F0">
        <w:t xml:space="preserve">per cent). </w:t>
      </w:r>
    </w:p>
    <w:p w14:paraId="424B638D" w14:textId="315671B8" w:rsidR="00FA0D20" w:rsidRPr="008E4115" w:rsidRDefault="00FA0D20" w:rsidP="001C5B45">
      <w:pPr>
        <w:pStyle w:val="Tablecaption"/>
      </w:pPr>
      <w:bookmarkStart w:id="66" w:name="_Ref67390415"/>
      <w:r w:rsidRPr="008E4115">
        <w:t xml:space="preserve">Table </w:t>
      </w:r>
      <w:bookmarkEnd w:id="66"/>
      <w:r w:rsidR="00726913">
        <w:t>4</w:t>
      </w:r>
      <w:r w:rsidRPr="008E4115">
        <w:t>: Preoperative screening tests for patients reported as assessed (n = 1,250)</w:t>
      </w:r>
    </w:p>
    <w:tbl>
      <w:tblPr>
        <w:tblStyle w:val="TableGrid1"/>
        <w:tblW w:w="8959" w:type="dxa"/>
        <w:tblLayout w:type="fixed"/>
        <w:tblLook w:val="04A0" w:firstRow="1" w:lastRow="0" w:firstColumn="1" w:lastColumn="0" w:noHBand="0" w:noVBand="1"/>
      </w:tblPr>
      <w:tblGrid>
        <w:gridCol w:w="1764"/>
        <w:gridCol w:w="1453"/>
        <w:gridCol w:w="1453"/>
        <w:gridCol w:w="1453"/>
        <w:gridCol w:w="1453"/>
        <w:gridCol w:w="1383"/>
      </w:tblGrid>
      <w:tr w:rsidR="00FA0D20" w:rsidRPr="008843F0" w14:paraId="42BE7865" w14:textId="77777777" w:rsidTr="002B2FD9">
        <w:tc>
          <w:tcPr>
            <w:tcW w:w="1447" w:type="dxa"/>
          </w:tcPr>
          <w:p w14:paraId="6136F821" w14:textId="77777777" w:rsidR="00FA0D20" w:rsidRPr="008843F0" w:rsidRDefault="00FA0D20" w:rsidP="003C2836">
            <w:pPr>
              <w:pStyle w:val="Tablecolhead"/>
            </w:pPr>
            <w:r w:rsidRPr="008843F0">
              <w:t>Test</w:t>
            </w:r>
          </w:p>
        </w:tc>
        <w:tc>
          <w:tcPr>
            <w:tcW w:w="1191" w:type="dxa"/>
          </w:tcPr>
          <w:p w14:paraId="14D9F703" w14:textId="20439857" w:rsidR="00FA0D20" w:rsidRPr="008843F0" w:rsidRDefault="00FA0D20" w:rsidP="003C2836">
            <w:pPr>
              <w:pStyle w:val="Tablecolhead"/>
            </w:pPr>
            <w:r w:rsidRPr="008843F0">
              <w:t>Ortho</w:t>
            </w:r>
            <w:r w:rsidR="00CC757F">
              <w:t>-</w:t>
            </w:r>
            <w:proofErr w:type="spellStart"/>
            <w:r w:rsidRPr="008843F0">
              <w:t>paedic</w:t>
            </w:r>
            <w:proofErr w:type="spellEnd"/>
            <w:r w:rsidRPr="008843F0">
              <w:t xml:space="preserve"> </w:t>
            </w:r>
          </w:p>
        </w:tc>
        <w:tc>
          <w:tcPr>
            <w:tcW w:w="1191" w:type="dxa"/>
          </w:tcPr>
          <w:p w14:paraId="08E5EC95" w14:textId="5C37F262" w:rsidR="00FA0D20" w:rsidRPr="008843F0" w:rsidRDefault="00FA0D20" w:rsidP="003C2836">
            <w:pPr>
              <w:pStyle w:val="Tablecolhead"/>
            </w:pPr>
            <w:r w:rsidRPr="008843F0">
              <w:t>Gynae</w:t>
            </w:r>
            <w:r w:rsidR="00CC757F">
              <w:t>-</w:t>
            </w:r>
            <w:proofErr w:type="spellStart"/>
            <w:r w:rsidRPr="008843F0">
              <w:t>cology</w:t>
            </w:r>
            <w:proofErr w:type="spellEnd"/>
          </w:p>
        </w:tc>
        <w:tc>
          <w:tcPr>
            <w:tcW w:w="1191" w:type="dxa"/>
          </w:tcPr>
          <w:p w14:paraId="77B1D655" w14:textId="695A7CF4" w:rsidR="00FA0D20" w:rsidRPr="008843F0" w:rsidRDefault="00FA0D20" w:rsidP="003C2836">
            <w:pPr>
              <w:pStyle w:val="Tablecolhead"/>
            </w:pPr>
            <w:r w:rsidRPr="008843F0">
              <w:t>Major gastro</w:t>
            </w:r>
            <w:r w:rsidR="00CC757F">
              <w:t>-</w:t>
            </w:r>
            <w:r w:rsidRPr="008843F0">
              <w:t>intestinal</w:t>
            </w:r>
          </w:p>
        </w:tc>
        <w:tc>
          <w:tcPr>
            <w:tcW w:w="1191" w:type="dxa"/>
          </w:tcPr>
          <w:p w14:paraId="7C7882A5" w14:textId="4F78974C" w:rsidR="00FA0D20" w:rsidRPr="008843F0" w:rsidRDefault="00FA0D20" w:rsidP="003C2836">
            <w:pPr>
              <w:pStyle w:val="Tablecolhead"/>
            </w:pPr>
            <w:r w:rsidRPr="008843F0">
              <w:t>Cardio</w:t>
            </w:r>
            <w:r w:rsidR="00CC757F">
              <w:t>-</w:t>
            </w:r>
            <w:r w:rsidRPr="008843F0">
              <w:t xml:space="preserve">thoracic </w:t>
            </w:r>
          </w:p>
        </w:tc>
        <w:tc>
          <w:tcPr>
            <w:tcW w:w="1134" w:type="dxa"/>
          </w:tcPr>
          <w:p w14:paraId="3638F93D" w14:textId="77777777" w:rsidR="00FA0D20" w:rsidRPr="008843F0" w:rsidRDefault="00FA0D20" w:rsidP="003C2836">
            <w:pPr>
              <w:pStyle w:val="Tablecolhead"/>
            </w:pPr>
            <w:r w:rsidRPr="008843F0">
              <w:t>Total</w:t>
            </w:r>
          </w:p>
        </w:tc>
      </w:tr>
      <w:tr w:rsidR="00FA0D20" w:rsidRPr="008843F0" w14:paraId="357AFE9D" w14:textId="77777777" w:rsidTr="002B2FD9">
        <w:tc>
          <w:tcPr>
            <w:tcW w:w="1447" w:type="dxa"/>
          </w:tcPr>
          <w:p w14:paraId="201D8F5D" w14:textId="77777777" w:rsidR="00FA0D20" w:rsidRPr="008E4115" w:rsidRDefault="00FA0D20" w:rsidP="003C2836">
            <w:pPr>
              <w:pStyle w:val="Tabletext"/>
            </w:pPr>
            <w:r w:rsidRPr="008E4115">
              <w:t>FBE</w:t>
            </w:r>
          </w:p>
        </w:tc>
        <w:tc>
          <w:tcPr>
            <w:tcW w:w="1191" w:type="dxa"/>
          </w:tcPr>
          <w:p w14:paraId="2911A001" w14:textId="77777777" w:rsidR="00FA0D20" w:rsidRPr="008E4115" w:rsidRDefault="00FA0D20" w:rsidP="002B2FD9">
            <w:pPr>
              <w:pStyle w:val="Tabletext"/>
              <w:jc w:val="right"/>
            </w:pPr>
            <w:r w:rsidRPr="008E4115">
              <w:t>635 (97%)</w:t>
            </w:r>
          </w:p>
        </w:tc>
        <w:tc>
          <w:tcPr>
            <w:tcW w:w="1191" w:type="dxa"/>
          </w:tcPr>
          <w:p w14:paraId="24340934" w14:textId="77777777" w:rsidR="00FA0D20" w:rsidRPr="008E4115" w:rsidRDefault="00FA0D20" w:rsidP="002B2FD9">
            <w:pPr>
              <w:pStyle w:val="Tabletext"/>
              <w:jc w:val="right"/>
            </w:pPr>
            <w:r w:rsidRPr="008E4115">
              <w:t>214 (89%)</w:t>
            </w:r>
          </w:p>
        </w:tc>
        <w:tc>
          <w:tcPr>
            <w:tcW w:w="1191" w:type="dxa"/>
          </w:tcPr>
          <w:p w14:paraId="7B51C443" w14:textId="77777777" w:rsidR="00FA0D20" w:rsidRPr="008E4115" w:rsidRDefault="00FA0D20" w:rsidP="002B2FD9">
            <w:pPr>
              <w:pStyle w:val="Tabletext"/>
              <w:jc w:val="right"/>
            </w:pPr>
            <w:r w:rsidRPr="008E4115">
              <w:t>241 (98%)</w:t>
            </w:r>
          </w:p>
        </w:tc>
        <w:tc>
          <w:tcPr>
            <w:tcW w:w="1191" w:type="dxa"/>
          </w:tcPr>
          <w:p w14:paraId="0AE33D46" w14:textId="77777777" w:rsidR="00FA0D20" w:rsidRPr="008E4115" w:rsidRDefault="00FA0D20" w:rsidP="002B2FD9">
            <w:pPr>
              <w:pStyle w:val="Tabletext"/>
              <w:jc w:val="right"/>
            </w:pPr>
            <w:r w:rsidRPr="008E4115">
              <w:t>108 (98%)</w:t>
            </w:r>
          </w:p>
        </w:tc>
        <w:tc>
          <w:tcPr>
            <w:tcW w:w="1134" w:type="dxa"/>
          </w:tcPr>
          <w:p w14:paraId="4AB24E84" w14:textId="77777777" w:rsidR="00FA0D20" w:rsidRPr="008E4115" w:rsidRDefault="00FA0D20" w:rsidP="002B2FD9">
            <w:pPr>
              <w:pStyle w:val="Tabletext"/>
              <w:jc w:val="right"/>
            </w:pPr>
            <w:r w:rsidRPr="008E4115">
              <w:t>1,198 (96%)</w:t>
            </w:r>
          </w:p>
        </w:tc>
      </w:tr>
      <w:tr w:rsidR="00FA0D20" w:rsidRPr="008843F0" w14:paraId="46909E0F" w14:textId="77777777" w:rsidTr="002B2FD9">
        <w:tc>
          <w:tcPr>
            <w:tcW w:w="1447" w:type="dxa"/>
          </w:tcPr>
          <w:p w14:paraId="4A868CA6" w14:textId="77777777" w:rsidR="00FA0D20" w:rsidRPr="008E4115" w:rsidRDefault="00FA0D20" w:rsidP="003C2836">
            <w:pPr>
              <w:pStyle w:val="Tabletext"/>
            </w:pPr>
            <w:r w:rsidRPr="008E4115">
              <w:t>Ferritin</w:t>
            </w:r>
          </w:p>
        </w:tc>
        <w:tc>
          <w:tcPr>
            <w:tcW w:w="1191" w:type="dxa"/>
          </w:tcPr>
          <w:p w14:paraId="26CE9E50" w14:textId="77777777" w:rsidR="00FA0D20" w:rsidRPr="008E4115" w:rsidRDefault="00FA0D20" w:rsidP="002B2FD9">
            <w:pPr>
              <w:pStyle w:val="Tabletext"/>
              <w:jc w:val="right"/>
            </w:pPr>
            <w:r w:rsidRPr="008E4115">
              <w:t>377 (58%)</w:t>
            </w:r>
          </w:p>
        </w:tc>
        <w:tc>
          <w:tcPr>
            <w:tcW w:w="1191" w:type="dxa"/>
          </w:tcPr>
          <w:p w14:paraId="5F9C2D04" w14:textId="77777777" w:rsidR="00FA0D20" w:rsidRPr="008E4115" w:rsidRDefault="00FA0D20" w:rsidP="002B2FD9">
            <w:pPr>
              <w:pStyle w:val="Tabletext"/>
              <w:jc w:val="right"/>
            </w:pPr>
            <w:r w:rsidRPr="008E4115">
              <w:t>87 (36%)</w:t>
            </w:r>
          </w:p>
        </w:tc>
        <w:tc>
          <w:tcPr>
            <w:tcW w:w="1191" w:type="dxa"/>
          </w:tcPr>
          <w:p w14:paraId="0577D703" w14:textId="77777777" w:rsidR="00FA0D20" w:rsidRPr="008E4115" w:rsidRDefault="00FA0D20" w:rsidP="002B2FD9">
            <w:pPr>
              <w:pStyle w:val="Tabletext"/>
              <w:jc w:val="right"/>
            </w:pPr>
            <w:r w:rsidRPr="008E4115">
              <w:t>83 (34%)</w:t>
            </w:r>
          </w:p>
        </w:tc>
        <w:tc>
          <w:tcPr>
            <w:tcW w:w="1191" w:type="dxa"/>
          </w:tcPr>
          <w:p w14:paraId="6180386C" w14:textId="77777777" w:rsidR="00FA0D20" w:rsidRPr="008E4115" w:rsidRDefault="00FA0D20" w:rsidP="002B2FD9">
            <w:pPr>
              <w:pStyle w:val="Tabletext"/>
              <w:jc w:val="right"/>
            </w:pPr>
            <w:r w:rsidRPr="008E4115">
              <w:t>41 (37%)</w:t>
            </w:r>
          </w:p>
        </w:tc>
        <w:tc>
          <w:tcPr>
            <w:tcW w:w="1134" w:type="dxa"/>
          </w:tcPr>
          <w:p w14:paraId="0F017921" w14:textId="77777777" w:rsidR="00FA0D20" w:rsidRPr="008E4115" w:rsidRDefault="00FA0D20" w:rsidP="002B2FD9">
            <w:pPr>
              <w:pStyle w:val="Tabletext"/>
              <w:jc w:val="right"/>
            </w:pPr>
            <w:r w:rsidRPr="008E4115">
              <w:t>588 (47%)</w:t>
            </w:r>
          </w:p>
        </w:tc>
      </w:tr>
      <w:tr w:rsidR="00FA0D20" w:rsidRPr="008843F0" w14:paraId="20E7FE7B" w14:textId="77777777" w:rsidTr="002B2FD9">
        <w:tc>
          <w:tcPr>
            <w:tcW w:w="1447" w:type="dxa"/>
          </w:tcPr>
          <w:p w14:paraId="350C92B2" w14:textId="77777777" w:rsidR="00FA0D20" w:rsidRPr="008E4115" w:rsidRDefault="00FA0D20" w:rsidP="003C2836">
            <w:pPr>
              <w:pStyle w:val="Tabletext"/>
            </w:pPr>
            <w:r w:rsidRPr="008E4115">
              <w:t>CRP</w:t>
            </w:r>
          </w:p>
        </w:tc>
        <w:tc>
          <w:tcPr>
            <w:tcW w:w="1191" w:type="dxa"/>
          </w:tcPr>
          <w:p w14:paraId="3E648A0F" w14:textId="77777777" w:rsidR="00FA0D20" w:rsidRPr="008E4115" w:rsidRDefault="00FA0D20" w:rsidP="002B2FD9">
            <w:pPr>
              <w:pStyle w:val="Tabletext"/>
              <w:jc w:val="right"/>
            </w:pPr>
            <w:r w:rsidRPr="008E4115">
              <w:t>210 (32%)</w:t>
            </w:r>
          </w:p>
        </w:tc>
        <w:tc>
          <w:tcPr>
            <w:tcW w:w="1191" w:type="dxa"/>
          </w:tcPr>
          <w:p w14:paraId="321141A9" w14:textId="77777777" w:rsidR="00FA0D20" w:rsidRPr="008E4115" w:rsidRDefault="00FA0D20" w:rsidP="002B2FD9">
            <w:pPr>
              <w:pStyle w:val="Tabletext"/>
              <w:jc w:val="right"/>
            </w:pPr>
            <w:r w:rsidRPr="008E4115">
              <w:t>40 (17%)</w:t>
            </w:r>
          </w:p>
        </w:tc>
        <w:tc>
          <w:tcPr>
            <w:tcW w:w="1191" w:type="dxa"/>
          </w:tcPr>
          <w:p w14:paraId="5B10AC90" w14:textId="77777777" w:rsidR="00FA0D20" w:rsidRPr="008E4115" w:rsidRDefault="00FA0D20" w:rsidP="002B2FD9">
            <w:pPr>
              <w:pStyle w:val="Tabletext"/>
              <w:jc w:val="right"/>
            </w:pPr>
            <w:r w:rsidRPr="008E4115">
              <w:t>62 (25%)</w:t>
            </w:r>
          </w:p>
        </w:tc>
        <w:tc>
          <w:tcPr>
            <w:tcW w:w="1191" w:type="dxa"/>
          </w:tcPr>
          <w:p w14:paraId="29B8E4AF" w14:textId="77777777" w:rsidR="00FA0D20" w:rsidRPr="008E4115" w:rsidRDefault="00FA0D20" w:rsidP="002B2FD9">
            <w:pPr>
              <w:pStyle w:val="Tabletext"/>
              <w:jc w:val="right"/>
            </w:pPr>
            <w:r w:rsidRPr="008E4115">
              <w:t>31 (28%)</w:t>
            </w:r>
          </w:p>
        </w:tc>
        <w:tc>
          <w:tcPr>
            <w:tcW w:w="1134" w:type="dxa"/>
          </w:tcPr>
          <w:p w14:paraId="3529D548" w14:textId="77777777" w:rsidR="00FA0D20" w:rsidRPr="008E4115" w:rsidRDefault="00FA0D20" w:rsidP="002B2FD9">
            <w:pPr>
              <w:pStyle w:val="Tabletext"/>
              <w:jc w:val="right"/>
            </w:pPr>
            <w:r w:rsidRPr="008E4115">
              <w:t>343 (27%)</w:t>
            </w:r>
          </w:p>
        </w:tc>
      </w:tr>
      <w:tr w:rsidR="00FA0D20" w:rsidRPr="008843F0" w14:paraId="07F131C1" w14:textId="77777777" w:rsidTr="002B2FD9">
        <w:tc>
          <w:tcPr>
            <w:tcW w:w="1447" w:type="dxa"/>
          </w:tcPr>
          <w:p w14:paraId="7F1A678E" w14:textId="77777777" w:rsidR="00FA0D20" w:rsidRPr="008E4115" w:rsidRDefault="00FA0D20" w:rsidP="003C2836">
            <w:pPr>
              <w:pStyle w:val="Tabletext"/>
            </w:pPr>
            <w:r w:rsidRPr="008E4115">
              <w:t>Renal function</w:t>
            </w:r>
          </w:p>
        </w:tc>
        <w:tc>
          <w:tcPr>
            <w:tcW w:w="1191" w:type="dxa"/>
          </w:tcPr>
          <w:p w14:paraId="3303BF9A" w14:textId="77777777" w:rsidR="00FA0D20" w:rsidRPr="008E4115" w:rsidRDefault="00FA0D20" w:rsidP="002B2FD9">
            <w:pPr>
              <w:pStyle w:val="Tabletext"/>
              <w:jc w:val="right"/>
            </w:pPr>
            <w:r w:rsidRPr="008E4115">
              <w:t>518 (79%)</w:t>
            </w:r>
          </w:p>
        </w:tc>
        <w:tc>
          <w:tcPr>
            <w:tcW w:w="1191" w:type="dxa"/>
          </w:tcPr>
          <w:p w14:paraId="31DA4B17" w14:textId="77777777" w:rsidR="00FA0D20" w:rsidRPr="008E4115" w:rsidRDefault="00FA0D20" w:rsidP="002B2FD9">
            <w:pPr>
              <w:pStyle w:val="Tabletext"/>
              <w:jc w:val="right"/>
            </w:pPr>
            <w:r w:rsidRPr="008E4115">
              <w:t>75 (31%)</w:t>
            </w:r>
          </w:p>
        </w:tc>
        <w:tc>
          <w:tcPr>
            <w:tcW w:w="1191" w:type="dxa"/>
          </w:tcPr>
          <w:p w14:paraId="1E7F8A86" w14:textId="77777777" w:rsidR="00FA0D20" w:rsidRPr="008E4115" w:rsidRDefault="00FA0D20" w:rsidP="002B2FD9">
            <w:pPr>
              <w:pStyle w:val="Tabletext"/>
              <w:jc w:val="right"/>
            </w:pPr>
            <w:r w:rsidRPr="008E4115">
              <w:t>189 (77%)</w:t>
            </w:r>
          </w:p>
        </w:tc>
        <w:tc>
          <w:tcPr>
            <w:tcW w:w="1191" w:type="dxa"/>
          </w:tcPr>
          <w:p w14:paraId="1DF1F001" w14:textId="77777777" w:rsidR="00FA0D20" w:rsidRPr="008E4115" w:rsidRDefault="00FA0D20" w:rsidP="002B2FD9">
            <w:pPr>
              <w:pStyle w:val="Tabletext"/>
              <w:jc w:val="right"/>
            </w:pPr>
            <w:r w:rsidRPr="008E4115">
              <w:t>98 (89%)</w:t>
            </w:r>
          </w:p>
        </w:tc>
        <w:tc>
          <w:tcPr>
            <w:tcW w:w="1134" w:type="dxa"/>
          </w:tcPr>
          <w:p w14:paraId="6591081D" w14:textId="77777777" w:rsidR="00FA0D20" w:rsidRPr="008E4115" w:rsidRDefault="00FA0D20" w:rsidP="002B2FD9">
            <w:pPr>
              <w:pStyle w:val="Tabletext"/>
              <w:jc w:val="right"/>
            </w:pPr>
            <w:r w:rsidRPr="008E4115">
              <w:t>880 (70%)</w:t>
            </w:r>
          </w:p>
        </w:tc>
      </w:tr>
      <w:tr w:rsidR="00FA0D20" w:rsidRPr="008843F0" w14:paraId="72F5B749" w14:textId="77777777" w:rsidTr="002B2FD9">
        <w:tc>
          <w:tcPr>
            <w:tcW w:w="1447" w:type="dxa"/>
          </w:tcPr>
          <w:p w14:paraId="4B0E7E32" w14:textId="77777777" w:rsidR="00FA0D20" w:rsidRPr="008E4115" w:rsidRDefault="00FA0D20" w:rsidP="003C2836">
            <w:pPr>
              <w:pStyle w:val="Tabletext"/>
            </w:pPr>
            <w:r w:rsidRPr="008E4115">
              <w:t>No testing</w:t>
            </w:r>
          </w:p>
        </w:tc>
        <w:tc>
          <w:tcPr>
            <w:tcW w:w="1191" w:type="dxa"/>
          </w:tcPr>
          <w:p w14:paraId="060C3024" w14:textId="77777777" w:rsidR="00FA0D20" w:rsidRPr="008E4115" w:rsidRDefault="00FA0D20" w:rsidP="002B2FD9">
            <w:pPr>
              <w:pStyle w:val="Tabletext"/>
              <w:jc w:val="right"/>
            </w:pPr>
            <w:r w:rsidRPr="008E4115">
              <w:t>15 (2%)</w:t>
            </w:r>
          </w:p>
        </w:tc>
        <w:tc>
          <w:tcPr>
            <w:tcW w:w="1191" w:type="dxa"/>
          </w:tcPr>
          <w:p w14:paraId="1C9F7EBE" w14:textId="77777777" w:rsidR="00FA0D20" w:rsidRPr="008E4115" w:rsidRDefault="00FA0D20" w:rsidP="002B2FD9">
            <w:pPr>
              <w:pStyle w:val="Tabletext"/>
              <w:jc w:val="right"/>
            </w:pPr>
            <w:r w:rsidRPr="008E4115">
              <w:t>26 (11%)</w:t>
            </w:r>
          </w:p>
        </w:tc>
        <w:tc>
          <w:tcPr>
            <w:tcW w:w="1191" w:type="dxa"/>
          </w:tcPr>
          <w:p w14:paraId="2DCDF233" w14:textId="77777777" w:rsidR="00FA0D20" w:rsidRPr="008E4115" w:rsidRDefault="00FA0D20" w:rsidP="002B2FD9">
            <w:pPr>
              <w:pStyle w:val="Tabletext"/>
              <w:jc w:val="right"/>
            </w:pPr>
            <w:r w:rsidRPr="008E4115">
              <w:t>4 (2%)</w:t>
            </w:r>
          </w:p>
        </w:tc>
        <w:tc>
          <w:tcPr>
            <w:tcW w:w="1191" w:type="dxa"/>
          </w:tcPr>
          <w:p w14:paraId="50D16AB0" w14:textId="77777777" w:rsidR="00FA0D20" w:rsidRPr="008E4115" w:rsidRDefault="00FA0D20" w:rsidP="002B2FD9">
            <w:pPr>
              <w:pStyle w:val="Tabletext"/>
              <w:jc w:val="right"/>
            </w:pPr>
            <w:r w:rsidRPr="008E4115">
              <w:t>1 (1%)</w:t>
            </w:r>
          </w:p>
        </w:tc>
        <w:tc>
          <w:tcPr>
            <w:tcW w:w="1134" w:type="dxa"/>
          </w:tcPr>
          <w:p w14:paraId="0CF6CBD1" w14:textId="77777777" w:rsidR="00FA0D20" w:rsidRPr="008E4115" w:rsidRDefault="00FA0D20" w:rsidP="002B2FD9">
            <w:pPr>
              <w:pStyle w:val="Tabletext"/>
              <w:jc w:val="right"/>
            </w:pPr>
            <w:r w:rsidRPr="008E4115">
              <w:t>46 (4%)</w:t>
            </w:r>
          </w:p>
        </w:tc>
      </w:tr>
    </w:tbl>
    <w:p w14:paraId="2F215756" w14:textId="061FB6C9" w:rsidR="000F5DEB" w:rsidRDefault="00FA0D20" w:rsidP="00FA0D20">
      <w:pPr>
        <w:pStyle w:val="Bodyaftertablefigure"/>
      </w:pPr>
      <w:r w:rsidRPr="008843F0">
        <w:t xml:space="preserve">As </w:t>
      </w:r>
      <w:r w:rsidR="00CC757F">
        <w:t>shown</w:t>
      </w:r>
      <w:r w:rsidR="00CC757F" w:rsidRPr="008843F0">
        <w:t xml:space="preserve"> </w:t>
      </w:r>
      <w:r w:rsidR="00726913">
        <w:t xml:space="preserve">in Table </w:t>
      </w:r>
      <w:proofErr w:type="gramStart"/>
      <w:r w:rsidR="00726913">
        <w:t>4</w:t>
      </w:r>
      <w:r w:rsidRPr="008843F0">
        <w:t xml:space="preserve"> ,</w:t>
      </w:r>
      <w:proofErr w:type="gramEnd"/>
      <w:r w:rsidRPr="008843F0">
        <w:t xml:space="preserve"> patients attending for gynaecology surgery were generally less likely to have an FBE, renal function tests or CRP than other surgical groups, with only 87 (36 per cent) having a ferritin test. </w:t>
      </w:r>
    </w:p>
    <w:p w14:paraId="57856BB9" w14:textId="59293245" w:rsidR="00FA0D20" w:rsidRPr="008843F0" w:rsidRDefault="00FA0D20" w:rsidP="002B2FD9">
      <w:pPr>
        <w:pStyle w:val="Body"/>
      </w:pPr>
      <w:r w:rsidRPr="008843F0">
        <w:t>This may be because the surgery is seen as a treatment for ongoing blood loss</w:t>
      </w:r>
      <w:r w:rsidR="000F5DEB">
        <w:t xml:space="preserve"> and thus</w:t>
      </w:r>
      <w:r w:rsidR="000F5DEB" w:rsidRPr="008843F0">
        <w:t xml:space="preserve"> </w:t>
      </w:r>
      <w:r w:rsidRPr="008843F0">
        <w:t xml:space="preserve">further treatment is unnecessary, or </w:t>
      </w:r>
      <w:r w:rsidR="000F5DEB">
        <w:t xml:space="preserve">that </w:t>
      </w:r>
      <w:r w:rsidRPr="008843F0">
        <w:t xml:space="preserve">iron replacement or other appropriate </w:t>
      </w:r>
      <w:r w:rsidRPr="00F95181">
        <w:t>measures</w:t>
      </w:r>
      <w:r w:rsidRPr="008843F0">
        <w:t xml:space="preserve"> are being taken. If the latter is the case, it is still necessary to check that any treatment is having the desired effect.</w:t>
      </w:r>
    </w:p>
    <w:p w14:paraId="511C2A25" w14:textId="1F822AFD" w:rsidR="000F5DEB" w:rsidRDefault="00FA0D20" w:rsidP="00FA0D20">
      <w:pPr>
        <w:pStyle w:val="Body"/>
      </w:pPr>
      <w:r w:rsidRPr="008843F0">
        <w:t xml:space="preserve">In an anaemic adult, a ferritin level below </w:t>
      </w:r>
      <w:r w:rsidRPr="008E4115">
        <w:t>15</w:t>
      </w:r>
      <w:r w:rsidRPr="008843F0">
        <w:t xml:space="preserve"> g/L is diagnostic of iron deficiency</w:t>
      </w:r>
      <w:r w:rsidR="000F5DEB">
        <w:t>,</w:t>
      </w:r>
      <w:r w:rsidR="000F5DEB" w:rsidRPr="008843F0">
        <w:t xml:space="preserve"> </w:t>
      </w:r>
      <w:r w:rsidRPr="008843F0">
        <w:t xml:space="preserve">and levels between 15 and 30 g/L are highly suggestive. Lower thresholds (from 10 to 12 g/L) </w:t>
      </w:r>
      <w:r w:rsidR="000F5DEB">
        <w:t>are</w:t>
      </w:r>
      <w:r w:rsidRPr="008843F0">
        <w:t xml:space="preserve"> used for children. </w:t>
      </w:r>
    </w:p>
    <w:p w14:paraId="176CE3B3" w14:textId="06D33C73" w:rsidR="000F5DEB" w:rsidRDefault="00FA0D20" w:rsidP="00FA0D20">
      <w:pPr>
        <w:pStyle w:val="Body"/>
      </w:pPr>
      <w:r w:rsidRPr="008843F0">
        <w:t xml:space="preserve">Ferritin levels alone are of limited value in </w:t>
      </w:r>
      <w:r>
        <w:t>excluding</w:t>
      </w:r>
      <w:r w:rsidRPr="008843F0">
        <w:t xml:space="preserve"> iron deficiency</w:t>
      </w:r>
      <w:r w:rsidR="000F5DEB">
        <w:t>,</w:t>
      </w:r>
      <w:r w:rsidRPr="008843F0">
        <w:t xml:space="preserve"> as they can become elevated in inflammation, infection, liver and kidney disease, malignancy, obesity and advanced age. Diagnosis of iron deficiency may be obscured by inflammation, as ferritin concentrations are increased (Pasricha </w:t>
      </w:r>
      <w:proofErr w:type="gramStart"/>
      <w:r w:rsidRPr="008843F0">
        <w:t>et</w:t>
      </w:r>
      <w:r w:rsidR="000F5DEB">
        <w:t xml:space="preserve"> </w:t>
      </w:r>
      <w:r w:rsidRPr="008843F0">
        <w:t>.</w:t>
      </w:r>
      <w:proofErr w:type="gramEnd"/>
      <w:r w:rsidRPr="008843F0">
        <w:t xml:space="preserve">al. 2021). </w:t>
      </w:r>
    </w:p>
    <w:p w14:paraId="348269F4" w14:textId="55ED9B55" w:rsidR="00FA0D20" w:rsidRPr="008843F0" w:rsidRDefault="000F5DEB" w:rsidP="00FA0D20">
      <w:pPr>
        <w:pStyle w:val="Body"/>
      </w:pPr>
      <w:r>
        <w:t xml:space="preserve">The </w:t>
      </w:r>
      <w:r w:rsidR="00FA0D20" w:rsidRPr="008843F0">
        <w:t>Module 2 template recommends treatment and/or investigation for iron deficiency in patients with a ferritin less than 30</w:t>
      </w:r>
      <w:r>
        <w:t> </w:t>
      </w:r>
      <w:r w:rsidR="00FA0D20" w:rsidRPr="008843F0">
        <w:t xml:space="preserve">mcg/L. In this audit, 43 patients were anaemic with iron deficiency according to the Module 2 template. </w:t>
      </w:r>
    </w:p>
    <w:p w14:paraId="50711193" w14:textId="70C2BD0C" w:rsidR="000F5DEB" w:rsidRDefault="00FA0D20" w:rsidP="00FA0D20">
      <w:pPr>
        <w:pStyle w:val="Body"/>
      </w:pPr>
      <w:r w:rsidRPr="008843F0">
        <w:lastRenderedPageBreak/>
        <w:t xml:space="preserve">Of the 1,250 patients reported as having a preoperative assessment, 588 (47 per cent) had ferritin levels evaluated as part of the assessment. Of the patients documented as anaemic or iron deficient by the health service (n = 132), 32 (24 per cent) did not have a ferritin level taken as part of the investigations. </w:t>
      </w:r>
    </w:p>
    <w:p w14:paraId="0A279601" w14:textId="2B946F8D" w:rsidR="00FA0D20" w:rsidRPr="008843F0" w:rsidRDefault="000F5DEB" w:rsidP="00FA0D20">
      <w:pPr>
        <w:pStyle w:val="Body"/>
      </w:pPr>
      <w:r>
        <w:t xml:space="preserve">The </w:t>
      </w:r>
      <w:r w:rsidR="00FA0D20" w:rsidRPr="008843F0">
        <w:t xml:space="preserve">Module 2 template recommends that patients identified as anaemic with a ferritin level of between 30 and 100 mcg/L should have a CRP level tested. Of the 29 patients fitting this cohort, </w:t>
      </w:r>
      <w:r w:rsidRPr="008843F0">
        <w:t>10</w:t>
      </w:r>
      <w:r>
        <w:t> </w:t>
      </w:r>
      <w:r w:rsidR="00FA0D20" w:rsidRPr="008843F0">
        <w:t>(34 per cent) had a CRP available at the preoperative assessment, with five returning an elevated result</w:t>
      </w:r>
      <w:r>
        <w:t>,</w:t>
      </w:r>
      <w:r w:rsidR="00FA0D20" w:rsidRPr="008843F0">
        <w:t xml:space="preserve"> which suggests the ferritin result may be falsely elevated.</w:t>
      </w:r>
    </w:p>
    <w:p w14:paraId="6204318B" w14:textId="0C3C783F" w:rsidR="000F5DEB" w:rsidRDefault="00FA0D20" w:rsidP="00FA0D20">
      <w:pPr>
        <w:pStyle w:val="Body"/>
      </w:pPr>
      <w:r w:rsidRPr="008843F0">
        <w:t>For patients who were preoperatively assessed and did not meet the definition of anaemia (n = 1,057), 481 (46 per cent) had ferritin tested. Of these</w:t>
      </w:r>
      <w:r w:rsidR="000F5DEB">
        <w:t>,</w:t>
      </w:r>
      <w:r w:rsidRPr="008843F0">
        <w:t xml:space="preserve"> 55 (11 per cent) were iron deficient, as defined by Module 2 (ferritin less than 30 mcg/L). </w:t>
      </w:r>
    </w:p>
    <w:p w14:paraId="470413A0" w14:textId="437E51A6" w:rsidR="000F5DEB" w:rsidRDefault="00FA0D20" w:rsidP="00FA0D20">
      <w:pPr>
        <w:pStyle w:val="Body"/>
      </w:pPr>
      <w:r w:rsidRPr="008843F0">
        <w:t xml:space="preserve">A further 174 (36 per cent) patients were possibly iron deplete (ferritin level between 30 and 100 mcg/L). Of these patients, 72 had CRP testing with nine returning an elevated result. </w:t>
      </w:r>
    </w:p>
    <w:p w14:paraId="7A04C975" w14:textId="24B175E2" w:rsidR="000F5DEB" w:rsidRDefault="00FA0D20" w:rsidP="00FA0D20">
      <w:pPr>
        <w:pStyle w:val="Body"/>
      </w:pPr>
      <w:r w:rsidRPr="008843F0">
        <w:t xml:space="preserve">The template recommends that patients with ferritin levels between 30 and 100 mcg/L should be considered for iron therapy if it is anticipated that postoperative Hb decrease is equal to or greater than 30 g/L. </w:t>
      </w:r>
    </w:p>
    <w:p w14:paraId="2BB2481B" w14:textId="0D8F59AC" w:rsidR="00FA0D20" w:rsidRDefault="00726913" w:rsidP="00FA0D20">
      <w:pPr>
        <w:pStyle w:val="Body"/>
      </w:pPr>
      <w:r>
        <w:t>Table 5</w:t>
      </w:r>
      <w:r w:rsidR="00FA0D20" w:rsidRPr="008843F0">
        <w:t xml:space="preserve"> shows 174</w:t>
      </w:r>
      <w:r w:rsidR="00FA0D20">
        <w:t xml:space="preserve"> p</w:t>
      </w:r>
      <w:r w:rsidR="00FA0D20" w:rsidRPr="00C533FC">
        <w:t xml:space="preserve">atients </w:t>
      </w:r>
      <w:r w:rsidR="00FA0D20">
        <w:t xml:space="preserve">were </w:t>
      </w:r>
      <w:r w:rsidR="00FA0D20" w:rsidRPr="00C533FC">
        <w:t xml:space="preserve">determined non-anaemic </w:t>
      </w:r>
      <w:r w:rsidR="00FA0D20">
        <w:t>with</w:t>
      </w:r>
      <w:r w:rsidR="00FA0D20" w:rsidRPr="00C533FC">
        <w:t xml:space="preserve"> ferritin 30</w:t>
      </w:r>
      <w:r w:rsidR="000F5DEB">
        <w:t>–</w:t>
      </w:r>
      <w:r w:rsidR="00FA0D20" w:rsidRPr="00C533FC">
        <w:t xml:space="preserve">100 mcg/L (possible iron depletion </w:t>
      </w:r>
      <w:r w:rsidR="000F5DEB">
        <w:t>–</w:t>
      </w:r>
      <w:r w:rsidR="000F5DEB" w:rsidRPr="00C533FC">
        <w:t xml:space="preserve"> </w:t>
      </w:r>
      <w:r w:rsidR="00FA0D20" w:rsidRPr="00C533FC">
        <w:t>as defined by Module 2</w:t>
      </w:r>
      <w:r w:rsidR="005761FF" w:rsidRPr="00C533FC">
        <w:t>)</w:t>
      </w:r>
      <w:r w:rsidR="005761FF">
        <w:t>. However,</w:t>
      </w:r>
      <w:r w:rsidR="005761FF" w:rsidRPr="008843F0">
        <w:t xml:space="preserve"> </w:t>
      </w:r>
      <w:r w:rsidR="00FA0D20" w:rsidRPr="008843F0">
        <w:t>158 (91 per cent</w:t>
      </w:r>
      <w:r w:rsidR="00FA0D20">
        <w:t>)</w:t>
      </w:r>
      <w:r w:rsidR="00FA0D20" w:rsidRPr="00C533FC">
        <w:t xml:space="preserve"> </w:t>
      </w:r>
      <w:r w:rsidR="00FA0D20">
        <w:t xml:space="preserve">of these were </w:t>
      </w:r>
      <w:r w:rsidR="00FA0D20" w:rsidRPr="008843F0">
        <w:t xml:space="preserve">not identified </w:t>
      </w:r>
      <w:r w:rsidR="00FA0D20">
        <w:t xml:space="preserve">by the health service or </w:t>
      </w:r>
      <w:r w:rsidR="00FA0D20" w:rsidRPr="008843F0">
        <w:t>treated</w:t>
      </w:r>
      <w:r w:rsidR="005761FF">
        <w:t>,</w:t>
      </w:r>
      <w:r w:rsidR="00FA0D20" w:rsidRPr="008843F0">
        <w:t xml:space="preserve"> where</w:t>
      </w:r>
      <w:r w:rsidR="005761FF">
        <w:t>as</w:t>
      </w:r>
      <w:r w:rsidR="00FA0D20" w:rsidRPr="008843F0">
        <w:t xml:space="preserve"> the </w:t>
      </w:r>
      <w:r w:rsidR="00FA0D20">
        <w:t xml:space="preserve">Module 2 </w:t>
      </w:r>
      <w:r w:rsidR="00FA0D20" w:rsidRPr="008843F0">
        <w:t>template recommends iron therapy</w:t>
      </w:r>
      <w:r w:rsidR="00FA0D20">
        <w:t>.</w:t>
      </w:r>
    </w:p>
    <w:p w14:paraId="7184FFEF" w14:textId="7A5CBC0D" w:rsidR="00FA0D20" w:rsidRPr="008843F0" w:rsidRDefault="00726913" w:rsidP="001C5B45">
      <w:pPr>
        <w:pStyle w:val="Tablecaption"/>
      </w:pPr>
      <w:r>
        <w:t>Table 5</w:t>
      </w:r>
      <w:r w:rsidR="00FA0D20" w:rsidRPr="008843F0">
        <w:t xml:space="preserve">: Patients </w:t>
      </w:r>
      <w:r w:rsidR="00FA0D20" w:rsidRPr="001C5B45">
        <w:t>determined</w:t>
      </w:r>
      <w:r w:rsidR="00FA0D20" w:rsidRPr="008843F0">
        <w:t xml:space="preserve"> as non-anaemic but having ferritin 30–100 mcg/L (possible iron depletion)</w:t>
      </w:r>
    </w:p>
    <w:tbl>
      <w:tblPr>
        <w:tblStyle w:val="TableGrid1"/>
        <w:tblW w:w="0" w:type="auto"/>
        <w:tblLook w:val="04A0" w:firstRow="1" w:lastRow="0" w:firstColumn="1" w:lastColumn="0" w:noHBand="0" w:noVBand="1"/>
      </w:tblPr>
      <w:tblGrid>
        <w:gridCol w:w="1775"/>
        <w:gridCol w:w="1777"/>
        <w:gridCol w:w="1790"/>
        <w:gridCol w:w="1784"/>
        <w:gridCol w:w="1782"/>
      </w:tblGrid>
      <w:tr w:rsidR="00FA0D20" w:rsidRPr="008843F0" w14:paraId="46F1B88F" w14:textId="77777777" w:rsidTr="002B2FD9">
        <w:tc>
          <w:tcPr>
            <w:tcW w:w="1775" w:type="dxa"/>
          </w:tcPr>
          <w:p w14:paraId="165B62A5" w14:textId="77777777" w:rsidR="00FA0D20" w:rsidRPr="008E4115" w:rsidRDefault="00FA0D20" w:rsidP="003C2836">
            <w:pPr>
              <w:pStyle w:val="Tablecolhead"/>
              <w:rPr>
                <w:rFonts w:eastAsiaTheme="minorHAnsi"/>
              </w:rPr>
            </w:pPr>
            <w:r w:rsidRPr="008E4115">
              <w:rPr>
                <w:rFonts w:eastAsiaTheme="minorHAnsi"/>
              </w:rPr>
              <w:t>Surgery</w:t>
            </w:r>
          </w:p>
        </w:tc>
        <w:tc>
          <w:tcPr>
            <w:tcW w:w="1777" w:type="dxa"/>
          </w:tcPr>
          <w:p w14:paraId="4AE4204B" w14:textId="73DB61B8" w:rsidR="00FA0D20" w:rsidRPr="008E4115" w:rsidRDefault="00FA0D20" w:rsidP="003C2836">
            <w:pPr>
              <w:pStyle w:val="Tablecolhead"/>
              <w:rPr>
                <w:rFonts w:eastAsiaTheme="minorHAnsi"/>
              </w:rPr>
            </w:pPr>
            <w:r w:rsidRPr="008E4115">
              <w:rPr>
                <w:rFonts w:eastAsiaTheme="minorHAnsi"/>
              </w:rPr>
              <w:t>Total number of patients preoperatively assessed (</w:t>
            </w:r>
            <w:r w:rsidR="000F5DEB" w:rsidRPr="008E4115">
              <w:rPr>
                <w:rFonts w:eastAsiaTheme="minorHAnsi"/>
              </w:rPr>
              <w:t>n</w:t>
            </w:r>
            <w:r w:rsidR="000F5DEB">
              <w:rPr>
                <w:rFonts w:eastAsiaTheme="minorHAnsi"/>
              </w:rPr>
              <w:t> </w:t>
            </w:r>
            <w:r w:rsidR="000F5DEB" w:rsidRPr="008E4115">
              <w:rPr>
                <w:rFonts w:eastAsiaTheme="minorHAnsi"/>
              </w:rPr>
              <w:t>=</w:t>
            </w:r>
            <w:r w:rsidR="000F5DEB">
              <w:rPr>
                <w:rFonts w:eastAsiaTheme="minorHAnsi"/>
              </w:rPr>
              <w:t> </w:t>
            </w:r>
            <w:r w:rsidRPr="008E4115">
              <w:rPr>
                <w:rFonts w:eastAsiaTheme="minorHAnsi"/>
              </w:rPr>
              <w:t>1,250)</w:t>
            </w:r>
          </w:p>
        </w:tc>
        <w:tc>
          <w:tcPr>
            <w:tcW w:w="1790" w:type="dxa"/>
          </w:tcPr>
          <w:p w14:paraId="2CB7BA9C" w14:textId="4760FD63" w:rsidR="00FA0D20" w:rsidRPr="008E4115" w:rsidRDefault="00FA0D20" w:rsidP="003C2836">
            <w:pPr>
              <w:pStyle w:val="Tablecolhead"/>
              <w:rPr>
                <w:rFonts w:eastAsiaTheme="minorHAnsi"/>
              </w:rPr>
            </w:pPr>
            <w:r w:rsidRPr="008E4115">
              <w:rPr>
                <w:rFonts w:eastAsiaTheme="minorHAnsi"/>
              </w:rPr>
              <w:t>Patients determined non-anaemic and ferritin 30</w:t>
            </w:r>
            <w:r w:rsidR="000F5DEB">
              <w:rPr>
                <w:rFonts w:eastAsiaTheme="minorHAnsi"/>
              </w:rPr>
              <w:t>–</w:t>
            </w:r>
            <w:r w:rsidRPr="008E4115">
              <w:rPr>
                <w:rFonts w:eastAsiaTheme="minorHAnsi"/>
              </w:rPr>
              <w:t xml:space="preserve">100 mcg/L (possible iron depletion </w:t>
            </w:r>
            <w:r w:rsidR="000F5DEB">
              <w:rPr>
                <w:rFonts w:eastAsiaTheme="minorHAnsi"/>
              </w:rPr>
              <w:t>–</w:t>
            </w:r>
            <w:r w:rsidR="000F5DEB" w:rsidRPr="008E4115">
              <w:rPr>
                <w:rFonts w:eastAsiaTheme="minorHAnsi"/>
              </w:rPr>
              <w:t xml:space="preserve"> </w:t>
            </w:r>
            <w:r w:rsidRPr="008E4115">
              <w:rPr>
                <w:rFonts w:eastAsiaTheme="minorHAnsi"/>
              </w:rPr>
              <w:t>as defined by Module 2) (%)</w:t>
            </w:r>
          </w:p>
        </w:tc>
        <w:tc>
          <w:tcPr>
            <w:tcW w:w="1784" w:type="dxa"/>
          </w:tcPr>
          <w:p w14:paraId="1F7EB297" w14:textId="77777777" w:rsidR="00FA0D20" w:rsidRPr="008E4115" w:rsidRDefault="00FA0D20" w:rsidP="003C2836">
            <w:pPr>
              <w:pStyle w:val="Tablecolhead"/>
              <w:rPr>
                <w:rFonts w:eastAsiaTheme="minorHAnsi"/>
              </w:rPr>
            </w:pPr>
            <w:r w:rsidRPr="008E4115">
              <w:rPr>
                <w:rFonts w:eastAsiaTheme="minorHAnsi"/>
              </w:rPr>
              <w:t>Patients documented or managed by health service as iron deplete (%)</w:t>
            </w:r>
          </w:p>
        </w:tc>
        <w:tc>
          <w:tcPr>
            <w:tcW w:w="1782" w:type="dxa"/>
          </w:tcPr>
          <w:p w14:paraId="5A95FC02" w14:textId="769D259A" w:rsidR="00FA0D20" w:rsidRPr="008E4115" w:rsidRDefault="00FA0D20" w:rsidP="003C2836">
            <w:pPr>
              <w:pStyle w:val="Tablecolhead"/>
              <w:rPr>
                <w:rFonts w:eastAsiaTheme="minorHAnsi"/>
              </w:rPr>
            </w:pPr>
            <w:r w:rsidRPr="008E4115">
              <w:rPr>
                <w:rFonts w:eastAsiaTheme="minorHAnsi"/>
              </w:rPr>
              <w:t>Patients determined non-anaemic and ferritin 30</w:t>
            </w:r>
            <w:r w:rsidR="000F5DEB">
              <w:rPr>
                <w:rFonts w:eastAsiaTheme="minorHAnsi"/>
              </w:rPr>
              <w:t>–</w:t>
            </w:r>
            <w:r w:rsidRPr="008E4115">
              <w:rPr>
                <w:rFonts w:eastAsiaTheme="minorHAnsi"/>
              </w:rPr>
              <w:t xml:space="preserve">100 mcg/L (Module 2), but </w:t>
            </w:r>
            <w:r w:rsidR="000F5DEB">
              <w:rPr>
                <w:rFonts w:eastAsiaTheme="minorHAnsi"/>
              </w:rPr>
              <w:t>not</w:t>
            </w:r>
            <w:r w:rsidR="000F5DEB" w:rsidRPr="008E4115">
              <w:rPr>
                <w:rFonts w:eastAsiaTheme="minorHAnsi"/>
              </w:rPr>
              <w:t xml:space="preserve"> </w:t>
            </w:r>
            <w:r w:rsidRPr="008E4115">
              <w:rPr>
                <w:rFonts w:eastAsiaTheme="minorHAnsi"/>
              </w:rPr>
              <w:t>identified by health service (%)</w:t>
            </w:r>
          </w:p>
        </w:tc>
      </w:tr>
      <w:tr w:rsidR="00FA0D20" w:rsidRPr="008843F0" w14:paraId="425454C3" w14:textId="77777777" w:rsidTr="002B2FD9">
        <w:tc>
          <w:tcPr>
            <w:tcW w:w="1775" w:type="dxa"/>
            <w:vAlign w:val="center"/>
          </w:tcPr>
          <w:p w14:paraId="42422C00" w14:textId="77777777" w:rsidR="00FA0D20" w:rsidRPr="008E4115" w:rsidRDefault="00FA0D20" w:rsidP="003C2836">
            <w:pPr>
              <w:pStyle w:val="Tabletext"/>
              <w:rPr>
                <w:rFonts w:eastAsiaTheme="minorHAnsi"/>
              </w:rPr>
            </w:pPr>
            <w:r w:rsidRPr="008E4115">
              <w:rPr>
                <w:rFonts w:eastAsiaTheme="minorHAnsi"/>
              </w:rPr>
              <w:t>Orthopaedic</w:t>
            </w:r>
          </w:p>
        </w:tc>
        <w:tc>
          <w:tcPr>
            <w:tcW w:w="1777" w:type="dxa"/>
            <w:vAlign w:val="center"/>
          </w:tcPr>
          <w:p w14:paraId="7F9EE4F9" w14:textId="77777777" w:rsidR="00FA0D20" w:rsidRPr="008E4115" w:rsidRDefault="00FA0D20" w:rsidP="002B2FD9">
            <w:pPr>
              <w:pStyle w:val="Tabletext"/>
              <w:jc w:val="right"/>
              <w:rPr>
                <w:rFonts w:eastAsiaTheme="minorHAnsi"/>
              </w:rPr>
            </w:pPr>
            <w:r w:rsidRPr="008E4115">
              <w:rPr>
                <w:rFonts w:eastAsiaTheme="minorHAnsi"/>
              </w:rPr>
              <w:t>654</w:t>
            </w:r>
          </w:p>
        </w:tc>
        <w:tc>
          <w:tcPr>
            <w:tcW w:w="1790" w:type="dxa"/>
            <w:vAlign w:val="center"/>
          </w:tcPr>
          <w:p w14:paraId="0DC310A8" w14:textId="77777777" w:rsidR="00FA0D20" w:rsidRPr="008E4115" w:rsidRDefault="00FA0D20" w:rsidP="002B2FD9">
            <w:pPr>
              <w:pStyle w:val="Tabletext"/>
              <w:jc w:val="right"/>
              <w:rPr>
                <w:rFonts w:eastAsiaTheme="minorHAnsi"/>
              </w:rPr>
            </w:pPr>
            <w:r w:rsidRPr="008E4115">
              <w:rPr>
                <w:rFonts w:eastAsiaTheme="minorHAnsi"/>
              </w:rPr>
              <w:t>111 (17%)</w:t>
            </w:r>
          </w:p>
        </w:tc>
        <w:tc>
          <w:tcPr>
            <w:tcW w:w="1784" w:type="dxa"/>
            <w:vAlign w:val="center"/>
          </w:tcPr>
          <w:p w14:paraId="0F62BB9A" w14:textId="77777777" w:rsidR="00FA0D20" w:rsidRPr="008E4115" w:rsidRDefault="00FA0D20" w:rsidP="002B2FD9">
            <w:pPr>
              <w:pStyle w:val="Tabletext"/>
              <w:jc w:val="right"/>
              <w:rPr>
                <w:rFonts w:eastAsiaTheme="minorHAnsi"/>
              </w:rPr>
            </w:pPr>
            <w:r w:rsidRPr="008E4115">
              <w:rPr>
                <w:rFonts w:eastAsiaTheme="minorHAnsi"/>
              </w:rPr>
              <w:t>4 (1%)</w:t>
            </w:r>
          </w:p>
        </w:tc>
        <w:tc>
          <w:tcPr>
            <w:tcW w:w="1782" w:type="dxa"/>
          </w:tcPr>
          <w:p w14:paraId="59C3A9C2" w14:textId="77777777" w:rsidR="00FA0D20" w:rsidRPr="008E4115" w:rsidRDefault="00FA0D20" w:rsidP="002B2FD9">
            <w:pPr>
              <w:pStyle w:val="Tabletext"/>
              <w:jc w:val="right"/>
              <w:rPr>
                <w:rFonts w:eastAsiaTheme="minorHAnsi"/>
              </w:rPr>
            </w:pPr>
            <w:r w:rsidRPr="008E4115">
              <w:rPr>
                <w:rFonts w:eastAsiaTheme="minorHAnsi"/>
              </w:rPr>
              <w:t>107 (96%)</w:t>
            </w:r>
          </w:p>
        </w:tc>
      </w:tr>
      <w:tr w:rsidR="00FA0D20" w:rsidRPr="008843F0" w14:paraId="10F33022" w14:textId="77777777" w:rsidTr="002B2FD9">
        <w:tc>
          <w:tcPr>
            <w:tcW w:w="1775" w:type="dxa"/>
            <w:vAlign w:val="center"/>
          </w:tcPr>
          <w:p w14:paraId="38449C26" w14:textId="77777777" w:rsidR="00FA0D20" w:rsidRPr="008E4115" w:rsidRDefault="00FA0D20" w:rsidP="003C2836">
            <w:pPr>
              <w:pStyle w:val="Tabletext"/>
              <w:rPr>
                <w:rFonts w:eastAsiaTheme="minorHAnsi"/>
              </w:rPr>
            </w:pPr>
            <w:r w:rsidRPr="008E4115">
              <w:rPr>
                <w:rFonts w:eastAsiaTheme="minorHAnsi"/>
              </w:rPr>
              <w:t>Gynaecology</w:t>
            </w:r>
          </w:p>
        </w:tc>
        <w:tc>
          <w:tcPr>
            <w:tcW w:w="1777" w:type="dxa"/>
            <w:vAlign w:val="center"/>
          </w:tcPr>
          <w:p w14:paraId="3B273971" w14:textId="77777777" w:rsidR="00FA0D20" w:rsidRPr="008E4115" w:rsidRDefault="00FA0D20" w:rsidP="002B2FD9">
            <w:pPr>
              <w:pStyle w:val="Tabletext"/>
              <w:jc w:val="right"/>
              <w:rPr>
                <w:rFonts w:eastAsiaTheme="minorHAnsi"/>
              </w:rPr>
            </w:pPr>
            <w:r w:rsidRPr="008E4115">
              <w:rPr>
                <w:rFonts w:eastAsiaTheme="minorHAnsi"/>
              </w:rPr>
              <w:t>241</w:t>
            </w:r>
          </w:p>
        </w:tc>
        <w:tc>
          <w:tcPr>
            <w:tcW w:w="1790" w:type="dxa"/>
            <w:vAlign w:val="center"/>
          </w:tcPr>
          <w:p w14:paraId="6AD38382" w14:textId="77777777" w:rsidR="00FA0D20" w:rsidRPr="008E4115" w:rsidRDefault="00FA0D20" w:rsidP="002B2FD9">
            <w:pPr>
              <w:pStyle w:val="Tabletext"/>
              <w:jc w:val="right"/>
              <w:rPr>
                <w:rFonts w:eastAsiaTheme="minorHAnsi"/>
              </w:rPr>
            </w:pPr>
            <w:r w:rsidRPr="008E4115">
              <w:rPr>
                <w:rFonts w:eastAsiaTheme="minorHAnsi"/>
              </w:rPr>
              <w:t>34 (14%)</w:t>
            </w:r>
          </w:p>
        </w:tc>
        <w:tc>
          <w:tcPr>
            <w:tcW w:w="1784" w:type="dxa"/>
            <w:vAlign w:val="center"/>
          </w:tcPr>
          <w:p w14:paraId="4F68FBCD" w14:textId="77777777" w:rsidR="00FA0D20" w:rsidRPr="008E4115" w:rsidRDefault="00FA0D20" w:rsidP="002B2FD9">
            <w:pPr>
              <w:pStyle w:val="Tabletext"/>
              <w:jc w:val="right"/>
              <w:rPr>
                <w:rFonts w:eastAsiaTheme="minorHAnsi"/>
              </w:rPr>
            </w:pPr>
            <w:r w:rsidRPr="008E4115">
              <w:rPr>
                <w:rFonts w:eastAsiaTheme="minorHAnsi"/>
              </w:rPr>
              <w:t>10 (4%)</w:t>
            </w:r>
          </w:p>
        </w:tc>
        <w:tc>
          <w:tcPr>
            <w:tcW w:w="1782" w:type="dxa"/>
          </w:tcPr>
          <w:p w14:paraId="0990BEC5" w14:textId="77777777" w:rsidR="00FA0D20" w:rsidRPr="008E4115" w:rsidRDefault="00FA0D20" w:rsidP="002B2FD9">
            <w:pPr>
              <w:pStyle w:val="Tabletext"/>
              <w:jc w:val="right"/>
              <w:rPr>
                <w:rFonts w:eastAsiaTheme="minorHAnsi"/>
              </w:rPr>
            </w:pPr>
            <w:r w:rsidRPr="008E4115">
              <w:rPr>
                <w:rFonts w:eastAsiaTheme="minorHAnsi"/>
              </w:rPr>
              <w:t>24 (71%)</w:t>
            </w:r>
          </w:p>
        </w:tc>
      </w:tr>
      <w:tr w:rsidR="00FA0D20" w:rsidRPr="008843F0" w14:paraId="4E62C195" w14:textId="77777777" w:rsidTr="002B2FD9">
        <w:tc>
          <w:tcPr>
            <w:tcW w:w="1775" w:type="dxa"/>
            <w:vAlign w:val="center"/>
          </w:tcPr>
          <w:p w14:paraId="5C8A5467" w14:textId="77777777" w:rsidR="00FA0D20" w:rsidRPr="008E4115" w:rsidRDefault="00FA0D20" w:rsidP="003C2836">
            <w:pPr>
              <w:pStyle w:val="Tabletext"/>
              <w:rPr>
                <w:rFonts w:eastAsiaTheme="minorHAnsi"/>
              </w:rPr>
            </w:pPr>
            <w:r w:rsidRPr="008E4115">
              <w:rPr>
                <w:rFonts w:eastAsiaTheme="minorHAnsi"/>
              </w:rPr>
              <w:t>Major gastrointestinal</w:t>
            </w:r>
          </w:p>
        </w:tc>
        <w:tc>
          <w:tcPr>
            <w:tcW w:w="1777" w:type="dxa"/>
            <w:vAlign w:val="center"/>
          </w:tcPr>
          <w:p w14:paraId="41D4DB45" w14:textId="77777777" w:rsidR="00FA0D20" w:rsidRPr="008E4115" w:rsidRDefault="00FA0D20" w:rsidP="002B2FD9">
            <w:pPr>
              <w:pStyle w:val="Tabletext"/>
              <w:jc w:val="right"/>
              <w:rPr>
                <w:rFonts w:eastAsiaTheme="minorHAnsi"/>
              </w:rPr>
            </w:pPr>
            <w:r w:rsidRPr="008E4115">
              <w:rPr>
                <w:rFonts w:eastAsiaTheme="minorHAnsi"/>
              </w:rPr>
              <w:t>245</w:t>
            </w:r>
          </w:p>
        </w:tc>
        <w:tc>
          <w:tcPr>
            <w:tcW w:w="1790" w:type="dxa"/>
            <w:vAlign w:val="center"/>
          </w:tcPr>
          <w:p w14:paraId="1DECB678" w14:textId="77777777" w:rsidR="00FA0D20" w:rsidRPr="008E4115" w:rsidRDefault="00FA0D20" w:rsidP="002B2FD9">
            <w:pPr>
              <w:pStyle w:val="Tabletext"/>
              <w:jc w:val="right"/>
              <w:rPr>
                <w:rFonts w:eastAsiaTheme="minorHAnsi"/>
              </w:rPr>
            </w:pPr>
            <w:r w:rsidRPr="008E4115">
              <w:rPr>
                <w:rFonts w:eastAsiaTheme="minorHAnsi"/>
              </w:rPr>
              <w:t>21 (9%)</w:t>
            </w:r>
          </w:p>
        </w:tc>
        <w:tc>
          <w:tcPr>
            <w:tcW w:w="1784" w:type="dxa"/>
            <w:vAlign w:val="center"/>
          </w:tcPr>
          <w:p w14:paraId="1D20C940" w14:textId="77777777" w:rsidR="00FA0D20" w:rsidRPr="008E4115" w:rsidRDefault="00FA0D20" w:rsidP="002B2FD9">
            <w:pPr>
              <w:pStyle w:val="Tabletext"/>
              <w:jc w:val="right"/>
              <w:rPr>
                <w:rFonts w:eastAsiaTheme="minorHAnsi"/>
              </w:rPr>
            </w:pPr>
            <w:r w:rsidRPr="008E4115">
              <w:rPr>
                <w:rFonts w:eastAsiaTheme="minorHAnsi"/>
              </w:rPr>
              <w:t>2 (1%)</w:t>
            </w:r>
          </w:p>
        </w:tc>
        <w:tc>
          <w:tcPr>
            <w:tcW w:w="1782" w:type="dxa"/>
            <w:vAlign w:val="center"/>
          </w:tcPr>
          <w:p w14:paraId="0DD563CF" w14:textId="77777777" w:rsidR="00FA0D20" w:rsidRPr="008E4115" w:rsidRDefault="00FA0D20" w:rsidP="002B2FD9">
            <w:pPr>
              <w:pStyle w:val="Tabletext"/>
              <w:jc w:val="right"/>
              <w:rPr>
                <w:rFonts w:eastAsiaTheme="minorHAnsi"/>
              </w:rPr>
            </w:pPr>
            <w:r w:rsidRPr="008E4115">
              <w:rPr>
                <w:rFonts w:eastAsiaTheme="minorHAnsi"/>
              </w:rPr>
              <w:t>19 (90%)</w:t>
            </w:r>
          </w:p>
        </w:tc>
      </w:tr>
      <w:tr w:rsidR="00FA0D20" w:rsidRPr="008843F0" w14:paraId="0B78E4CD" w14:textId="77777777" w:rsidTr="002B2FD9">
        <w:tc>
          <w:tcPr>
            <w:tcW w:w="1775" w:type="dxa"/>
            <w:vAlign w:val="center"/>
          </w:tcPr>
          <w:p w14:paraId="3DA9529C" w14:textId="77777777" w:rsidR="00FA0D20" w:rsidRPr="008E4115" w:rsidRDefault="00FA0D20" w:rsidP="003C2836">
            <w:pPr>
              <w:pStyle w:val="Tabletext"/>
              <w:rPr>
                <w:rFonts w:eastAsiaTheme="minorHAnsi"/>
              </w:rPr>
            </w:pPr>
            <w:r w:rsidRPr="008E4115">
              <w:rPr>
                <w:rFonts w:eastAsiaTheme="minorHAnsi"/>
              </w:rPr>
              <w:t>Cardiothoracic</w:t>
            </w:r>
          </w:p>
        </w:tc>
        <w:tc>
          <w:tcPr>
            <w:tcW w:w="1777" w:type="dxa"/>
            <w:vAlign w:val="center"/>
          </w:tcPr>
          <w:p w14:paraId="23D31094" w14:textId="77777777" w:rsidR="00FA0D20" w:rsidRPr="008E4115" w:rsidRDefault="00FA0D20" w:rsidP="002B2FD9">
            <w:pPr>
              <w:pStyle w:val="Tabletext"/>
              <w:jc w:val="right"/>
              <w:rPr>
                <w:rFonts w:eastAsiaTheme="minorHAnsi"/>
              </w:rPr>
            </w:pPr>
            <w:r w:rsidRPr="008E4115">
              <w:rPr>
                <w:rFonts w:eastAsiaTheme="minorHAnsi"/>
              </w:rPr>
              <w:t>110</w:t>
            </w:r>
          </w:p>
        </w:tc>
        <w:tc>
          <w:tcPr>
            <w:tcW w:w="1790" w:type="dxa"/>
            <w:vAlign w:val="center"/>
          </w:tcPr>
          <w:p w14:paraId="732FB270" w14:textId="77777777" w:rsidR="00FA0D20" w:rsidRPr="008E4115" w:rsidRDefault="00FA0D20" w:rsidP="002B2FD9">
            <w:pPr>
              <w:pStyle w:val="Tabletext"/>
              <w:jc w:val="right"/>
              <w:rPr>
                <w:rFonts w:eastAsiaTheme="minorHAnsi"/>
              </w:rPr>
            </w:pPr>
            <w:r w:rsidRPr="008E4115">
              <w:rPr>
                <w:rFonts w:eastAsiaTheme="minorHAnsi"/>
              </w:rPr>
              <w:t>8 (7%)</w:t>
            </w:r>
          </w:p>
        </w:tc>
        <w:tc>
          <w:tcPr>
            <w:tcW w:w="1784" w:type="dxa"/>
            <w:vAlign w:val="center"/>
          </w:tcPr>
          <w:p w14:paraId="07DD6721" w14:textId="77777777" w:rsidR="00FA0D20" w:rsidRPr="008E4115" w:rsidRDefault="00FA0D20" w:rsidP="002B2FD9">
            <w:pPr>
              <w:pStyle w:val="Tabletext"/>
              <w:jc w:val="right"/>
              <w:rPr>
                <w:rFonts w:eastAsiaTheme="minorHAnsi"/>
              </w:rPr>
            </w:pPr>
            <w:r w:rsidRPr="008E4115">
              <w:rPr>
                <w:rFonts w:eastAsiaTheme="minorHAnsi"/>
              </w:rPr>
              <w:t>-</w:t>
            </w:r>
          </w:p>
        </w:tc>
        <w:tc>
          <w:tcPr>
            <w:tcW w:w="1782" w:type="dxa"/>
          </w:tcPr>
          <w:p w14:paraId="53CA1AF4" w14:textId="77777777" w:rsidR="00FA0D20" w:rsidRPr="008E4115" w:rsidRDefault="00FA0D20" w:rsidP="002B2FD9">
            <w:pPr>
              <w:pStyle w:val="Tabletext"/>
              <w:jc w:val="right"/>
              <w:rPr>
                <w:rFonts w:eastAsiaTheme="minorHAnsi"/>
              </w:rPr>
            </w:pPr>
            <w:r w:rsidRPr="008E4115">
              <w:rPr>
                <w:rFonts w:eastAsiaTheme="minorHAnsi"/>
              </w:rPr>
              <w:t>8 (100%)</w:t>
            </w:r>
          </w:p>
        </w:tc>
      </w:tr>
      <w:tr w:rsidR="00FA0D20" w:rsidRPr="008843F0" w14:paraId="6BAAD166" w14:textId="77777777" w:rsidTr="002B2FD9">
        <w:tc>
          <w:tcPr>
            <w:tcW w:w="1775" w:type="dxa"/>
            <w:vAlign w:val="center"/>
          </w:tcPr>
          <w:p w14:paraId="37EE3E00" w14:textId="77777777" w:rsidR="00FA0D20" w:rsidRPr="008E4115" w:rsidRDefault="00FA0D20" w:rsidP="003C2836">
            <w:pPr>
              <w:pStyle w:val="Tabletext"/>
              <w:rPr>
                <w:rFonts w:eastAsiaTheme="minorHAnsi"/>
              </w:rPr>
            </w:pPr>
            <w:r w:rsidRPr="008E4115">
              <w:rPr>
                <w:rFonts w:eastAsiaTheme="minorHAnsi"/>
              </w:rPr>
              <w:t>Total (all surgical types)</w:t>
            </w:r>
          </w:p>
        </w:tc>
        <w:tc>
          <w:tcPr>
            <w:tcW w:w="1777" w:type="dxa"/>
            <w:vAlign w:val="center"/>
          </w:tcPr>
          <w:p w14:paraId="49CD6250" w14:textId="77777777" w:rsidR="00FA0D20" w:rsidRPr="008E4115" w:rsidRDefault="00FA0D20" w:rsidP="002B2FD9">
            <w:pPr>
              <w:pStyle w:val="Tabletext"/>
              <w:jc w:val="right"/>
              <w:rPr>
                <w:rFonts w:eastAsiaTheme="minorHAnsi"/>
              </w:rPr>
            </w:pPr>
            <w:r w:rsidRPr="008E4115">
              <w:rPr>
                <w:rFonts w:eastAsiaTheme="minorHAnsi"/>
              </w:rPr>
              <w:t>1250</w:t>
            </w:r>
          </w:p>
        </w:tc>
        <w:tc>
          <w:tcPr>
            <w:tcW w:w="1790" w:type="dxa"/>
            <w:vAlign w:val="center"/>
          </w:tcPr>
          <w:p w14:paraId="67416882" w14:textId="77777777" w:rsidR="00FA0D20" w:rsidRPr="008E4115" w:rsidRDefault="00FA0D20" w:rsidP="002B2FD9">
            <w:pPr>
              <w:pStyle w:val="Tabletext"/>
              <w:jc w:val="right"/>
              <w:rPr>
                <w:rFonts w:eastAsiaTheme="minorHAnsi"/>
              </w:rPr>
            </w:pPr>
            <w:r w:rsidRPr="008E4115">
              <w:rPr>
                <w:rFonts w:eastAsiaTheme="minorHAnsi"/>
              </w:rPr>
              <w:t>174 (14%)</w:t>
            </w:r>
          </w:p>
        </w:tc>
        <w:tc>
          <w:tcPr>
            <w:tcW w:w="1784" w:type="dxa"/>
            <w:vAlign w:val="center"/>
          </w:tcPr>
          <w:p w14:paraId="53532E13" w14:textId="77777777" w:rsidR="00FA0D20" w:rsidRPr="008E4115" w:rsidRDefault="00FA0D20" w:rsidP="002B2FD9">
            <w:pPr>
              <w:pStyle w:val="Tabletext"/>
              <w:jc w:val="right"/>
              <w:rPr>
                <w:rFonts w:eastAsiaTheme="minorHAnsi"/>
              </w:rPr>
            </w:pPr>
            <w:r w:rsidRPr="008E4115">
              <w:rPr>
                <w:rFonts w:eastAsiaTheme="minorHAnsi"/>
              </w:rPr>
              <w:t>16 (9%)</w:t>
            </w:r>
          </w:p>
        </w:tc>
        <w:tc>
          <w:tcPr>
            <w:tcW w:w="1782" w:type="dxa"/>
            <w:vAlign w:val="center"/>
          </w:tcPr>
          <w:p w14:paraId="391B697E" w14:textId="77777777" w:rsidR="00FA0D20" w:rsidRPr="008E4115" w:rsidRDefault="00FA0D20" w:rsidP="002B2FD9">
            <w:pPr>
              <w:pStyle w:val="Tabletext"/>
              <w:jc w:val="right"/>
              <w:rPr>
                <w:rFonts w:eastAsiaTheme="minorHAnsi"/>
              </w:rPr>
            </w:pPr>
            <w:r w:rsidRPr="008E4115">
              <w:rPr>
                <w:rFonts w:eastAsiaTheme="minorHAnsi"/>
              </w:rPr>
              <w:t>158 (91%)</w:t>
            </w:r>
          </w:p>
        </w:tc>
      </w:tr>
    </w:tbl>
    <w:p w14:paraId="133032F7" w14:textId="77777777" w:rsidR="00FA0D20" w:rsidRPr="008843F0" w:rsidRDefault="00FA0D20" w:rsidP="00FA0D20">
      <w:pPr>
        <w:pStyle w:val="Heading3"/>
      </w:pPr>
      <w:r w:rsidRPr="008843F0">
        <w:t xml:space="preserve">Preoperative anaemia: </w:t>
      </w:r>
      <w:r w:rsidRPr="008E4115">
        <w:t>documentation</w:t>
      </w:r>
    </w:p>
    <w:p w14:paraId="3B1FD96A" w14:textId="083046C2" w:rsidR="00FA0D20" w:rsidRPr="008E4115" w:rsidRDefault="005761FF" w:rsidP="00FA0D20">
      <w:pPr>
        <w:pStyle w:val="Body"/>
      </w:pPr>
      <w:r>
        <w:t xml:space="preserve">This audit defines </w:t>
      </w:r>
      <w:r w:rsidRPr="008E4115">
        <w:t>anaemia and iron deficiency</w:t>
      </w:r>
      <w:r>
        <w:t xml:space="preserve"> according to</w:t>
      </w:r>
      <w:r w:rsidR="00FA0D20" w:rsidRPr="008E4115">
        <w:t xml:space="preserve"> the definitions in </w:t>
      </w:r>
      <w:r>
        <w:t xml:space="preserve">the </w:t>
      </w:r>
      <w:r w:rsidR="00FA0D20" w:rsidRPr="008E4115">
        <w:t>Module 2 preoperative haemoglobin assessment and optimisation template</w:t>
      </w:r>
      <w:r>
        <w:t>. Once these conditions have been identified, the</w:t>
      </w:r>
      <w:r w:rsidR="00AD2689">
        <w:t xml:space="preserve"> patient needs further investigation or treatment</w:t>
      </w:r>
      <w:r>
        <w:t>.</w:t>
      </w:r>
    </w:p>
    <w:p w14:paraId="593E5575" w14:textId="26ADDDCC" w:rsidR="005761FF" w:rsidRDefault="005761FF" w:rsidP="005761FF">
      <w:pPr>
        <w:pStyle w:val="Body"/>
      </w:pPr>
      <w:r>
        <w:t xml:space="preserve">For patients found to be anaemic or iron deficient, </w:t>
      </w:r>
      <w:r w:rsidR="00AD2689">
        <w:t xml:space="preserve">we asked </w:t>
      </w:r>
      <w:r>
        <w:t xml:space="preserve">auditors </w:t>
      </w:r>
      <w:r w:rsidR="00AD2689">
        <w:t>to indicate whether there was</w:t>
      </w:r>
      <w:r w:rsidR="00FA0D20" w:rsidRPr="008E4115">
        <w:t xml:space="preserve"> documentation </w:t>
      </w:r>
      <w:r w:rsidR="00AD2689">
        <w:t xml:space="preserve">relating to </w:t>
      </w:r>
      <w:r w:rsidR="00FA0D20" w:rsidRPr="008E4115">
        <w:t>plans of care</w:t>
      </w:r>
      <w:r w:rsidR="00AD2689">
        <w:t>,</w:t>
      </w:r>
      <w:r w:rsidR="00FA0D20" w:rsidRPr="008E4115">
        <w:t xml:space="preserve"> or evidence of treatment for either.</w:t>
      </w:r>
      <w:r w:rsidRPr="005761FF">
        <w:t xml:space="preserve"> </w:t>
      </w:r>
    </w:p>
    <w:p w14:paraId="1FBD6422" w14:textId="7722927A" w:rsidR="005761FF" w:rsidRDefault="00FA0D20" w:rsidP="00FA0D20">
      <w:pPr>
        <w:pStyle w:val="Body"/>
      </w:pPr>
      <w:r w:rsidRPr="008E4115">
        <w:lastRenderedPageBreak/>
        <w:t>Results showed the Hb for adult females ranged from 59</w:t>
      </w:r>
      <w:r w:rsidR="005761FF">
        <w:t>–</w:t>
      </w:r>
      <w:r w:rsidRPr="008E4115">
        <w:t>180 g/L, average 132 g/L (results available for 714 of 751 patients</w:t>
      </w:r>
      <w:r w:rsidR="005761FF">
        <w:t>,</w:t>
      </w:r>
      <w:r w:rsidRPr="008E4115">
        <w:t xml:space="preserve"> where reported as assessed). </w:t>
      </w:r>
    </w:p>
    <w:p w14:paraId="0E107BDD" w14:textId="62673ED0" w:rsidR="00FA0D20" w:rsidRPr="008E4115" w:rsidRDefault="00FA0D20" w:rsidP="00FA0D20">
      <w:pPr>
        <w:pStyle w:val="Body"/>
      </w:pPr>
      <w:r w:rsidRPr="008E4115">
        <w:t>For adult males, Hb ranged from 45–187 g/L, average 143 g/L (results available for 480 of 495 patients</w:t>
      </w:r>
      <w:r w:rsidR="005761FF">
        <w:t>,</w:t>
      </w:r>
      <w:r w:rsidRPr="008E4115">
        <w:t xml:space="preserve"> w</w:t>
      </w:r>
      <w:r w:rsidR="005761FF">
        <w:t>h</w:t>
      </w:r>
      <w:r w:rsidRPr="008E4115">
        <w:t>ere reported as assessed).</w:t>
      </w:r>
    </w:p>
    <w:p w14:paraId="296C748D" w14:textId="4E17D53F" w:rsidR="00FA0D20" w:rsidRPr="008843F0" w:rsidRDefault="00FA0D20" w:rsidP="001C5B45">
      <w:pPr>
        <w:pStyle w:val="Tablecaption"/>
      </w:pPr>
      <w:bookmarkStart w:id="67" w:name="_Ref67392694"/>
      <w:r w:rsidRPr="008843F0">
        <w:t xml:space="preserve">Table </w:t>
      </w:r>
      <w:r w:rsidR="005E52B4">
        <w:fldChar w:fldCharType="begin"/>
      </w:r>
      <w:r w:rsidR="005E52B4">
        <w:instrText xml:space="preserve"> SEQ Table \* ARABIC </w:instrText>
      </w:r>
      <w:r w:rsidR="005E52B4">
        <w:fldChar w:fldCharType="separate"/>
      </w:r>
      <w:r w:rsidR="00857812">
        <w:rPr>
          <w:noProof/>
        </w:rPr>
        <w:t>4</w:t>
      </w:r>
      <w:r w:rsidR="005E52B4">
        <w:rPr>
          <w:noProof/>
        </w:rPr>
        <w:fldChar w:fldCharType="end"/>
      </w:r>
      <w:bookmarkEnd w:id="67"/>
      <w:r w:rsidRPr="008843F0">
        <w:t xml:space="preserve">: </w:t>
      </w:r>
      <w:r w:rsidRPr="001C5B45">
        <w:t>Patients</w:t>
      </w:r>
      <w:r w:rsidRPr="008843F0">
        <w:t xml:space="preserve"> documented as </w:t>
      </w:r>
      <w:r w:rsidR="005761FF" w:rsidRPr="008E4115">
        <w:t>non</w:t>
      </w:r>
      <w:r w:rsidR="005761FF">
        <w:t>-</w:t>
      </w:r>
      <w:r w:rsidRPr="008843F0">
        <w:t xml:space="preserve">anaemic iron deficient by age and gender </w:t>
      </w:r>
      <w:r w:rsidR="00AD2689">
        <w:t>as per</w:t>
      </w:r>
      <w:r w:rsidRPr="008843F0">
        <w:t xml:space="preserve"> Module 2</w:t>
      </w:r>
      <w:r w:rsidR="00AD2689">
        <w:t>,</w:t>
      </w:r>
      <w:r w:rsidRPr="008843F0">
        <w:t xml:space="preserve"> and those reported as documented or managed by the health service</w:t>
      </w:r>
    </w:p>
    <w:tbl>
      <w:tblPr>
        <w:tblStyle w:val="TableGrid1"/>
        <w:tblW w:w="0" w:type="auto"/>
        <w:tblLook w:val="04A0" w:firstRow="1" w:lastRow="0" w:firstColumn="1" w:lastColumn="0" w:noHBand="0" w:noVBand="1"/>
      </w:tblPr>
      <w:tblGrid>
        <w:gridCol w:w="1432"/>
        <w:gridCol w:w="1290"/>
        <w:gridCol w:w="1985"/>
        <w:gridCol w:w="1984"/>
        <w:gridCol w:w="2217"/>
      </w:tblGrid>
      <w:tr w:rsidR="00FA0D20" w:rsidRPr="008843F0" w14:paraId="4B22B21D" w14:textId="77777777" w:rsidTr="002B2FD9">
        <w:trPr>
          <w:tblHeader/>
        </w:trPr>
        <w:tc>
          <w:tcPr>
            <w:tcW w:w="1432" w:type="dxa"/>
          </w:tcPr>
          <w:p w14:paraId="40BFFF98" w14:textId="77777777" w:rsidR="00FA0D20" w:rsidRPr="008843F0" w:rsidRDefault="00FA0D20" w:rsidP="003C2836">
            <w:pPr>
              <w:pStyle w:val="Tablecolhead"/>
              <w:rPr>
                <w:rFonts w:eastAsiaTheme="minorHAnsi"/>
              </w:rPr>
            </w:pPr>
            <w:r w:rsidRPr="008843F0">
              <w:rPr>
                <w:rFonts w:eastAsiaTheme="minorHAnsi"/>
              </w:rPr>
              <w:t>Age range</w:t>
            </w:r>
          </w:p>
        </w:tc>
        <w:tc>
          <w:tcPr>
            <w:tcW w:w="1290" w:type="dxa"/>
          </w:tcPr>
          <w:p w14:paraId="20BD30CE" w14:textId="77777777" w:rsidR="00FA0D20" w:rsidRPr="008843F0" w:rsidRDefault="00FA0D20" w:rsidP="003C2836">
            <w:pPr>
              <w:pStyle w:val="Tablecolhead"/>
              <w:rPr>
                <w:rFonts w:eastAsiaTheme="minorHAnsi"/>
              </w:rPr>
            </w:pPr>
            <w:r w:rsidRPr="008843F0">
              <w:rPr>
                <w:rFonts w:eastAsiaTheme="minorHAnsi"/>
              </w:rPr>
              <w:t>Gender</w:t>
            </w:r>
          </w:p>
        </w:tc>
        <w:tc>
          <w:tcPr>
            <w:tcW w:w="1985" w:type="dxa"/>
          </w:tcPr>
          <w:p w14:paraId="1506065C" w14:textId="6E11917C" w:rsidR="00FA0D20" w:rsidRPr="008843F0" w:rsidRDefault="00FA0D20" w:rsidP="003C2836">
            <w:pPr>
              <w:pStyle w:val="Tablecolhead"/>
              <w:rPr>
                <w:rFonts w:eastAsiaTheme="minorHAnsi"/>
              </w:rPr>
            </w:pPr>
            <w:r w:rsidRPr="008843F0">
              <w:rPr>
                <w:rFonts w:eastAsiaTheme="minorHAnsi"/>
              </w:rPr>
              <w:t>Total number of patients preoperatively assessed (</w:t>
            </w:r>
            <w:r w:rsidR="00CF610B" w:rsidRPr="008843F0">
              <w:rPr>
                <w:rFonts w:eastAsiaTheme="minorHAnsi"/>
              </w:rPr>
              <w:t>n</w:t>
            </w:r>
            <w:r w:rsidR="00CF610B">
              <w:rPr>
                <w:rFonts w:eastAsiaTheme="minorHAnsi"/>
              </w:rPr>
              <w:t> </w:t>
            </w:r>
            <w:r w:rsidR="00CF610B" w:rsidRPr="008843F0">
              <w:rPr>
                <w:rFonts w:eastAsiaTheme="minorHAnsi"/>
              </w:rPr>
              <w:t>=</w:t>
            </w:r>
            <w:r w:rsidR="00CF610B">
              <w:rPr>
                <w:rFonts w:eastAsiaTheme="minorHAnsi"/>
              </w:rPr>
              <w:t> </w:t>
            </w:r>
            <w:r w:rsidRPr="008843F0">
              <w:rPr>
                <w:rFonts w:eastAsiaTheme="minorHAnsi"/>
              </w:rPr>
              <w:t>1,250)</w:t>
            </w:r>
          </w:p>
        </w:tc>
        <w:tc>
          <w:tcPr>
            <w:tcW w:w="1984" w:type="dxa"/>
          </w:tcPr>
          <w:p w14:paraId="497C6855" w14:textId="77777777" w:rsidR="00FA0D20" w:rsidRDefault="00FA0D20" w:rsidP="003C2836">
            <w:pPr>
              <w:pStyle w:val="Tablecolhead"/>
              <w:rPr>
                <w:rFonts w:eastAsiaTheme="minorHAnsi"/>
              </w:rPr>
            </w:pPr>
            <w:r w:rsidRPr="008843F0">
              <w:rPr>
                <w:rFonts w:eastAsiaTheme="minorHAnsi"/>
              </w:rPr>
              <w:t xml:space="preserve">Patients determined </w:t>
            </w:r>
            <w:r w:rsidRPr="008843F0">
              <w:t>non</w:t>
            </w:r>
            <w:r w:rsidR="00CF610B">
              <w:t>-</w:t>
            </w:r>
            <w:r w:rsidRPr="008843F0">
              <w:t xml:space="preserve">anaemic iron deficient </w:t>
            </w:r>
            <w:r w:rsidRPr="008843F0">
              <w:rPr>
                <w:rFonts w:eastAsiaTheme="minorHAnsi"/>
              </w:rPr>
              <w:t>(%)</w:t>
            </w:r>
          </w:p>
          <w:p w14:paraId="232EC1C1" w14:textId="55443D79" w:rsidR="00783832" w:rsidRPr="008843F0" w:rsidRDefault="00783832" w:rsidP="003C2836">
            <w:pPr>
              <w:pStyle w:val="Tablecolhead"/>
              <w:rPr>
                <w:rFonts w:eastAsiaTheme="minorHAnsi"/>
              </w:rPr>
            </w:pPr>
            <w:r>
              <w:rPr>
                <w:rFonts w:eastAsiaTheme="minorHAnsi"/>
              </w:rPr>
              <w:t>Hb average (range)</w:t>
            </w:r>
          </w:p>
        </w:tc>
        <w:tc>
          <w:tcPr>
            <w:tcW w:w="2217" w:type="dxa"/>
          </w:tcPr>
          <w:p w14:paraId="119D7B9F" w14:textId="77777777" w:rsidR="00FA0D20" w:rsidRDefault="00FA0D20" w:rsidP="003C2836">
            <w:pPr>
              <w:pStyle w:val="Tablecolhead"/>
              <w:rPr>
                <w:rFonts w:eastAsiaTheme="minorHAnsi"/>
              </w:rPr>
            </w:pPr>
            <w:r w:rsidRPr="008843F0">
              <w:rPr>
                <w:rFonts w:eastAsiaTheme="minorHAnsi"/>
              </w:rPr>
              <w:t xml:space="preserve">Patients documented </w:t>
            </w:r>
            <w:r w:rsidRPr="008843F0">
              <w:t>as non-anaemic iron deficient</w:t>
            </w:r>
            <w:r w:rsidRPr="008843F0">
              <w:rPr>
                <w:rFonts w:eastAsiaTheme="minorHAnsi"/>
              </w:rPr>
              <w:t xml:space="preserve"> or reported as managed by health service</w:t>
            </w:r>
            <w:r w:rsidRPr="008843F0">
              <w:rPr>
                <w:rFonts w:eastAsiaTheme="minorHAnsi"/>
                <w:vertAlign w:val="superscript"/>
              </w:rPr>
              <w:footnoteReference w:id="2"/>
            </w:r>
            <w:r w:rsidRPr="008843F0">
              <w:rPr>
                <w:rFonts w:eastAsiaTheme="minorHAnsi"/>
              </w:rPr>
              <w:t xml:space="preserve"> (%)</w:t>
            </w:r>
          </w:p>
          <w:p w14:paraId="53CBC3C8" w14:textId="27FE0AE1" w:rsidR="00783832" w:rsidRPr="008843F0" w:rsidRDefault="00783832" w:rsidP="003C2836">
            <w:pPr>
              <w:pStyle w:val="Tablecolhead"/>
              <w:rPr>
                <w:rFonts w:eastAsiaTheme="minorHAnsi"/>
              </w:rPr>
            </w:pPr>
            <w:r w:rsidRPr="00783832">
              <w:rPr>
                <w:rFonts w:eastAsiaTheme="minorHAnsi"/>
              </w:rPr>
              <w:t>Hb average (range)</w:t>
            </w:r>
          </w:p>
        </w:tc>
      </w:tr>
      <w:tr w:rsidR="00FA0D20" w:rsidRPr="008843F0" w14:paraId="393A1769" w14:textId="77777777" w:rsidTr="002B2FD9">
        <w:tc>
          <w:tcPr>
            <w:tcW w:w="1432" w:type="dxa"/>
          </w:tcPr>
          <w:p w14:paraId="0D17CFF1" w14:textId="77777777" w:rsidR="00FA0D20" w:rsidRPr="008843F0" w:rsidRDefault="00FA0D20" w:rsidP="003C2836">
            <w:pPr>
              <w:pStyle w:val="Tabletext"/>
              <w:rPr>
                <w:rFonts w:eastAsiaTheme="minorHAnsi"/>
              </w:rPr>
            </w:pPr>
            <w:r w:rsidRPr="008843F0">
              <w:rPr>
                <w:rFonts w:eastAsiaTheme="minorHAnsi"/>
              </w:rPr>
              <w:t>Adult</w:t>
            </w:r>
          </w:p>
        </w:tc>
        <w:tc>
          <w:tcPr>
            <w:tcW w:w="1290" w:type="dxa"/>
          </w:tcPr>
          <w:p w14:paraId="6590F603" w14:textId="72F180EF" w:rsidR="00FA0D20" w:rsidRPr="008843F0" w:rsidRDefault="00AD2689" w:rsidP="003C2836">
            <w:pPr>
              <w:pStyle w:val="Tabletext"/>
              <w:rPr>
                <w:rFonts w:eastAsiaTheme="minorHAnsi"/>
              </w:rPr>
            </w:pPr>
            <w:r>
              <w:rPr>
                <w:rFonts w:eastAsiaTheme="minorHAnsi"/>
              </w:rPr>
              <w:t>M</w:t>
            </w:r>
            <w:r w:rsidRPr="008843F0">
              <w:rPr>
                <w:rFonts w:eastAsiaTheme="minorHAnsi"/>
              </w:rPr>
              <w:t>ale</w:t>
            </w:r>
          </w:p>
        </w:tc>
        <w:tc>
          <w:tcPr>
            <w:tcW w:w="1985" w:type="dxa"/>
          </w:tcPr>
          <w:p w14:paraId="053ACA67" w14:textId="77777777" w:rsidR="00FA0D20" w:rsidRPr="008843F0" w:rsidRDefault="00FA0D20" w:rsidP="002B2FD9">
            <w:pPr>
              <w:pStyle w:val="Tabletext"/>
              <w:jc w:val="right"/>
              <w:rPr>
                <w:rFonts w:eastAsiaTheme="minorHAnsi"/>
              </w:rPr>
            </w:pPr>
            <w:r w:rsidRPr="008843F0">
              <w:rPr>
                <w:rFonts w:eastAsiaTheme="minorHAnsi"/>
              </w:rPr>
              <w:t>495</w:t>
            </w:r>
          </w:p>
        </w:tc>
        <w:tc>
          <w:tcPr>
            <w:tcW w:w="1984" w:type="dxa"/>
          </w:tcPr>
          <w:p w14:paraId="3B7387D1" w14:textId="35EC41E4" w:rsidR="00FA0D20" w:rsidRPr="008843F0" w:rsidRDefault="00FA0D20" w:rsidP="002B2FD9">
            <w:pPr>
              <w:pStyle w:val="Tabletext"/>
              <w:jc w:val="right"/>
              <w:rPr>
                <w:rFonts w:eastAsiaTheme="minorHAnsi"/>
              </w:rPr>
            </w:pPr>
            <w:r w:rsidRPr="008843F0">
              <w:rPr>
                <w:rFonts w:eastAsiaTheme="minorHAnsi"/>
              </w:rPr>
              <w:t>17 (3%)</w:t>
            </w:r>
            <w:r w:rsidRPr="008843F0">
              <w:rPr>
                <w:rFonts w:eastAsiaTheme="minorHAnsi"/>
              </w:rPr>
              <w:br/>
              <w:t>Hb 142 (130</w:t>
            </w:r>
            <w:r w:rsidR="002102E4">
              <w:rPr>
                <w:rFonts w:eastAsiaTheme="minorHAnsi"/>
              </w:rPr>
              <w:t>–</w:t>
            </w:r>
            <w:r w:rsidRPr="008843F0">
              <w:rPr>
                <w:rFonts w:eastAsiaTheme="minorHAnsi"/>
              </w:rPr>
              <w:t>158)</w:t>
            </w:r>
          </w:p>
        </w:tc>
        <w:tc>
          <w:tcPr>
            <w:tcW w:w="2217" w:type="dxa"/>
          </w:tcPr>
          <w:p w14:paraId="5A2E31D1" w14:textId="37DEA854" w:rsidR="00FA0D20" w:rsidRPr="008843F0" w:rsidRDefault="00FA0D20" w:rsidP="002B2FD9">
            <w:pPr>
              <w:pStyle w:val="Tabletext"/>
              <w:jc w:val="right"/>
              <w:rPr>
                <w:rFonts w:eastAsiaTheme="minorHAnsi"/>
              </w:rPr>
            </w:pPr>
            <w:r w:rsidRPr="008843F0">
              <w:rPr>
                <w:rFonts w:eastAsiaTheme="minorHAnsi"/>
              </w:rPr>
              <w:t>7/17 (41%)</w:t>
            </w:r>
            <w:r w:rsidRPr="008843F0">
              <w:rPr>
                <w:rFonts w:eastAsiaTheme="minorHAnsi"/>
              </w:rPr>
              <w:br/>
              <w:t>Hb 134 (130</w:t>
            </w:r>
            <w:r w:rsidR="002102E4">
              <w:rPr>
                <w:rFonts w:eastAsiaTheme="minorHAnsi"/>
              </w:rPr>
              <w:t>–</w:t>
            </w:r>
            <w:r w:rsidRPr="008843F0">
              <w:rPr>
                <w:rFonts w:eastAsiaTheme="minorHAnsi"/>
              </w:rPr>
              <w:t>142)</w:t>
            </w:r>
          </w:p>
        </w:tc>
      </w:tr>
      <w:tr w:rsidR="00FA0D20" w:rsidRPr="008843F0" w14:paraId="6E96928E" w14:textId="77777777" w:rsidTr="002B2FD9">
        <w:tc>
          <w:tcPr>
            <w:tcW w:w="1432" w:type="dxa"/>
          </w:tcPr>
          <w:p w14:paraId="04A0F3FC" w14:textId="77777777" w:rsidR="00FA0D20" w:rsidRPr="008843F0" w:rsidRDefault="00FA0D20" w:rsidP="003C2836">
            <w:pPr>
              <w:pStyle w:val="Tabletext"/>
              <w:rPr>
                <w:rFonts w:eastAsiaTheme="minorHAnsi"/>
              </w:rPr>
            </w:pPr>
            <w:r w:rsidRPr="008843F0">
              <w:rPr>
                <w:rFonts w:eastAsiaTheme="minorHAnsi"/>
              </w:rPr>
              <w:t>Adult</w:t>
            </w:r>
          </w:p>
        </w:tc>
        <w:tc>
          <w:tcPr>
            <w:tcW w:w="1290" w:type="dxa"/>
          </w:tcPr>
          <w:p w14:paraId="2DBCC00C" w14:textId="73EC69AA" w:rsidR="00FA0D20" w:rsidRPr="008843F0" w:rsidRDefault="00AD2689" w:rsidP="003C2836">
            <w:pPr>
              <w:pStyle w:val="Tabletext"/>
              <w:rPr>
                <w:rFonts w:eastAsiaTheme="minorHAnsi"/>
              </w:rPr>
            </w:pPr>
            <w:r>
              <w:rPr>
                <w:rFonts w:eastAsiaTheme="minorHAnsi"/>
              </w:rPr>
              <w:t>F</w:t>
            </w:r>
            <w:r w:rsidRPr="008843F0">
              <w:rPr>
                <w:rFonts w:eastAsiaTheme="minorHAnsi"/>
              </w:rPr>
              <w:t>emale</w:t>
            </w:r>
          </w:p>
        </w:tc>
        <w:tc>
          <w:tcPr>
            <w:tcW w:w="1985" w:type="dxa"/>
          </w:tcPr>
          <w:p w14:paraId="3D205A5C" w14:textId="77777777" w:rsidR="00FA0D20" w:rsidRPr="008843F0" w:rsidRDefault="00FA0D20" w:rsidP="002B2FD9">
            <w:pPr>
              <w:pStyle w:val="Tabletext"/>
              <w:jc w:val="right"/>
              <w:rPr>
                <w:rFonts w:eastAsiaTheme="minorHAnsi"/>
              </w:rPr>
            </w:pPr>
            <w:r w:rsidRPr="008843F0">
              <w:rPr>
                <w:rFonts w:eastAsiaTheme="minorHAnsi"/>
              </w:rPr>
              <w:t>751</w:t>
            </w:r>
          </w:p>
        </w:tc>
        <w:tc>
          <w:tcPr>
            <w:tcW w:w="1984" w:type="dxa"/>
          </w:tcPr>
          <w:p w14:paraId="1D3758A3" w14:textId="486C0560" w:rsidR="00FA0D20" w:rsidRPr="008843F0" w:rsidRDefault="00FA0D20" w:rsidP="002B2FD9">
            <w:pPr>
              <w:pStyle w:val="Tabletext"/>
              <w:jc w:val="right"/>
              <w:rPr>
                <w:rFonts w:eastAsiaTheme="minorHAnsi"/>
              </w:rPr>
            </w:pPr>
            <w:r w:rsidRPr="008843F0">
              <w:rPr>
                <w:rFonts w:eastAsiaTheme="minorHAnsi"/>
              </w:rPr>
              <w:t>38 (5%)</w:t>
            </w:r>
            <w:r w:rsidRPr="008843F0">
              <w:rPr>
                <w:rFonts w:eastAsiaTheme="minorHAnsi"/>
              </w:rPr>
              <w:br/>
              <w:t>Hb 133 (12</w:t>
            </w:r>
            <w:r w:rsidR="002102E4">
              <w:rPr>
                <w:rFonts w:eastAsiaTheme="minorHAnsi"/>
              </w:rPr>
              <w:t>–</w:t>
            </w:r>
            <w:r w:rsidRPr="008843F0">
              <w:rPr>
                <w:rFonts w:eastAsiaTheme="minorHAnsi"/>
              </w:rPr>
              <w:t>151)</w:t>
            </w:r>
          </w:p>
        </w:tc>
        <w:tc>
          <w:tcPr>
            <w:tcW w:w="2217" w:type="dxa"/>
          </w:tcPr>
          <w:p w14:paraId="6F501731" w14:textId="73171D72" w:rsidR="00FA0D20" w:rsidRPr="008843F0" w:rsidRDefault="00FA0D20" w:rsidP="002B2FD9">
            <w:pPr>
              <w:pStyle w:val="Tabletext"/>
              <w:jc w:val="right"/>
              <w:rPr>
                <w:rFonts w:eastAsiaTheme="minorHAnsi"/>
              </w:rPr>
            </w:pPr>
            <w:r w:rsidRPr="008843F0">
              <w:rPr>
                <w:rFonts w:eastAsiaTheme="minorHAnsi"/>
              </w:rPr>
              <w:t>12/38 (32%)</w:t>
            </w:r>
            <w:r w:rsidRPr="008843F0">
              <w:rPr>
                <w:rFonts w:eastAsiaTheme="minorHAnsi"/>
              </w:rPr>
              <w:br/>
              <w:t>Hb 131 (123</w:t>
            </w:r>
            <w:r w:rsidR="002102E4">
              <w:rPr>
                <w:rFonts w:eastAsiaTheme="minorHAnsi"/>
              </w:rPr>
              <w:t>–</w:t>
            </w:r>
            <w:r w:rsidRPr="008843F0">
              <w:rPr>
                <w:rFonts w:eastAsiaTheme="minorHAnsi"/>
              </w:rPr>
              <w:t>142)</w:t>
            </w:r>
          </w:p>
        </w:tc>
      </w:tr>
      <w:tr w:rsidR="00FA0D20" w:rsidRPr="008843F0" w14:paraId="7B61816C" w14:textId="77777777" w:rsidTr="002B2FD9">
        <w:tc>
          <w:tcPr>
            <w:tcW w:w="1432" w:type="dxa"/>
          </w:tcPr>
          <w:p w14:paraId="2181572F" w14:textId="58D19BFE" w:rsidR="00FA0D20" w:rsidRPr="008843F0" w:rsidRDefault="00FA0D20" w:rsidP="003C2836">
            <w:pPr>
              <w:pStyle w:val="Tabletext"/>
              <w:rPr>
                <w:rFonts w:eastAsiaTheme="minorHAnsi"/>
              </w:rPr>
            </w:pPr>
            <w:r w:rsidRPr="008843F0">
              <w:rPr>
                <w:rFonts w:eastAsiaTheme="minorHAnsi"/>
              </w:rPr>
              <w:t>2</w:t>
            </w:r>
            <w:r w:rsidR="00AD2689">
              <w:rPr>
                <w:rFonts w:eastAsiaTheme="minorHAnsi"/>
              </w:rPr>
              <w:t>–</w:t>
            </w:r>
            <w:r w:rsidRPr="008843F0">
              <w:rPr>
                <w:rFonts w:eastAsiaTheme="minorHAnsi"/>
              </w:rPr>
              <w:t>11 years</w:t>
            </w:r>
          </w:p>
        </w:tc>
        <w:tc>
          <w:tcPr>
            <w:tcW w:w="1290" w:type="dxa"/>
          </w:tcPr>
          <w:p w14:paraId="79FA7AD1" w14:textId="7C5A4998" w:rsidR="00FA0D20" w:rsidRPr="008843F0" w:rsidRDefault="00AD2689" w:rsidP="003C2836">
            <w:pPr>
              <w:pStyle w:val="Tabletext"/>
              <w:rPr>
                <w:rFonts w:eastAsiaTheme="minorHAnsi"/>
              </w:rPr>
            </w:pPr>
            <w:r>
              <w:rPr>
                <w:rFonts w:eastAsiaTheme="minorHAnsi"/>
              </w:rPr>
              <w:t>B</w:t>
            </w:r>
            <w:r w:rsidRPr="008843F0">
              <w:rPr>
                <w:rFonts w:eastAsiaTheme="minorHAnsi"/>
              </w:rPr>
              <w:t xml:space="preserve">oys </w:t>
            </w:r>
            <w:r w:rsidR="00FA0D20" w:rsidRPr="008843F0">
              <w:rPr>
                <w:rFonts w:eastAsiaTheme="minorHAnsi"/>
              </w:rPr>
              <w:t>and girls</w:t>
            </w:r>
          </w:p>
        </w:tc>
        <w:tc>
          <w:tcPr>
            <w:tcW w:w="1985" w:type="dxa"/>
          </w:tcPr>
          <w:p w14:paraId="19468E7A" w14:textId="77777777" w:rsidR="00FA0D20" w:rsidRPr="008843F0" w:rsidRDefault="00FA0D20" w:rsidP="002B2FD9">
            <w:pPr>
              <w:pStyle w:val="Tabletext"/>
              <w:jc w:val="right"/>
              <w:rPr>
                <w:rFonts w:eastAsiaTheme="minorHAnsi"/>
              </w:rPr>
            </w:pPr>
            <w:r w:rsidRPr="008843F0">
              <w:rPr>
                <w:rFonts w:eastAsiaTheme="minorHAnsi"/>
              </w:rPr>
              <w:t>4</w:t>
            </w:r>
          </w:p>
        </w:tc>
        <w:tc>
          <w:tcPr>
            <w:tcW w:w="1984" w:type="dxa"/>
          </w:tcPr>
          <w:p w14:paraId="42D49D2F" w14:textId="77777777" w:rsidR="00FA0D20" w:rsidRPr="008843F0" w:rsidRDefault="00FA0D20" w:rsidP="002B2FD9">
            <w:pPr>
              <w:pStyle w:val="Tabletext"/>
              <w:jc w:val="right"/>
              <w:rPr>
                <w:rFonts w:eastAsiaTheme="minorHAnsi"/>
              </w:rPr>
            </w:pPr>
            <w:r w:rsidRPr="008843F0">
              <w:rPr>
                <w:rFonts w:eastAsiaTheme="minorHAnsi"/>
              </w:rPr>
              <w:t>0</w:t>
            </w:r>
          </w:p>
        </w:tc>
        <w:tc>
          <w:tcPr>
            <w:tcW w:w="2217" w:type="dxa"/>
          </w:tcPr>
          <w:p w14:paraId="719EFD1F" w14:textId="77777777" w:rsidR="00FA0D20" w:rsidRPr="008843F0" w:rsidRDefault="00FA0D20" w:rsidP="002B2FD9">
            <w:pPr>
              <w:pStyle w:val="Tabletext"/>
              <w:jc w:val="right"/>
              <w:rPr>
                <w:rFonts w:eastAsiaTheme="minorHAnsi"/>
              </w:rPr>
            </w:pPr>
            <w:r w:rsidRPr="008843F0">
              <w:rPr>
                <w:rFonts w:eastAsiaTheme="minorHAnsi"/>
              </w:rPr>
              <w:t>0</w:t>
            </w:r>
          </w:p>
        </w:tc>
      </w:tr>
    </w:tbl>
    <w:p w14:paraId="65C9C1EB" w14:textId="290AF749" w:rsidR="001C5B45" w:rsidRPr="008843F0" w:rsidRDefault="00AD2689" w:rsidP="001C5B45">
      <w:pPr>
        <w:pStyle w:val="Tablecaption"/>
      </w:pPr>
      <w:r>
        <w:t xml:space="preserve">Table </w:t>
      </w:r>
      <w:r w:rsidR="005E52B4">
        <w:fldChar w:fldCharType="begin"/>
      </w:r>
      <w:r w:rsidR="005E52B4">
        <w:instrText xml:space="preserve"> SEQ Table \* ARABIC </w:instrText>
      </w:r>
      <w:r w:rsidR="005E52B4">
        <w:fldChar w:fldCharType="separate"/>
      </w:r>
      <w:r w:rsidR="00857812">
        <w:rPr>
          <w:noProof/>
        </w:rPr>
        <w:t>5</w:t>
      </w:r>
      <w:r w:rsidR="005E52B4">
        <w:rPr>
          <w:noProof/>
        </w:rPr>
        <w:fldChar w:fldCharType="end"/>
      </w:r>
      <w:r>
        <w:rPr>
          <w:noProof/>
        </w:rPr>
        <w:t xml:space="preserve">: </w:t>
      </w:r>
      <w:r w:rsidR="001C5B45" w:rsidRPr="008843F0">
        <w:t>Patients documented as anaemic</w:t>
      </w:r>
      <w:r>
        <w:rPr>
          <w:rStyle w:val="FootnoteReference"/>
        </w:rPr>
        <w:footnoteReference w:id="3"/>
      </w:r>
      <w:r w:rsidR="001C5B45" w:rsidRPr="008843F0">
        <w:t xml:space="preserve"> by age and gender </w:t>
      </w:r>
      <w:r>
        <w:t>as per</w:t>
      </w:r>
      <w:r w:rsidR="001C5B45" w:rsidRPr="008843F0">
        <w:t xml:space="preserve"> Module 2</w:t>
      </w:r>
      <w:r>
        <w:t>,</w:t>
      </w:r>
      <w:r w:rsidR="001C5B45" w:rsidRPr="008843F0">
        <w:t xml:space="preserve"> and those reported as documented </w:t>
      </w:r>
      <w:r w:rsidR="001C5B45" w:rsidRPr="001C5B45">
        <w:t>or</w:t>
      </w:r>
      <w:r w:rsidR="001C5B45" w:rsidRPr="008843F0">
        <w:t xml:space="preserve"> managed by the health service.</w:t>
      </w:r>
    </w:p>
    <w:tbl>
      <w:tblPr>
        <w:tblStyle w:val="TableGrid1"/>
        <w:tblW w:w="0" w:type="auto"/>
        <w:tblLook w:val="04A0" w:firstRow="1" w:lastRow="0" w:firstColumn="1" w:lastColumn="0" w:noHBand="0" w:noVBand="1"/>
      </w:tblPr>
      <w:tblGrid>
        <w:gridCol w:w="1432"/>
        <w:gridCol w:w="1293"/>
        <w:gridCol w:w="1985"/>
        <w:gridCol w:w="1985"/>
        <w:gridCol w:w="2217"/>
      </w:tblGrid>
      <w:tr w:rsidR="001C5B45" w:rsidRPr="008843F0" w14:paraId="1FB425BC" w14:textId="77777777" w:rsidTr="002B2FD9">
        <w:tc>
          <w:tcPr>
            <w:tcW w:w="1432" w:type="dxa"/>
          </w:tcPr>
          <w:p w14:paraId="08213A5A" w14:textId="77777777" w:rsidR="001C5B45" w:rsidRPr="008E4115" w:rsidRDefault="001C5B45" w:rsidP="003C2836">
            <w:pPr>
              <w:pStyle w:val="Tablecolhead"/>
              <w:rPr>
                <w:rFonts w:eastAsiaTheme="minorHAnsi"/>
              </w:rPr>
            </w:pPr>
            <w:r w:rsidRPr="008E4115">
              <w:rPr>
                <w:rFonts w:eastAsiaTheme="minorHAnsi"/>
              </w:rPr>
              <w:t>Age range</w:t>
            </w:r>
          </w:p>
        </w:tc>
        <w:tc>
          <w:tcPr>
            <w:tcW w:w="1293" w:type="dxa"/>
          </w:tcPr>
          <w:p w14:paraId="7DC84A56" w14:textId="77777777" w:rsidR="001C5B45" w:rsidRPr="008E4115" w:rsidRDefault="001C5B45" w:rsidP="003C2836">
            <w:pPr>
              <w:pStyle w:val="Tablecolhead"/>
              <w:rPr>
                <w:rFonts w:eastAsiaTheme="minorHAnsi"/>
              </w:rPr>
            </w:pPr>
            <w:r w:rsidRPr="008E4115">
              <w:rPr>
                <w:rFonts w:eastAsiaTheme="minorHAnsi"/>
              </w:rPr>
              <w:t>Gender</w:t>
            </w:r>
          </w:p>
        </w:tc>
        <w:tc>
          <w:tcPr>
            <w:tcW w:w="1985" w:type="dxa"/>
          </w:tcPr>
          <w:p w14:paraId="07D8B590" w14:textId="070D237F" w:rsidR="001C5B45" w:rsidRPr="008E4115" w:rsidRDefault="001C5B45" w:rsidP="003C2836">
            <w:pPr>
              <w:pStyle w:val="Tablecolhead"/>
              <w:rPr>
                <w:rFonts w:eastAsiaTheme="minorHAnsi"/>
              </w:rPr>
            </w:pPr>
            <w:r w:rsidRPr="008E4115">
              <w:rPr>
                <w:rFonts w:eastAsiaTheme="minorHAnsi"/>
              </w:rPr>
              <w:t>Total number of patients preoperatively assessed (</w:t>
            </w:r>
            <w:r w:rsidR="00AD2689" w:rsidRPr="008E4115">
              <w:rPr>
                <w:rFonts w:eastAsiaTheme="minorHAnsi"/>
              </w:rPr>
              <w:t>n</w:t>
            </w:r>
            <w:r w:rsidR="00AD2689">
              <w:rPr>
                <w:rFonts w:eastAsiaTheme="minorHAnsi"/>
              </w:rPr>
              <w:t> </w:t>
            </w:r>
            <w:r w:rsidR="00AD2689" w:rsidRPr="008E4115">
              <w:rPr>
                <w:rFonts w:eastAsiaTheme="minorHAnsi"/>
              </w:rPr>
              <w:t>=</w:t>
            </w:r>
            <w:r w:rsidR="00AD2689">
              <w:rPr>
                <w:rFonts w:eastAsiaTheme="minorHAnsi"/>
              </w:rPr>
              <w:t> </w:t>
            </w:r>
            <w:r w:rsidRPr="008E4115">
              <w:rPr>
                <w:rFonts w:eastAsiaTheme="minorHAnsi"/>
              </w:rPr>
              <w:t>1,250)</w:t>
            </w:r>
          </w:p>
        </w:tc>
        <w:tc>
          <w:tcPr>
            <w:tcW w:w="1985" w:type="dxa"/>
          </w:tcPr>
          <w:p w14:paraId="1FBA1395" w14:textId="77777777" w:rsidR="001C5B45" w:rsidRPr="008E4115" w:rsidRDefault="001C5B45" w:rsidP="003C2836">
            <w:pPr>
              <w:pStyle w:val="Tablecolhead"/>
              <w:rPr>
                <w:rFonts w:eastAsiaTheme="minorHAnsi"/>
              </w:rPr>
            </w:pPr>
            <w:r w:rsidRPr="008E4115">
              <w:rPr>
                <w:rFonts w:eastAsiaTheme="minorHAnsi"/>
              </w:rPr>
              <w:t xml:space="preserve">Patients determined </w:t>
            </w:r>
            <w:r w:rsidRPr="008E4115">
              <w:t xml:space="preserve">anaemic </w:t>
            </w:r>
            <w:r w:rsidRPr="008E4115">
              <w:rPr>
                <w:rFonts w:eastAsiaTheme="minorHAnsi"/>
              </w:rPr>
              <w:t>by Module 2 template definition (%)</w:t>
            </w:r>
          </w:p>
        </w:tc>
        <w:tc>
          <w:tcPr>
            <w:tcW w:w="2217" w:type="dxa"/>
          </w:tcPr>
          <w:p w14:paraId="408DEC6F" w14:textId="77777777" w:rsidR="001C5B45" w:rsidRPr="008E4115" w:rsidRDefault="001C5B45" w:rsidP="003C2836">
            <w:pPr>
              <w:pStyle w:val="Tablecolhead"/>
              <w:rPr>
                <w:rFonts w:eastAsiaTheme="minorHAnsi"/>
              </w:rPr>
            </w:pPr>
            <w:r w:rsidRPr="008E4115">
              <w:rPr>
                <w:rFonts w:eastAsiaTheme="minorHAnsi"/>
              </w:rPr>
              <w:t xml:space="preserve">Patients documented </w:t>
            </w:r>
            <w:r w:rsidRPr="008E4115">
              <w:t xml:space="preserve">as anaemic </w:t>
            </w:r>
            <w:r w:rsidRPr="008E4115">
              <w:rPr>
                <w:rFonts w:eastAsiaTheme="minorHAnsi"/>
              </w:rPr>
              <w:t>or reported as managed by health service (%)</w:t>
            </w:r>
          </w:p>
        </w:tc>
      </w:tr>
      <w:tr w:rsidR="001C5B45" w:rsidRPr="008843F0" w14:paraId="11EFFE5B" w14:textId="77777777" w:rsidTr="002B2FD9">
        <w:tc>
          <w:tcPr>
            <w:tcW w:w="1432" w:type="dxa"/>
          </w:tcPr>
          <w:p w14:paraId="5D1854BE" w14:textId="77777777" w:rsidR="001C5B45" w:rsidRPr="008E4115" w:rsidRDefault="001C5B45" w:rsidP="003C2836">
            <w:pPr>
              <w:pStyle w:val="Tabletext"/>
              <w:rPr>
                <w:rFonts w:eastAsiaTheme="minorHAnsi"/>
              </w:rPr>
            </w:pPr>
            <w:r w:rsidRPr="008E4115">
              <w:rPr>
                <w:rFonts w:eastAsiaTheme="minorHAnsi"/>
              </w:rPr>
              <w:t>Adult</w:t>
            </w:r>
          </w:p>
        </w:tc>
        <w:tc>
          <w:tcPr>
            <w:tcW w:w="1293" w:type="dxa"/>
          </w:tcPr>
          <w:p w14:paraId="0977E6C0" w14:textId="1E178246" w:rsidR="001C5B45" w:rsidRPr="008E4115" w:rsidRDefault="00AD2689" w:rsidP="003C2836">
            <w:pPr>
              <w:pStyle w:val="Tabletext"/>
              <w:rPr>
                <w:rFonts w:eastAsiaTheme="minorHAnsi"/>
              </w:rPr>
            </w:pPr>
            <w:r>
              <w:rPr>
                <w:rFonts w:eastAsiaTheme="minorHAnsi"/>
              </w:rPr>
              <w:t>M</w:t>
            </w:r>
            <w:r w:rsidRPr="008E4115">
              <w:rPr>
                <w:rFonts w:eastAsiaTheme="minorHAnsi"/>
              </w:rPr>
              <w:t>ale</w:t>
            </w:r>
          </w:p>
        </w:tc>
        <w:tc>
          <w:tcPr>
            <w:tcW w:w="1985" w:type="dxa"/>
          </w:tcPr>
          <w:p w14:paraId="57DC128A" w14:textId="77777777" w:rsidR="001C5B45" w:rsidRPr="008E4115" w:rsidRDefault="001C5B45" w:rsidP="002B2FD9">
            <w:pPr>
              <w:pStyle w:val="Tabletext"/>
              <w:jc w:val="right"/>
              <w:rPr>
                <w:rFonts w:eastAsiaTheme="minorHAnsi"/>
              </w:rPr>
            </w:pPr>
            <w:r w:rsidRPr="008E4115">
              <w:rPr>
                <w:rFonts w:eastAsiaTheme="minorHAnsi"/>
              </w:rPr>
              <w:t>495</w:t>
            </w:r>
          </w:p>
        </w:tc>
        <w:tc>
          <w:tcPr>
            <w:tcW w:w="1985" w:type="dxa"/>
          </w:tcPr>
          <w:p w14:paraId="30C01A37" w14:textId="617AE64A" w:rsidR="001C5B45" w:rsidRPr="008E4115" w:rsidRDefault="001C5B45" w:rsidP="002B2FD9">
            <w:pPr>
              <w:pStyle w:val="Tabletext"/>
              <w:jc w:val="right"/>
              <w:rPr>
                <w:rFonts w:eastAsiaTheme="minorHAnsi"/>
              </w:rPr>
            </w:pPr>
            <w:r w:rsidRPr="008E4115">
              <w:rPr>
                <w:rFonts w:eastAsiaTheme="minorHAnsi"/>
              </w:rPr>
              <w:t>61 (12%)</w:t>
            </w:r>
            <w:r w:rsidRPr="008E4115">
              <w:rPr>
                <w:rFonts w:eastAsiaTheme="minorHAnsi"/>
              </w:rPr>
              <w:br/>
              <w:t>Hb 117 (45–129)</w:t>
            </w:r>
          </w:p>
        </w:tc>
        <w:tc>
          <w:tcPr>
            <w:tcW w:w="2217" w:type="dxa"/>
          </w:tcPr>
          <w:p w14:paraId="54BA80E7" w14:textId="6405DFFE" w:rsidR="001C5B45" w:rsidRPr="008E4115" w:rsidRDefault="001C5B45" w:rsidP="002B2FD9">
            <w:pPr>
              <w:pStyle w:val="Tabletext"/>
              <w:jc w:val="right"/>
              <w:rPr>
                <w:rFonts w:eastAsiaTheme="minorHAnsi"/>
              </w:rPr>
            </w:pPr>
            <w:r w:rsidRPr="008E4115">
              <w:rPr>
                <w:rFonts w:eastAsiaTheme="minorHAnsi"/>
              </w:rPr>
              <w:t>17/61 (28%)</w:t>
            </w:r>
            <w:r w:rsidRPr="008E4115">
              <w:rPr>
                <w:rFonts w:eastAsiaTheme="minorHAnsi"/>
              </w:rPr>
              <w:br/>
              <w:t>Hb 105 (45–129)</w:t>
            </w:r>
          </w:p>
        </w:tc>
      </w:tr>
      <w:tr w:rsidR="001C5B45" w:rsidRPr="008843F0" w14:paraId="047BE7C9" w14:textId="77777777" w:rsidTr="002B2FD9">
        <w:tc>
          <w:tcPr>
            <w:tcW w:w="1432" w:type="dxa"/>
          </w:tcPr>
          <w:p w14:paraId="3EFD93C5" w14:textId="77777777" w:rsidR="001C5B45" w:rsidRPr="008E4115" w:rsidRDefault="001C5B45" w:rsidP="003C2836">
            <w:pPr>
              <w:pStyle w:val="Tabletext"/>
              <w:rPr>
                <w:rFonts w:eastAsiaTheme="minorHAnsi"/>
              </w:rPr>
            </w:pPr>
            <w:r w:rsidRPr="008E4115">
              <w:rPr>
                <w:rFonts w:eastAsiaTheme="minorHAnsi"/>
              </w:rPr>
              <w:t>Adult</w:t>
            </w:r>
          </w:p>
        </w:tc>
        <w:tc>
          <w:tcPr>
            <w:tcW w:w="1293" w:type="dxa"/>
          </w:tcPr>
          <w:p w14:paraId="211AB493" w14:textId="506EFBCC" w:rsidR="001C5B45" w:rsidRPr="008E4115" w:rsidRDefault="00AD2689" w:rsidP="003C2836">
            <w:pPr>
              <w:pStyle w:val="Tabletext"/>
              <w:rPr>
                <w:rFonts w:eastAsiaTheme="minorHAnsi"/>
              </w:rPr>
            </w:pPr>
            <w:r>
              <w:rPr>
                <w:rFonts w:eastAsiaTheme="minorHAnsi"/>
              </w:rPr>
              <w:t>F</w:t>
            </w:r>
            <w:r w:rsidRPr="008E4115">
              <w:rPr>
                <w:rFonts w:eastAsiaTheme="minorHAnsi"/>
              </w:rPr>
              <w:t>emale</w:t>
            </w:r>
          </w:p>
        </w:tc>
        <w:tc>
          <w:tcPr>
            <w:tcW w:w="1985" w:type="dxa"/>
          </w:tcPr>
          <w:p w14:paraId="188E343C" w14:textId="77777777" w:rsidR="001C5B45" w:rsidRPr="008E4115" w:rsidRDefault="001C5B45" w:rsidP="002B2FD9">
            <w:pPr>
              <w:pStyle w:val="Tabletext"/>
              <w:jc w:val="right"/>
              <w:rPr>
                <w:rFonts w:eastAsiaTheme="minorHAnsi"/>
              </w:rPr>
            </w:pPr>
            <w:r w:rsidRPr="008E4115">
              <w:rPr>
                <w:rFonts w:eastAsiaTheme="minorHAnsi"/>
              </w:rPr>
              <w:t>751</w:t>
            </w:r>
          </w:p>
        </w:tc>
        <w:tc>
          <w:tcPr>
            <w:tcW w:w="1985" w:type="dxa"/>
          </w:tcPr>
          <w:p w14:paraId="2276AA8E" w14:textId="49873437" w:rsidR="001C5B45" w:rsidRPr="008E4115" w:rsidRDefault="001C5B45" w:rsidP="002B2FD9">
            <w:pPr>
              <w:pStyle w:val="Tabletext"/>
              <w:jc w:val="right"/>
              <w:rPr>
                <w:rFonts w:eastAsiaTheme="minorHAnsi"/>
              </w:rPr>
            </w:pPr>
            <w:r w:rsidRPr="008E4115">
              <w:rPr>
                <w:rFonts w:eastAsiaTheme="minorHAnsi"/>
              </w:rPr>
              <w:t>89 (21%)</w:t>
            </w:r>
            <w:r w:rsidRPr="008E4115">
              <w:rPr>
                <w:rFonts w:eastAsiaTheme="minorHAnsi"/>
              </w:rPr>
              <w:br/>
              <w:t>Hb 109 (67–119)</w:t>
            </w:r>
          </w:p>
        </w:tc>
        <w:tc>
          <w:tcPr>
            <w:tcW w:w="2217" w:type="dxa"/>
          </w:tcPr>
          <w:p w14:paraId="3D79CB60" w14:textId="698F72B2" w:rsidR="001C5B45" w:rsidRPr="008E4115" w:rsidRDefault="001C5B45" w:rsidP="002B2FD9">
            <w:pPr>
              <w:pStyle w:val="Tabletext"/>
              <w:jc w:val="right"/>
              <w:rPr>
                <w:rFonts w:eastAsiaTheme="minorHAnsi"/>
              </w:rPr>
            </w:pPr>
            <w:r w:rsidRPr="008E4115">
              <w:rPr>
                <w:rFonts w:eastAsiaTheme="minorHAnsi"/>
              </w:rPr>
              <w:t>30/89 (34%)</w:t>
            </w:r>
            <w:r w:rsidRPr="008E4115">
              <w:rPr>
                <w:rFonts w:eastAsiaTheme="minorHAnsi"/>
              </w:rPr>
              <w:br/>
              <w:t>Hb 105 (67–119)</w:t>
            </w:r>
          </w:p>
        </w:tc>
      </w:tr>
      <w:tr w:rsidR="001C5B45" w:rsidRPr="008843F0" w14:paraId="0EF6A409" w14:textId="77777777" w:rsidTr="002B2FD9">
        <w:tc>
          <w:tcPr>
            <w:tcW w:w="1432" w:type="dxa"/>
          </w:tcPr>
          <w:p w14:paraId="2077CF8E" w14:textId="3F2FFE84" w:rsidR="001C5B45" w:rsidRPr="008E4115" w:rsidRDefault="001C5B45" w:rsidP="003C2836">
            <w:pPr>
              <w:pStyle w:val="Tabletext"/>
              <w:rPr>
                <w:rFonts w:eastAsiaTheme="minorHAnsi"/>
              </w:rPr>
            </w:pPr>
            <w:r w:rsidRPr="008E4115">
              <w:rPr>
                <w:rFonts w:eastAsiaTheme="minorHAnsi"/>
              </w:rPr>
              <w:t>2</w:t>
            </w:r>
            <w:r w:rsidR="00AD2689">
              <w:rPr>
                <w:rFonts w:eastAsiaTheme="minorHAnsi"/>
              </w:rPr>
              <w:t>–</w:t>
            </w:r>
            <w:r w:rsidRPr="008E4115">
              <w:rPr>
                <w:rFonts w:eastAsiaTheme="minorHAnsi"/>
              </w:rPr>
              <w:t>11 years</w:t>
            </w:r>
          </w:p>
        </w:tc>
        <w:tc>
          <w:tcPr>
            <w:tcW w:w="1293" w:type="dxa"/>
          </w:tcPr>
          <w:p w14:paraId="2F6243A4" w14:textId="2F43DE5A" w:rsidR="001C5B45" w:rsidRPr="008E4115" w:rsidRDefault="00AD2689" w:rsidP="003C2836">
            <w:pPr>
              <w:pStyle w:val="Tabletext"/>
              <w:rPr>
                <w:rFonts w:eastAsiaTheme="minorHAnsi"/>
              </w:rPr>
            </w:pPr>
            <w:r>
              <w:rPr>
                <w:rFonts w:eastAsiaTheme="minorHAnsi"/>
              </w:rPr>
              <w:t>B</w:t>
            </w:r>
            <w:r w:rsidRPr="008E4115">
              <w:rPr>
                <w:rFonts w:eastAsiaTheme="minorHAnsi"/>
              </w:rPr>
              <w:t xml:space="preserve">oys </w:t>
            </w:r>
            <w:r w:rsidR="001C5B45" w:rsidRPr="008E4115">
              <w:rPr>
                <w:rFonts w:eastAsiaTheme="minorHAnsi"/>
              </w:rPr>
              <w:t>and girls</w:t>
            </w:r>
          </w:p>
        </w:tc>
        <w:tc>
          <w:tcPr>
            <w:tcW w:w="1985" w:type="dxa"/>
          </w:tcPr>
          <w:p w14:paraId="67C9C83D" w14:textId="77777777" w:rsidR="001C5B45" w:rsidRPr="008E4115" w:rsidRDefault="001C5B45" w:rsidP="002B2FD9">
            <w:pPr>
              <w:pStyle w:val="Tabletext"/>
              <w:jc w:val="right"/>
              <w:rPr>
                <w:rFonts w:eastAsiaTheme="minorHAnsi"/>
              </w:rPr>
            </w:pPr>
            <w:r w:rsidRPr="008E4115">
              <w:rPr>
                <w:rFonts w:eastAsiaTheme="minorHAnsi"/>
              </w:rPr>
              <w:t>4</w:t>
            </w:r>
          </w:p>
        </w:tc>
        <w:tc>
          <w:tcPr>
            <w:tcW w:w="1985" w:type="dxa"/>
          </w:tcPr>
          <w:p w14:paraId="4313A7F3" w14:textId="77777777" w:rsidR="001C5B45" w:rsidRPr="008E4115" w:rsidRDefault="001C5B45" w:rsidP="002B2FD9">
            <w:pPr>
              <w:pStyle w:val="Tabletext"/>
              <w:jc w:val="right"/>
              <w:rPr>
                <w:rFonts w:eastAsiaTheme="minorHAnsi"/>
              </w:rPr>
            </w:pPr>
            <w:r w:rsidRPr="008E4115">
              <w:rPr>
                <w:rFonts w:eastAsiaTheme="minorHAnsi"/>
              </w:rPr>
              <w:t>0</w:t>
            </w:r>
          </w:p>
        </w:tc>
        <w:tc>
          <w:tcPr>
            <w:tcW w:w="2217" w:type="dxa"/>
          </w:tcPr>
          <w:p w14:paraId="641EDC4F" w14:textId="77777777" w:rsidR="001C5B45" w:rsidRPr="008E4115" w:rsidRDefault="001C5B45" w:rsidP="002B2FD9">
            <w:pPr>
              <w:pStyle w:val="Tabletext"/>
              <w:jc w:val="right"/>
              <w:rPr>
                <w:rFonts w:eastAsiaTheme="minorHAnsi"/>
              </w:rPr>
            </w:pPr>
            <w:r w:rsidRPr="008E4115">
              <w:rPr>
                <w:rFonts w:eastAsiaTheme="minorHAnsi"/>
              </w:rPr>
              <w:t>0</w:t>
            </w:r>
          </w:p>
        </w:tc>
      </w:tr>
    </w:tbl>
    <w:p w14:paraId="377EB44B" w14:textId="2B83C422" w:rsidR="001C5B45" w:rsidRPr="008843F0" w:rsidRDefault="002102E4" w:rsidP="001C5B45">
      <w:pPr>
        <w:pStyle w:val="Tablecaption"/>
      </w:pPr>
      <w:r>
        <w:lastRenderedPageBreak/>
        <w:t xml:space="preserve">Table </w:t>
      </w:r>
      <w:r w:rsidR="005E52B4">
        <w:fldChar w:fldCharType="begin"/>
      </w:r>
      <w:r w:rsidR="005E52B4">
        <w:instrText xml:space="preserve"> SEQ Table \* ARABIC </w:instrText>
      </w:r>
      <w:r w:rsidR="005E52B4">
        <w:fldChar w:fldCharType="separate"/>
      </w:r>
      <w:r w:rsidR="00857812">
        <w:rPr>
          <w:noProof/>
        </w:rPr>
        <w:t>6</w:t>
      </w:r>
      <w:r w:rsidR="005E52B4">
        <w:rPr>
          <w:noProof/>
        </w:rPr>
        <w:fldChar w:fldCharType="end"/>
      </w:r>
      <w:r>
        <w:rPr>
          <w:noProof/>
        </w:rPr>
        <w:t xml:space="preserve">: </w:t>
      </w:r>
      <w:r w:rsidR="001C5B45" w:rsidRPr="008843F0">
        <w:t xml:space="preserve">Patients </w:t>
      </w:r>
      <w:r w:rsidR="001C5B45" w:rsidRPr="001C5B45">
        <w:t>documented</w:t>
      </w:r>
      <w:r w:rsidR="001C5B45" w:rsidRPr="008843F0">
        <w:t xml:space="preserve"> as iron deficient anaemia by age and gender </w:t>
      </w:r>
      <w:r>
        <w:t>as per</w:t>
      </w:r>
      <w:r w:rsidR="001C5B45" w:rsidRPr="008843F0">
        <w:t xml:space="preserve"> Module 2</w:t>
      </w:r>
      <w:r w:rsidR="00783832">
        <w:t>,</w:t>
      </w:r>
      <w:r w:rsidR="001C5B45" w:rsidRPr="008843F0">
        <w:t xml:space="preserve"> and those reported as documented or managed by the health service.</w:t>
      </w:r>
    </w:p>
    <w:tbl>
      <w:tblPr>
        <w:tblStyle w:val="TableGrid1"/>
        <w:tblW w:w="0" w:type="auto"/>
        <w:tblLook w:val="04A0" w:firstRow="1" w:lastRow="0" w:firstColumn="1" w:lastColumn="0" w:noHBand="0" w:noVBand="1"/>
      </w:tblPr>
      <w:tblGrid>
        <w:gridCol w:w="1432"/>
        <w:gridCol w:w="1293"/>
        <w:gridCol w:w="1967"/>
        <w:gridCol w:w="1967"/>
        <w:gridCol w:w="2217"/>
      </w:tblGrid>
      <w:tr w:rsidR="001C5B45" w:rsidRPr="008843F0" w14:paraId="6E083EC6" w14:textId="77777777" w:rsidTr="002B2FD9">
        <w:tc>
          <w:tcPr>
            <w:tcW w:w="1432" w:type="dxa"/>
          </w:tcPr>
          <w:p w14:paraId="12D76E93" w14:textId="77777777" w:rsidR="001C5B45" w:rsidRPr="008843F0" w:rsidRDefault="001C5B45" w:rsidP="003C2836">
            <w:pPr>
              <w:pStyle w:val="Tablecolhead"/>
              <w:rPr>
                <w:rFonts w:eastAsiaTheme="minorHAnsi"/>
              </w:rPr>
            </w:pPr>
            <w:r w:rsidRPr="008843F0">
              <w:rPr>
                <w:rFonts w:eastAsiaTheme="minorHAnsi"/>
              </w:rPr>
              <w:t>Age range</w:t>
            </w:r>
          </w:p>
        </w:tc>
        <w:tc>
          <w:tcPr>
            <w:tcW w:w="1293" w:type="dxa"/>
          </w:tcPr>
          <w:p w14:paraId="6DB9C242" w14:textId="77777777" w:rsidR="001C5B45" w:rsidRPr="008843F0" w:rsidRDefault="001C5B45" w:rsidP="003C2836">
            <w:pPr>
              <w:pStyle w:val="Tablecolhead"/>
              <w:rPr>
                <w:rFonts w:eastAsiaTheme="minorHAnsi"/>
              </w:rPr>
            </w:pPr>
            <w:r w:rsidRPr="008843F0">
              <w:rPr>
                <w:rFonts w:eastAsiaTheme="minorHAnsi"/>
              </w:rPr>
              <w:t>Gender</w:t>
            </w:r>
          </w:p>
        </w:tc>
        <w:tc>
          <w:tcPr>
            <w:tcW w:w="1967" w:type="dxa"/>
          </w:tcPr>
          <w:p w14:paraId="0A5E5B69" w14:textId="77777777" w:rsidR="001C5B45" w:rsidRPr="008843F0" w:rsidRDefault="001C5B45" w:rsidP="003C2836">
            <w:pPr>
              <w:pStyle w:val="Tablecolhead"/>
              <w:rPr>
                <w:rFonts w:eastAsiaTheme="minorHAnsi"/>
              </w:rPr>
            </w:pPr>
            <w:r w:rsidRPr="008843F0">
              <w:rPr>
                <w:rFonts w:eastAsiaTheme="minorHAnsi"/>
              </w:rPr>
              <w:t>Total number of patients preoperatively assessed (n = 1,250)</w:t>
            </w:r>
          </w:p>
        </w:tc>
        <w:tc>
          <w:tcPr>
            <w:tcW w:w="1967" w:type="dxa"/>
          </w:tcPr>
          <w:p w14:paraId="60E58151" w14:textId="77777777" w:rsidR="001C5B45" w:rsidRPr="008843F0" w:rsidRDefault="001C5B45" w:rsidP="003C2836">
            <w:pPr>
              <w:pStyle w:val="Tablecolhead"/>
              <w:rPr>
                <w:rFonts w:eastAsiaTheme="minorHAnsi"/>
              </w:rPr>
            </w:pPr>
            <w:r w:rsidRPr="008843F0">
              <w:rPr>
                <w:rFonts w:eastAsiaTheme="minorHAnsi"/>
              </w:rPr>
              <w:t xml:space="preserve">Patients determined </w:t>
            </w:r>
            <w:r w:rsidRPr="008843F0">
              <w:t xml:space="preserve">iron deficient anaemia </w:t>
            </w:r>
            <w:r w:rsidRPr="008843F0">
              <w:rPr>
                <w:rFonts w:eastAsiaTheme="minorHAnsi"/>
              </w:rPr>
              <w:t>by Module 2 template definition (%)</w:t>
            </w:r>
          </w:p>
        </w:tc>
        <w:tc>
          <w:tcPr>
            <w:tcW w:w="2217" w:type="dxa"/>
          </w:tcPr>
          <w:p w14:paraId="5F9EE6C7" w14:textId="77777777" w:rsidR="001C5B45" w:rsidRPr="008843F0" w:rsidRDefault="001C5B45" w:rsidP="003C2836">
            <w:pPr>
              <w:pStyle w:val="Tablecolhead"/>
              <w:rPr>
                <w:rFonts w:eastAsiaTheme="minorHAnsi"/>
              </w:rPr>
            </w:pPr>
            <w:r w:rsidRPr="008843F0">
              <w:rPr>
                <w:rFonts w:eastAsiaTheme="minorHAnsi"/>
              </w:rPr>
              <w:t xml:space="preserve">Patients documented </w:t>
            </w:r>
            <w:r w:rsidRPr="008843F0">
              <w:t>as iron deficient</w:t>
            </w:r>
            <w:r w:rsidRPr="008843F0">
              <w:rPr>
                <w:rFonts w:eastAsiaTheme="minorHAnsi"/>
              </w:rPr>
              <w:t xml:space="preserve"> </w:t>
            </w:r>
            <w:r w:rsidRPr="008843F0">
              <w:t xml:space="preserve">anaemia </w:t>
            </w:r>
            <w:r w:rsidRPr="008843F0">
              <w:rPr>
                <w:rFonts w:eastAsiaTheme="minorHAnsi"/>
              </w:rPr>
              <w:t>or reported as managed by health service (%)</w:t>
            </w:r>
          </w:p>
        </w:tc>
      </w:tr>
      <w:tr w:rsidR="001C5B45" w:rsidRPr="008843F0" w14:paraId="348CDF25" w14:textId="77777777" w:rsidTr="002B2FD9">
        <w:tc>
          <w:tcPr>
            <w:tcW w:w="1432" w:type="dxa"/>
          </w:tcPr>
          <w:p w14:paraId="4D5D3401" w14:textId="77777777" w:rsidR="001C5B45" w:rsidRPr="008843F0" w:rsidRDefault="001C5B45" w:rsidP="003C2836">
            <w:pPr>
              <w:pStyle w:val="Tabletext"/>
              <w:rPr>
                <w:rFonts w:eastAsiaTheme="minorHAnsi"/>
              </w:rPr>
            </w:pPr>
            <w:r w:rsidRPr="008843F0">
              <w:rPr>
                <w:rFonts w:eastAsiaTheme="minorHAnsi"/>
              </w:rPr>
              <w:t>Adult</w:t>
            </w:r>
          </w:p>
        </w:tc>
        <w:tc>
          <w:tcPr>
            <w:tcW w:w="1293" w:type="dxa"/>
          </w:tcPr>
          <w:p w14:paraId="0BA0F0CB" w14:textId="5CF7D0C9" w:rsidR="001C5B45" w:rsidRPr="008843F0" w:rsidRDefault="002102E4" w:rsidP="003C2836">
            <w:pPr>
              <w:pStyle w:val="Tabletext"/>
              <w:rPr>
                <w:rFonts w:eastAsiaTheme="minorHAnsi"/>
              </w:rPr>
            </w:pPr>
            <w:r>
              <w:rPr>
                <w:rFonts w:eastAsiaTheme="minorHAnsi"/>
              </w:rPr>
              <w:t>M</w:t>
            </w:r>
            <w:r w:rsidRPr="008843F0">
              <w:rPr>
                <w:rFonts w:eastAsiaTheme="minorHAnsi"/>
              </w:rPr>
              <w:t>ale</w:t>
            </w:r>
          </w:p>
        </w:tc>
        <w:tc>
          <w:tcPr>
            <w:tcW w:w="1967" w:type="dxa"/>
          </w:tcPr>
          <w:p w14:paraId="38425AD6" w14:textId="77777777" w:rsidR="001C5B45" w:rsidRPr="008843F0" w:rsidRDefault="001C5B45" w:rsidP="002B2FD9">
            <w:pPr>
              <w:pStyle w:val="Tabletext"/>
              <w:jc w:val="right"/>
              <w:rPr>
                <w:rFonts w:eastAsiaTheme="minorHAnsi"/>
              </w:rPr>
            </w:pPr>
            <w:r w:rsidRPr="008843F0">
              <w:rPr>
                <w:rFonts w:eastAsiaTheme="minorHAnsi"/>
              </w:rPr>
              <w:t>495</w:t>
            </w:r>
          </w:p>
        </w:tc>
        <w:tc>
          <w:tcPr>
            <w:tcW w:w="1967" w:type="dxa"/>
          </w:tcPr>
          <w:p w14:paraId="64A39B55" w14:textId="7EBC0615" w:rsidR="001C5B45" w:rsidRPr="008843F0" w:rsidRDefault="001C5B45" w:rsidP="002B2FD9">
            <w:pPr>
              <w:pStyle w:val="Tabletext"/>
              <w:jc w:val="right"/>
              <w:rPr>
                <w:rFonts w:eastAsiaTheme="minorHAnsi"/>
              </w:rPr>
            </w:pPr>
            <w:r w:rsidRPr="008843F0">
              <w:rPr>
                <w:rFonts w:eastAsiaTheme="minorHAnsi"/>
              </w:rPr>
              <w:t>10 (2%)</w:t>
            </w:r>
            <w:r w:rsidRPr="008843F0">
              <w:rPr>
                <w:rFonts w:eastAsiaTheme="minorHAnsi"/>
              </w:rPr>
              <w:br/>
              <w:t>Hb 95 (48–128)</w:t>
            </w:r>
          </w:p>
        </w:tc>
        <w:tc>
          <w:tcPr>
            <w:tcW w:w="2217" w:type="dxa"/>
          </w:tcPr>
          <w:p w14:paraId="738AF2AD" w14:textId="1E4CAA18" w:rsidR="001C5B45" w:rsidRPr="008843F0" w:rsidRDefault="001C5B45" w:rsidP="002B2FD9">
            <w:pPr>
              <w:pStyle w:val="Tabletext"/>
              <w:jc w:val="right"/>
              <w:rPr>
                <w:rFonts w:eastAsiaTheme="minorHAnsi"/>
              </w:rPr>
            </w:pPr>
            <w:r w:rsidRPr="008843F0">
              <w:rPr>
                <w:rFonts w:eastAsiaTheme="minorHAnsi"/>
              </w:rPr>
              <w:t>6/10 (60%)</w:t>
            </w:r>
            <w:r w:rsidRPr="008843F0">
              <w:rPr>
                <w:rFonts w:eastAsiaTheme="minorHAnsi"/>
              </w:rPr>
              <w:br/>
              <w:t>Hb 80 (48–118)</w:t>
            </w:r>
          </w:p>
        </w:tc>
      </w:tr>
      <w:tr w:rsidR="001C5B45" w:rsidRPr="008843F0" w14:paraId="0736EC1B" w14:textId="77777777" w:rsidTr="002B2FD9">
        <w:tc>
          <w:tcPr>
            <w:tcW w:w="1432" w:type="dxa"/>
          </w:tcPr>
          <w:p w14:paraId="1B595181" w14:textId="77777777" w:rsidR="001C5B45" w:rsidRPr="008843F0" w:rsidRDefault="001C5B45" w:rsidP="003C2836">
            <w:pPr>
              <w:pStyle w:val="Tabletext"/>
              <w:rPr>
                <w:rFonts w:eastAsiaTheme="minorHAnsi"/>
              </w:rPr>
            </w:pPr>
            <w:r w:rsidRPr="008843F0">
              <w:rPr>
                <w:rFonts w:eastAsiaTheme="minorHAnsi"/>
              </w:rPr>
              <w:t>Adult</w:t>
            </w:r>
          </w:p>
        </w:tc>
        <w:tc>
          <w:tcPr>
            <w:tcW w:w="1293" w:type="dxa"/>
          </w:tcPr>
          <w:p w14:paraId="4C988B25" w14:textId="7E262DE3" w:rsidR="001C5B45" w:rsidRPr="008843F0" w:rsidRDefault="002102E4" w:rsidP="003C2836">
            <w:pPr>
              <w:pStyle w:val="Tabletext"/>
              <w:rPr>
                <w:rFonts w:eastAsiaTheme="minorHAnsi"/>
              </w:rPr>
            </w:pPr>
            <w:r>
              <w:rPr>
                <w:rFonts w:eastAsiaTheme="minorHAnsi"/>
              </w:rPr>
              <w:t>F</w:t>
            </w:r>
            <w:r w:rsidRPr="008843F0">
              <w:rPr>
                <w:rFonts w:eastAsiaTheme="minorHAnsi"/>
              </w:rPr>
              <w:t>emale</w:t>
            </w:r>
          </w:p>
        </w:tc>
        <w:tc>
          <w:tcPr>
            <w:tcW w:w="1967" w:type="dxa"/>
          </w:tcPr>
          <w:p w14:paraId="131ED6A6" w14:textId="77777777" w:rsidR="001C5B45" w:rsidRPr="008843F0" w:rsidRDefault="001C5B45" w:rsidP="002B2FD9">
            <w:pPr>
              <w:pStyle w:val="Tabletext"/>
              <w:jc w:val="right"/>
              <w:rPr>
                <w:rFonts w:eastAsiaTheme="minorHAnsi"/>
              </w:rPr>
            </w:pPr>
            <w:r w:rsidRPr="008843F0">
              <w:rPr>
                <w:rFonts w:eastAsiaTheme="minorHAnsi"/>
              </w:rPr>
              <w:t>751</w:t>
            </w:r>
          </w:p>
        </w:tc>
        <w:tc>
          <w:tcPr>
            <w:tcW w:w="1967" w:type="dxa"/>
          </w:tcPr>
          <w:p w14:paraId="211D475E" w14:textId="41D793F5" w:rsidR="001C5B45" w:rsidRPr="008843F0" w:rsidRDefault="001C5B45" w:rsidP="002B2FD9">
            <w:pPr>
              <w:pStyle w:val="Tabletext"/>
              <w:jc w:val="right"/>
              <w:rPr>
                <w:rFonts w:eastAsiaTheme="minorHAnsi"/>
              </w:rPr>
            </w:pPr>
            <w:r w:rsidRPr="008843F0">
              <w:rPr>
                <w:rFonts w:eastAsiaTheme="minorHAnsi"/>
              </w:rPr>
              <w:t>33 (4%)</w:t>
            </w:r>
            <w:r w:rsidRPr="008843F0">
              <w:rPr>
                <w:rFonts w:eastAsiaTheme="minorHAnsi"/>
              </w:rPr>
              <w:br/>
              <w:t>Hb 99 (67–118)</w:t>
            </w:r>
          </w:p>
        </w:tc>
        <w:tc>
          <w:tcPr>
            <w:tcW w:w="2217" w:type="dxa"/>
          </w:tcPr>
          <w:p w14:paraId="7B47A94D" w14:textId="5E664A7E" w:rsidR="001C5B45" w:rsidRPr="008843F0" w:rsidRDefault="001C5B45" w:rsidP="002B2FD9">
            <w:pPr>
              <w:pStyle w:val="Tabletext"/>
              <w:jc w:val="right"/>
              <w:rPr>
                <w:rFonts w:eastAsiaTheme="minorHAnsi"/>
              </w:rPr>
            </w:pPr>
            <w:r w:rsidRPr="008843F0">
              <w:rPr>
                <w:rFonts w:eastAsiaTheme="minorHAnsi"/>
              </w:rPr>
              <w:t>24/33 (73%)</w:t>
            </w:r>
            <w:r w:rsidRPr="008843F0">
              <w:rPr>
                <w:rFonts w:eastAsiaTheme="minorHAnsi"/>
              </w:rPr>
              <w:br/>
              <w:t>Hb 95 (67–118)</w:t>
            </w:r>
          </w:p>
        </w:tc>
      </w:tr>
      <w:tr w:rsidR="001C5B45" w:rsidRPr="008843F0" w14:paraId="7B5FB31E" w14:textId="77777777" w:rsidTr="002B2FD9">
        <w:tc>
          <w:tcPr>
            <w:tcW w:w="1432" w:type="dxa"/>
          </w:tcPr>
          <w:p w14:paraId="610C8878" w14:textId="1544AEEC" w:rsidR="001C5B45" w:rsidRPr="008843F0" w:rsidRDefault="001C5B45" w:rsidP="003C2836">
            <w:pPr>
              <w:pStyle w:val="Tabletext"/>
              <w:rPr>
                <w:rFonts w:eastAsiaTheme="minorHAnsi"/>
              </w:rPr>
            </w:pPr>
            <w:r w:rsidRPr="008843F0">
              <w:rPr>
                <w:rFonts w:eastAsiaTheme="minorHAnsi"/>
              </w:rPr>
              <w:t>2</w:t>
            </w:r>
            <w:r w:rsidR="002102E4">
              <w:rPr>
                <w:rFonts w:eastAsiaTheme="minorHAnsi"/>
              </w:rPr>
              <w:t>–</w:t>
            </w:r>
            <w:r w:rsidRPr="008843F0">
              <w:rPr>
                <w:rFonts w:eastAsiaTheme="minorHAnsi"/>
              </w:rPr>
              <w:t>11 years</w:t>
            </w:r>
          </w:p>
        </w:tc>
        <w:tc>
          <w:tcPr>
            <w:tcW w:w="1293" w:type="dxa"/>
          </w:tcPr>
          <w:p w14:paraId="38DC5A6E" w14:textId="06F763D6" w:rsidR="001C5B45" w:rsidRPr="008843F0" w:rsidRDefault="002102E4" w:rsidP="003C2836">
            <w:pPr>
              <w:pStyle w:val="Tabletext"/>
              <w:rPr>
                <w:rFonts w:eastAsiaTheme="minorHAnsi"/>
              </w:rPr>
            </w:pPr>
            <w:r>
              <w:rPr>
                <w:rFonts w:eastAsiaTheme="minorHAnsi"/>
              </w:rPr>
              <w:t>B</w:t>
            </w:r>
            <w:r w:rsidRPr="008843F0">
              <w:rPr>
                <w:rFonts w:eastAsiaTheme="minorHAnsi"/>
              </w:rPr>
              <w:t xml:space="preserve">oys </w:t>
            </w:r>
            <w:r w:rsidR="001C5B45" w:rsidRPr="008843F0">
              <w:rPr>
                <w:rFonts w:eastAsiaTheme="minorHAnsi"/>
              </w:rPr>
              <w:t>and girls</w:t>
            </w:r>
          </w:p>
        </w:tc>
        <w:tc>
          <w:tcPr>
            <w:tcW w:w="1967" w:type="dxa"/>
          </w:tcPr>
          <w:p w14:paraId="78860AF2" w14:textId="77777777" w:rsidR="001C5B45" w:rsidRPr="008843F0" w:rsidRDefault="001C5B45" w:rsidP="002B2FD9">
            <w:pPr>
              <w:pStyle w:val="Tabletext"/>
              <w:jc w:val="right"/>
              <w:rPr>
                <w:rFonts w:eastAsiaTheme="minorHAnsi"/>
              </w:rPr>
            </w:pPr>
            <w:r w:rsidRPr="008843F0">
              <w:rPr>
                <w:rFonts w:eastAsiaTheme="minorHAnsi"/>
              </w:rPr>
              <w:t>4</w:t>
            </w:r>
          </w:p>
        </w:tc>
        <w:tc>
          <w:tcPr>
            <w:tcW w:w="1967" w:type="dxa"/>
          </w:tcPr>
          <w:p w14:paraId="495ECFB6" w14:textId="77777777" w:rsidR="001C5B45" w:rsidRPr="008843F0" w:rsidRDefault="001C5B45" w:rsidP="002B2FD9">
            <w:pPr>
              <w:pStyle w:val="Tabletext"/>
              <w:jc w:val="right"/>
              <w:rPr>
                <w:rFonts w:eastAsiaTheme="minorHAnsi"/>
              </w:rPr>
            </w:pPr>
            <w:r w:rsidRPr="008843F0">
              <w:rPr>
                <w:rFonts w:eastAsiaTheme="minorHAnsi"/>
              </w:rPr>
              <w:t>0</w:t>
            </w:r>
          </w:p>
        </w:tc>
        <w:tc>
          <w:tcPr>
            <w:tcW w:w="2217" w:type="dxa"/>
          </w:tcPr>
          <w:p w14:paraId="5553653D" w14:textId="77777777" w:rsidR="001C5B45" w:rsidRPr="008843F0" w:rsidRDefault="001C5B45" w:rsidP="002B2FD9">
            <w:pPr>
              <w:pStyle w:val="Tabletext"/>
              <w:jc w:val="right"/>
              <w:rPr>
                <w:rFonts w:eastAsiaTheme="minorHAnsi"/>
              </w:rPr>
            </w:pPr>
            <w:r w:rsidRPr="008843F0">
              <w:rPr>
                <w:rFonts w:eastAsiaTheme="minorHAnsi"/>
              </w:rPr>
              <w:t>0</w:t>
            </w:r>
          </w:p>
        </w:tc>
      </w:tr>
    </w:tbl>
    <w:p w14:paraId="7E955F1D" w14:textId="19EA5682" w:rsidR="002102E4" w:rsidRDefault="002102E4" w:rsidP="001C5B45">
      <w:pPr>
        <w:pStyle w:val="Bodyaftertablefigure"/>
      </w:pPr>
      <w:r>
        <w:t>Tables 6–8</w:t>
      </w:r>
      <w:r w:rsidR="001C5B45" w:rsidRPr="008843F0">
        <w:t xml:space="preserve"> report the number of patients who are anaemic and/or iron deficient by age and gender</w:t>
      </w:r>
      <w:r>
        <w:t>,</w:t>
      </w:r>
      <w:r w:rsidR="001C5B45" w:rsidRPr="008843F0">
        <w:t xml:space="preserve"> as determined by the Module 2 definitions. </w:t>
      </w:r>
    </w:p>
    <w:p w14:paraId="14D30C0C" w14:textId="77777777" w:rsidR="002102E4" w:rsidRDefault="001C5B45" w:rsidP="002102E4">
      <w:pPr>
        <w:pStyle w:val="Body"/>
      </w:pPr>
      <w:r w:rsidRPr="008843F0">
        <w:t xml:space="preserve">There were 248 (20 per cent) patients who met the criteria for anaemia or iron deficiency </w:t>
      </w:r>
      <w:r w:rsidR="002102E4">
        <w:t xml:space="preserve">as </w:t>
      </w:r>
      <w:r w:rsidRPr="008843F0">
        <w:t xml:space="preserve">per the Module 2 template. </w:t>
      </w:r>
    </w:p>
    <w:p w14:paraId="333D5987" w14:textId="77777777" w:rsidR="002102E4" w:rsidRDefault="001C5B45" w:rsidP="002102E4">
      <w:pPr>
        <w:pStyle w:val="Body"/>
      </w:pPr>
      <w:r w:rsidRPr="008843F0">
        <w:t xml:space="preserve">Of those 248 patients, health services only documented or reported management of anaemia or </w:t>
      </w:r>
      <w:r w:rsidRPr="00F95181">
        <w:t>iron</w:t>
      </w:r>
      <w:r w:rsidRPr="008843F0">
        <w:t xml:space="preserve"> deficiency for 96 (8 per cent) patients. </w:t>
      </w:r>
    </w:p>
    <w:p w14:paraId="21677D90" w14:textId="7D96B775" w:rsidR="001C5B45" w:rsidRPr="008843F0" w:rsidRDefault="001C5B45" w:rsidP="002B2FD9">
      <w:pPr>
        <w:pStyle w:val="Body"/>
      </w:pPr>
      <w:r w:rsidRPr="008843F0">
        <w:t>This difference may indicate that some health services use a different threshold for the treatment of anaemia rather than that specified in Module 2</w:t>
      </w:r>
      <w:r w:rsidR="002102E4">
        <w:t>.</w:t>
      </w:r>
      <w:r w:rsidR="002102E4" w:rsidRPr="008843F0">
        <w:t xml:space="preserve"> </w:t>
      </w:r>
      <w:r w:rsidR="002102E4">
        <w:t>In</w:t>
      </w:r>
      <w:r w:rsidRPr="008843F0">
        <w:t xml:space="preserve"> </w:t>
      </w:r>
      <w:r w:rsidR="002102E4">
        <w:t>some</w:t>
      </w:r>
      <w:r w:rsidR="002102E4" w:rsidRPr="008843F0">
        <w:t xml:space="preserve"> </w:t>
      </w:r>
      <w:r w:rsidRPr="008843F0">
        <w:t>cases</w:t>
      </w:r>
      <w:r w:rsidR="002102E4">
        <w:t>, it may</w:t>
      </w:r>
      <w:r w:rsidRPr="008843F0">
        <w:t xml:space="preserve"> indicate a lack of follow</w:t>
      </w:r>
      <w:r w:rsidR="002102E4">
        <w:t>-</w:t>
      </w:r>
      <w:r w:rsidRPr="008843F0">
        <w:t>up</w:t>
      </w:r>
      <w:r w:rsidR="002102E4">
        <w:t xml:space="preserve"> on results</w:t>
      </w:r>
      <w:r w:rsidRPr="008843F0">
        <w:t>.</w:t>
      </w:r>
    </w:p>
    <w:p w14:paraId="1A48B3F0" w14:textId="66F70777" w:rsidR="001C5B45" w:rsidRPr="00D46D13" w:rsidRDefault="001C5B45" w:rsidP="001C5B45">
      <w:pPr>
        <w:pStyle w:val="Body"/>
      </w:pPr>
      <w:r w:rsidRPr="00D46D13">
        <w:t xml:space="preserve">Failure to recognise or manage anaemia, or not routinely performing ferritin testing, </w:t>
      </w:r>
      <w:r w:rsidR="002102E4">
        <w:t>is</w:t>
      </w:r>
      <w:r w:rsidR="002102E4" w:rsidRPr="00D46D13">
        <w:t xml:space="preserve"> </w:t>
      </w:r>
      <w:r w:rsidRPr="00D46D13">
        <w:t xml:space="preserve">a missed opportunity to assess and manage patients who are at risk of anaemia following surgery where substantial blood loss is anticipated. As shown by current literature, treating underlying iron deficiency early may enhance postoperative recovery (NBA 2012). </w:t>
      </w:r>
    </w:p>
    <w:p w14:paraId="2A70B94B" w14:textId="02B952B4" w:rsidR="002102E4" w:rsidRDefault="002102E4" w:rsidP="001C5B45">
      <w:pPr>
        <w:pStyle w:val="Body"/>
      </w:pPr>
      <w:r>
        <w:t>H</w:t>
      </w:r>
      <w:r w:rsidR="001C5B45" w:rsidRPr="00D46D13">
        <w:t xml:space="preserve">ealth services </w:t>
      </w:r>
      <w:r>
        <w:t>should</w:t>
      </w:r>
      <w:r w:rsidR="001C5B45" w:rsidRPr="00D46D13">
        <w:t xml:space="preserve"> have processes to </w:t>
      </w:r>
      <w:r w:rsidRPr="00D46D13">
        <w:t>follow</w:t>
      </w:r>
      <w:r>
        <w:t xml:space="preserve"> </w:t>
      </w:r>
      <w:r w:rsidR="001C5B45" w:rsidRPr="00D46D13">
        <w:t xml:space="preserve">up results and take appropriate action. </w:t>
      </w:r>
      <w:r w:rsidR="00726913">
        <w:t>Table 9</w:t>
      </w:r>
      <w:r w:rsidR="001C5B45" w:rsidRPr="00D46D13">
        <w:t xml:space="preserve"> shows </w:t>
      </w:r>
      <w:r>
        <w:t xml:space="preserve">that health services did not identify </w:t>
      </w:r>
      <w:r w:rsidR="001C5B45" w:rsidRPr="00D46D13">
        <w:t>15</w:t>
      </w:r>
      <w:r w:rsidR="0081407B">
        <w:t>2</w:t>
      </w:r>
      <w:r w:rsidR="001C5B45" w:rsidRPr="00D46D13">
        <w:t xml:space="preserve"> (6</w:t>
      </w:r>
      <w:r w:rsidR="0081407B">
        <w:t>1</w:t>
      </w:r>
      <w:r w:rsidR="001C5B45" w:rsidRPr="00D46D13">
        <w:t xml:space="preserve"> per cent) patients with haemoglobin and/or ferritin levels consistent with the criteria for anaemia and/or iron deficiency </w:t>
      </w:r>
      <w:r>
        <w:t>in</w:t>
      </w:r>
      <w:r w:rsidRPr="00D46D13">
        <w:t xml:space="preserve"> </w:t>
      </w:r>
      <w:r w:rsidR="001C5B45" w:rsidRPr="00D46D13">
        <w:t xml:space="preserve">Module 2. </w:t>
      </w:r>
    </w:p>
    <w:p w14:paraId="722BC19F" w14:textId="1DBE5933" w:rsidR="001C5B45" w:rsidRPr="00D46D13" w:rsidRDefault="001C5B45" w:rsidP="001C5B45">
      <w:pPr>
        <w:pStyle w:val="Body"/>
      </w:pPr>
      <w:r w:rsidRPr="00D46D13">
        <w:t xml:space="preserve">This accounts for 11 per cent (72 of 654) of all orthopaedic patients, 13 per cent (31 of 241) of gynaecological patients, 15 per cent (36 of 245) of gastrointestinal patients and 13 per cent (14 of 110) of cardiothoracic patients assessed. </w:t>
      </w:r>
    </w:p>
    <w:p w14:paraId="13AFDCE3" w14:textId="364D39D2" w:rsidR="001C5B45" w:rsidRPr="00D46D13" w:rsidRDefault="001C5B45" w:rsidP="0095616D">
      <w:pPr>
        <w:pStyle w:val="Tablecaption"/>
        <w:spacing w:line="240" w:lineRule="auto"/>
      </w:pPr>
      <w:bookmarkStart w:id="68" w:name="_Ref67393119"/>
      <w:r w:rsidRPr="00D46D13">
        <w:lastRenderedPageBreak/>
        <w:t xml:space="preserve">Table </w:t>
      </w:r>
      <w:r w:rsidR="005E52B4">
        <w:fldChar w:fldCharType="begin"/>
      </w:r>
      <w:r w:rsidR="005E52B4">
        <w:instrText xml:space="preserve"> SEQ Table \* ARABIC </w:instrText>
      </w:r>
      <w:r w:rsidR="005E52B4">
        <w:fldChar w:fldCharType="separate"/>
      </w:r>
      <w:r w:rsidR="00857812">
        <w:rPr>
          <w:noProof/>
        </w:rPr>
        <w:t>7</w:t>
      </w:r>
      <w:r w:rsidR="005E52B4">
        <w:rPr>
          <w:noProof/>
        </w:rPr>
        <w:fldChar w:fldCharType="end"/>
      </w:r>
      <w:bookmarkEnd w:id="68"/>
      <w:r w:rsidRPr="00D46D13">
        <w:t xml:space="preserve">: Patients reported as anaemic and/or iron deficient </w:t>
      </w:r>
      <w:r w:rsidR="00F13332">
        <w:t xml:space="preserve">as per Module 2 </w:t>
      </w:r>
      <w:r w:rsidRPr="00D46D13">
        <w:t>by surgery type</w:t>
      </w:r>
    </w:p>
    <w:tbl>
      <w:tblPr>
        <w:tblStyle w:val="TableGrid1"/>
        <w:tblW w:w="0" w:type="auto"/>
        <w:tblLook w:val="04A0" w:firstRow="1" w:lastRow="0" w:firstColumn="1" w:lastColumn="0" w:noHBand="0" w:noVBand="1"/>
      </w:tblPr>
      <w:tblGrid>
        <w:gridCol w:w="1774"/>
        <w:gridCol w:w="1777"/>
        <w:gridCol w:w="1789"/>
        <w:gridCol w:w="1783"/>
        <w:gridCol w:w="1785"/>
      </w:tblGrid>
      <w:tr w:rsidR="001C5B45" w:rsidRPr="008843F0" w14:paraId="7ECA59E0" w14:textId="77777777" w:rsidTr="002B2FD9">
        <w:tc>
          <w:tcPr>
            <w:tcW w:w="1774" w:type="dxa"/>
          </w:tcPr>
          <w:p w14:paraId="5CB9A823" w14:textId="77777777" w:rsidR="001C5B45" w:rsidRPr="00D46D13" w:rsidRDefault="001C5B45" w:rsidP="002B2FD9">
            <w:pPr>
              <w:pStyle w:val="Tablecolhead"/>
              <w:keepNext/>
              <w:keepLines/>
              <w:rPr>
                <w:rFonts w:eastAsiaTheme="minorHAnsi"/>
              </w:rPr>
            </w:pPr>
            <w:r w:rsidRPr="00D46D13">
              <w:rPr>
                <w:rFonts w:eastAsiaTheme="minorHAnsi"/>
              </w:rPr>
              <w:t>Surgery</w:t>
            </w:r>
          </w:p>
        </w:tc>
        <w:tc>
          <w:tcPr>
            <w:tcW w:w="1777" w:type="dxa"/>
          </w:tcPr>
          <w:p w14:paraId="59741EFB" w14:textId="0E90AF67" w:rsidR="001C5B45" w:rsidRPr="00D46D13" w:rsidRDefault="00F13332" w:rsidP="002B2FD9">
            <w:pPr>
              <w:pStyle w:val="Tablecolhead"/>
              <w:keepNext/>
              <w:keepLines/>
              <w:rPr>
                <w:rFonts w:eastAsiaTheme="minorHAnsi"/>
              </w:rPr>
            </w:pPr>
            <w:r>
              <w:rPr>
                <w:rFonts w:eastAsiaTheme="minorHAnsi"/>
              </w:rPr>
              <w:t xml:space="preserve">a: </w:t>
            </w:r>
            <w:r w:rsidR="001C5B45" w:rsidRPr="00D46D13">
              <w:rPr>
                <w:rFonts w:eastAsiaTheme="minorHAnsi"/>
              </w:rPr>
              <w:t>Total number of patients preoperatively assessed (</w:t>
            </w:r>
            <w:r w:rsidR="002102E4" w:rsidRPr="00D46D13">
              <w:rPr>
                <w:rFonts w:eastAsiaTheme="minorHAnsi"/>
              </w:rPr>
              <w:t>n</w:t>
            </w:r>
            <w:r w:rsidR="002102E4">
              <w:rPr>
                <w:rFonts w:eastAsiaTheme="minorHAnsi"/>
              </w:rPr>
              <w:t> </w:t>
            </w:r>
            <w:r w:rsidR="002102E4" w:rsidRPr="00D46D13">
              <w:rPr>
                <w:rFonts w:eastAsiaTheme="minorHAnsi"/>
              </w:rPr>
              <w:t>=</w:t>
            </w:r>
            <w:r w:rsidR="002102E4">
              <w:rPr>
                <w:rFonts w:eastAsiaTheme="minorHAnsi"/>
              </w:rPr>
              <w:t> </w:t>
            </w:r>
            <w:r w:rsidR="001C5B45" w:rsidRPr="00D46D13">
              <w:rPr>
                <w:rFonts w:eastAsiaTheme="minorHAnsi"/>
              </w:rPr>
              <w:t>1,250)</w:t>
            </w:r>
            <w:r>
              <w:rPr>
                <w:rFonts w:eastAsiaTheme="minorHAnsi"/>
              </w:rPr>
              <w:t xml:space="preserve"> </w:t>
            </w:r>
          </w:p>
        </w:tc>
        <w:tc>
          <w:tcPr>
            <w:tcW w:w="1789" w:type="dxa"/>
          </w:tcPr>
          <w:p w14:paraId="56D55BF9" w14:textId="253741F8" w:rsidR="001C5B45" w:rsidRPr="00D46D13" w:rsidRDefault="00F13332" w:rsidP="002B2FD9">
            <w:pPr>
              <w:pStyle w:val="Tablecolhead"/>
              <w:keepNext/>
              <w:keepLines/>
              <w:rPr>
                <w:rFonts w:eastAsiaTheme="minorHAnsi"/>
              </w:rPr>
            </w:pPr>
            <w:r>
              <w:rPr>
                <w:rFonts w:eastAsiaTheme="minorHAnsi"/>
              </w:rPr>
              <w:t xml:space="preserve">b: </w:t>
            </w:r>
            <w:r w:rsidR="001C5B45" w:rsidRPr="00D46D13">
              <w:rPr>
                <w:rFonts w:eastAsiaTheme="minorHAnsi"/>
              </w:rPr>
              <w:t>Patients determined anaemic &amp;/or iron deficient by Module 2 template definition</w:t>
            </w:r>
            <w:r>
              <w:rPr>
                <w:rFonts w:eastAsiaTheme="minorHAnsi"/>
              </w:rPr>
              <w:t xml:space="preserve"> </w:t>
            </w:r>
            <w:r w:rsidR="001C5B45" w:rsidRPr="00D46D13">
              <w:rPr>
                <w:rFonts w:eastAsiaTheme="minorHAnsi"/>
              </w:rPr>
              <w:br/>
              <w:t>(% b</w:t>
            </w:r>
            <w:r w:rsidR="002102E4">
              <w:rPr>
                <w:rFonts w:eastAsiaTheme="minorHAnsi"/>
              </w:rPr>
              <w:t> </w:t>
            </w:r>
            <w:r w:rsidR="001C5B45" w:rsidRPr="00D46D13">
              <w:rPr>
                <w:rFonts w:eastAsiaTheme="minorHAnsi"/>
              </w:rPr>
              <w:t>÷</w:t>
            </w:r>
            <w:r w:rsidR="002102E4">
              <w:rPr>
                <w:rFonts w:eastAsiaTheme="minorHAnsi"/>
              </w:rPr>
              <w:t> </w:t>
            </w:r>
            <w:r w:rsidR="001C5B45" w:rsidRPr="00D46D13">
              <w:rPr>
                <w:rFonts w:eastAsiaTheme="minorHAnsi"/>
              </w:rPr>
              <w:t>a)</w:t>
            </w:r>
          </w:p>
        </w:tc>
        <w:tc>
          <w:tcPr>
            <w:tcW w:w="1783" w:type="dxa"/>
          </w:tcPr>
          <w:p w14:paraId="523642A9" w14:textId="7C6AB345" w:rsidR="001C5B45" w:rsidRPr="00D46D13" w:rsidRDefault="00F13332" w:rsidP="002B2FD9">
            <w:pPr>
              <w:pStyle w:val="Tablecolhead"/>
              <w:keepNext/>
              <w:keepLines/>
              <w:rPr>
                <w:rFonts w:eastAsiaTheme="minorHAnsi"/>
              </w:rPr>
            </w:pPr>
            <w:r>
              <w:rPr>
                <w:rFonts w:eastAsiaTheme="minorHAnsi"/>
              </w:rPr>
              <w:t xml:space="preserve">c: </w:t>
            </w:r>
            <w:r w:rsidR="001C5B45" w:rsidRPr="00D46D13">
              <w:rPr>
                <w:rFonts w:eastAsiaTheme="minorHAnsi"/>
              </w:rPr>
              <w:t>Patients documented as anaemic &amp;/or iron deficient, or reported as managed by health service (% c</w:t>
            </w:r>
            <w:r w:rsidR="002102E4">
              <w:rPr>
                <w:rFonts w:eastAsiaTheme="minorHAnsi"/>
              </w:rPr>
              <w:t> </w:t>
            </w:r>
            <w:r w:rsidR="001C5B45" w:rsidRPr="00D46D13">
              <w:rPr>
                <w:rFonts w:eastAsiaTheme="minorHAnsi"/>
              </w:rPr>
              <w:t>÷</w:t>
            </w:r>
            <w:r w:rsidR="002102E4">
              <w:rPr>
                <w:rFonts w:eastAsiaTheme="minorHAnsi"/>
              </w:rPr>
              <w:t> </w:t>
            </w:r>
            <w:r w:rsidR="001C5B45" w:rsidRPr="00D46D13">
              <w:rPr>
                <w:rFonts w:eastAsiaTheme="minorHAnsi"/>
              </w:rPr>
              <w:t>a)</w:t>
            </w:r>
          </w:p>
        </w:tc>
        <w:tc>
          <w:tcPr>
            <w:tcW w:w="1785" w:type="dxa"/>
          </w:tcPr>
          <w:p w14:paraId="06A83A1F" w14:textId="4CBF79CE" w:rsidR="001C5B45" w:rsidRPr="00D46D13" w:rsidRDefault="00F13332" w:rsidP="002B2FD9">
            <w:pPr>
              <w:pStyle w:val="Tablecolhead"/>
              <w:keepNext/>
              <w:keepLines/>
              <w:rPr>
                <w:rFonts w:eastAsiaTheme="minorHAnsi"/>
              </w:rPr>
            </w:pPr>
            <w:r>
              <w:rPr>
                <w:rFonts w:eastAsiaTheme="minorHAnsi"/>
              </w:rPr>
              <w:t xml:space="preserve">d: </w:t>
            </w:r>
            <w:r w:rsidR="001C5B45" w:rsidRPr="00D46D13">
              <w:rPr>
                <w:rFonts w:eastAsiaTheme="minorHAnsi"/>
              </w:rPr>
              <w:t>Patients who are anaemic &amp;/or iron deficient as defined by Module 2, but not identified by health service (% d</w:t>
            </w:r>
            <w:r w:rsidR="002102E4">
              <w:rPr>
                <w:rFonts w:eastAsiaTheme="minorHAnsi"/>
              </w:rPr>
              <w:t> </w:t>
            </w:r>
            <w:r w:rsidR="001C5B45" w:rsidRPr="00D46D13">
              <w:rPr>
                <w:rFonts w:eastAsiaTheme="minorHAnsi"/>
              </w:rPr>
              <w:t>÷</w:t>
            </w:r>
            <w:r w:rsidR="002102E4">
              <w:rPr>
                <w:rFonts w:eastAsiaTheme="minorHAnsi"/>
              </w:rPr>
              <w:t> </w:t>
            </w:r>
            <w:r w:rsidR="001C5B45" w:rsidRPr="00D46D13">
              <w:rPr>
                <w:rFonts w:eastAsiaTheme="minorHAnsi"/>
              </w:rPr>
              <w:t>b)</w:t>
            </w:r>
          </w:p>
        </w:tc>
      </w:tr>
      <w:tr w:rsidR="001C5B45" w:rsidRPr="008843F0" w14:paraId="6A4F646C" w14:textId="77777777" w:rsidTr="002B2FD9">
        <w:tc>
          <w:tcPr>
            <w:tcW w:w="1774" w:type="dxa"/>
            <w:vAlign w:val="center"/>
          </w:tcPr>
          <w:p w14:paraId="2A9A891F" w14:textId="77777777" w:rsidR="001C5B45" w:rsidRPr="00D46D13" w:rsidRDefault="001C5B45" w:rsidP="002B2FD9">
            <w:pPr>
              <w:pStyle w:val="Tabletext"/>
              <w:keepNext/>
              <w:keepLines/>
              <w:rPr>
                <w:rFonts w:eastAsiaTheme="minorHAnsi"/>
              </w:rPr>
            </w:pPr>
            <w:r w:rsidRPr="00D46D13">
              <w:rPr>
                <w:rFonts w:eastAsiaTheme="minorHAnsi"/>
              </w:rPr>
              <w:t>Orthopaedic</w:t>
            </w:r>
          </w:p>
        </w:tc>
        <w:tc>
          <w:tcPr>
            <w:tcW w:w="1777" w:type="dxa"/>
            <w:vAlign w:val="center"/>
          </w:tcPr>
          <w:p w14:paraId="058B24EF" w14:textId="77777777" w:rsidR="001C5B45" w:rsidRPr="00D46D13" w:rsidRDefault="001C5B45" w:rsidP="002B2FD9">
            <w:pPr>
              <w:pStyle w:val="Tabletext"/>
              <w:keepNext/>
              <w:keepLines/>
              <w:jc w:val="right"/>
              <w:rPr>
                <w:rFonts w:eastAsiaTheme="minorHAnsi"/>
              </w:rPr>
            </w:pPr>
            <w:r w:rsidRPr="00D46D13">
              <w:rPr>
                <w:rFonts w:eastAsiaTheme="minorHAnsi"/>
              </w:rPr>
              <w:t>654</w:t>
            </w:r>
          </w:p>
        </w:tc>
        <w:tc>
          <w:tcPr>
            <w:tcW w:w="1789" w:type="dxa"/>
            <w:vAlign w:val="center"/>
          </w:tcPr>
          <w:p w14:paraId="4614A0EB" w14:textId="77777777" w:rsidR="001C5B45" w:rsidRPr="00D46D13" w:rsidRDefault="001C5B45" w:rsidP="002B2FD9">
            <w:pPr>
              <w:pStyle w:val="Tabletext"/>
              <w:keepNext/>
              <w:keepLines/>
              <w:jc w:val="right"/>
              <w:rPr>
                <w:rFonts w:eastAsiaTheme="minorHAnsi"/>
              </w:rPr>
            </w:pPr>
            <w:r w:rsidRPr="00D46D13">
              <w:rPr>
                <w:rFonts w:eastAsiaTheme="minorHAnsi"/>
              </w:rPr>
              <w:t>97 (15%)</w:t>
            </w:r>
          </w:p>
        </w:tc>
        <w:tc>
          <w:tcPr>
            <w:tcW w:w="1783" w:type="dxa"/>
            <w:vAlign w:val="center"/>
          </w:tcPr>
          <w:p w14:paraId="206E24C6" w14:textId="77777777" w:rsidR="001C5B45" w:rsidRPr="00D46D13" w:rsidRDefault="001C5B45" w:rsidP="002B2FD9">
            <w:pPr>
              <w:pStyle w:val="Tabletext"/>
              <w:keepNext/>
              <w:keepLines/>
              <w:jc w:val="right"/>
              <w:rPr>
                <w:rFonts w:eastAsiaTheme="minorHAnsi"/>
              </w:rPr>
            </w:pPr>
            <w:r w:rsidRPr="00D46D13">
              <w:rPr>
                <w:rFonts w:eastAsiaTheme="minorHAnsi"/>
              </w:rPr>
              <w:t>25 (4%)</w:t>
            </w:r>
          </w:p>
        </w:tc>
        <w:tc>
          <w:tcPr>
            <w:tcW w:w="1785" w:type="dxa"/>
          </w:tcPr>
          <w:p w14:paraId="3C858BC2" w14:textId="77777777" w:rsidR="001C5B45" w:rsidRPr="00D46D13" w:rsidRDefault="001C5B45" w:rsidP="002B2FD9">
            <w:pPr>
              <w:pStyle w:val="Tabletext"/>
              <w:keepNext/>
              <w:keepLines/>
              <w:jc w:val="right"/>
              <w:rPr>
                <w:rFonts w:eastAsiaTheme="minorHAnsi"/>
              </w:rPr>
            </w:pPr>
            <w:r w:rsidRPr="00D46D13">
              <w:rPr>
                <w:rFonts w:eastAsiaTheme="minorHAnsi"/>
              </w:rPr>
              <w:t>72 (74%)</w:t>
            </w:r>
          </w:p>
        </w:tc>
      </w:tr>
      <w:tr w:rsidR="001C5B45" w:rsidRPr="008843F0" w14:paraId="531DAB45" w14:textId="77777777" w:rsidTr="002B2FD9">
        <w:tc>
          <w:tcPr>
            <w:tcW w:w="1774" w:type="dxa"/>
            <w:vAlign w:val="center"/>
          </w:tcPr>
          <w:p w14:paraId="02CC6000" w14:textId="77777777" w:rsidR="001C5B45" w:rsidRPr="00D46D13" w:rsidRDefault="001C5B45" w:rsidP="002B2FD9">
            <w:pPr>
              <w:pStyle w:val="Tabletext"/>
              <w:keepNext/>
              <w:keepLines/>
              <w:rPr>
                <w:rFonts w:eastAsiaTheme="minorHAnsi"/>
              </w:rPr>
            </w:pPr>
            <w:r w:rsidRPr="00D46D13">
              <w:rPr>
                <w:rFonts w:eastAsiaTheme="minorHAnsi"/>
              </w:rPr>
              <w:t>Gynaecology</w:t>
            </w:r>
          </w:p>
        </w:tc>
        <w:tc>
          <w:tcPr>
            <w:tcW w:w="1777" w:type="dxa"/>
            <w:vAlign w:val="center"/>
          </w:tcPr>
          <w:p w14:paraId="758B8E87" w14:textId="77777777" w:rsidR="001C5B45" w:rsidRPr="00D46D13" w:rsidRDefault="001C5B45" w:rsidP="002B2FD9">
            <w:pPr>
              <w:pStyle w:val="Tabletext"/>
              <w:keepNext/>
              <w:keepLines/>
              <w:jc w:val="right"/>
              <w:rPr>
                <w:rFonts w:eastAsiaTheme="minorHAnsi"/>
              </w:rPr>
            </w:pPr>
            <w:r w:rsidRPr="00D46D13">
              <w:rPr>
                <w:rFonts w:eastAsiaTheme="minorHAnsi"/>
              </w:rPr>
              <w:t>241</w:t>
            </w:r>
          </w:p>
        </w:tc>
        <w:tc>
          <w:tcPr>
            <w:tcW w:w="1789" w:type="dxa"/>
            <w:vAlign w:val="center"/>
          </w:tcPr>
          <w:p w14:paraId="05E7C989" w14:textId="77777777" w:rsidR="001C5B45" w:rsidRPr="00D46D13" w:rsidRDefault="001C5B45" w:rsidP="002B2FD9">
            <w:pPr>
              <w:pStyle w:val="Tabletext"/>
              <w:keepNext/>
              <w:keepLines/>
              <w:jc w:val="right"/>
              <w:rPr>
                <w:rFonts w:eastAsiaTheme="minorHAnsi"/>
              </w:rPr>
            </w:pPr>
            <w:r w:rsidRPr="00D46D13">
              <w:rPr>
                <w:rFonts w:eastAsiaTheme="minorHAnsi"/>
              </w:rPr>
              <w:t>56 (23%)</w:t>
            </w:r>
          </w:p>
        </w:tc>
        <w:tc>
          <w:tcPr>
            <w:tcW w:w="1783" w:type="dxa"/>
            <w:vAlign w:val="center"/>
          </w:tcPr>
          <w:p w14:paraId="282B33F5" w14:textId="77777777" w:rsidR="001C5B45" w:rsidRPr="00D46D13" w:rsidRDefault="001C5B45" w:rsidP="002B2FD9">
            <w:pPr>
              <w:pStyle w:val="Tabletext"/>
              <w:keepNext/>
              <w:keepLines/>
              <w:jc w:val="right"/>
              <w:rPr>
                <w:rFonts w:eastAsiaTheme="minorHAnsi"/>
              </w:rPr>
            </w:pPr>
            <w:r w:rsidRPr="00D46D13">
              <w:rPr>
                <w:rFonts w:eastAsiaTheme="minorHAnsi"/>
              </w:rPr>
              <w:t>25 (10%)</w:t>
            </w:r>
          </w:p>
        </w:tc>
        <w:tc>
          <w:tcPr>
            <w:tcW w:w="1785" w:type="dxa"/>
          </w:tcPr>
          <w:p w14:paraId="1C7517C5" w14:textId="77777777" w:rsidR="001C5B45" w:rsidRPr="00D46D13" w:rsidRDefault="001C5B45" w:rsidP="002B2FD9">
            <w:pPr>
              <w:pStyle w:val="Tabletext"/>
              <w:keepNext/>
              <w:keepLines/>
              <w:jc w:val="right"/>
              <w:rPr>
                <w:rFonts w:eastAsiaTheme="minorHAnsi"/>
              </w:rPr>
            </w:pPr>
            <w:r w:rsidRPr="00D46D13">
              <w:rPr>
                <w:rFonts w:eastAsiaTheme="minorHAnsi"/>
              </w:rPr>
              <w:t>31 (55%)</w:t>
            </w:r>
          </w:p>
        </w:tc>
      </w:tr>
      <w:tr w:rsidR="001C5B45" w:rsidRPr="008843F0" w14:paraId="0AD71D34" w14:textId="77777777" w:rsidTr="002B2FD9">
        <w:tc>
          <w:tcPr>
            <w:tcW w:w="1774" w:type="dxa"/>
            <w:vAlign w:val="center"/>
          </w:tcPr>
          <w:p w14:paraId="34405394" w14:textId="77777777" w:rsidR="001C5B45" w:rsidRPr="00D46D13" w:rsidRDefault="001C5B45" w:rsidP="002B2FD9">
            <w:pPr>
              <w:pStyle w:val="Tabletext"/>
              <w:keepNext/>
              <w:keepLines/>
              <w:rPr>
                <w:rFonts w:eastAsiaTheme="minorHAnsi"/>
              </w:rPr>
            </w:pPr>
            <w:r w:rsidRPr="00D46D13">
              <w:rPr>
                <w:rFonts w:eastAsiaTheme="minorHAnsi"/>
              </w:rPr>
              <w:t>Major gastrointestinal</w:t>
            </w:r>
          </w:p>
        </w:tc>
        <w:tc>
          <w:tcPr>
            <w:tcW w:w="1777" w:type="dxa"/>
            <w:vAlign w:val="center"/>
          </w:tcPr>
          <w:p w14:paraId="22D3229E" w14:textId="77777777" w:rsidR="001C5B45" w:rsidRPr="00D46D13" w:rsidRDefault="001C5B45" w:rsidP="002B2FD9">
            <w:pPr>
              <w:pStyle w:val="Tabletext"/>
              <w:keepNext/>
              <w:keepLines/>
              <w:jc w:val="right"/>
              <w:rPr>
                <w:rFonts w:eastAsiaTheme="minorHAnsi"/>
              </w:rPr>
            </w:pPr>
            <w:r w:rsidRPr="00D46D13">
              <w:rPr>
                <w:rFonts w:eastAsiaTheme="minorHAnsi"/>
              </w:rPr>
              <w:t>245</w:t>
            </w:r>
          </w:p>
        </w:tc>
        <w:tc>
          <w:tcPr>
            <w:tcW w:w="1789" w:type="dxa"/>
            <w:vAlign w:val="center"/>
          </w:tcPr>
          <w:p w14:paraId="18E3D6AD" w14:textId="77777777" w:rsidR="001C5B45" w:rsidRPr="00D46D13" w:rsidRDefault="001C5B45" w:rsidP="002B2FD9">
            <w:pPr>
              <w:pStyle w:val="Tabletext"/>
              <w:keepNext/>
              <w:keepLines/>
              <w:jc w:val="right"/>
              <w:rPr>
                <w:rFonts w:eastAsiaTheme="minorHAnsi"/>
              </w:rPr>
            </w:pPr>
            <w:r w:rsidRPr="00D46D13">
              <w:rPr>
                <w:rFonts w:eastAsiaTheme="minorHAnsi"/>
              </w:rPr>
              <w:t>78 (32%)</w:t>
            </w:r>
          </w:p>
        </w:tc>
        <w:tc>
          <w:tcPr>
            <w:tcW w:w="1783" w:type="dxa"/>
            <w:vAlign w:val="center"/>
          </w:tcPr>
          <w:p w14:paraId="77AF6510" w14:textId="77777777" w:rsidR="001C5B45" w:rsidRPr="00D46D13" w:rsidRDefault="001C5B45" w:rsidP="002B2FD9">
            <w:pPr>
              <w:pStyle w:val="Tabletext"/>
              <w:keepNext/>
              <w:keepLines/>
              <w:jc w:val="right"/>
              <w:rPr>
                <w:rFonts w:eastAsiaTheme="minorHAnsi"/>
              </w:rPr>
            </w:pPr>
            <w:r w:rsidRPr="00D46D13">
              <w:rPr>
                <w:rFonts w:eastAsiaTheme="minorHAnsi"/>
              </w:rPr>
              <w:t>42 (17%)</w:t>
            </w:r>
          </w:p>
        </w:tc>
        <w:tc>
          <w:tcPr>
            <w:tcW w:w="1785" w:type="dxa"/>
            <w:vAlign w:val="center"/>
          </w:tcPr>
          <w:p w14:paraId="1EC51C30" w14:textId="77777777" w:rsidR="001C5B45" w:rsidRPr="00D46D13" w:rsidRDefault="001C5B45" w:rsidP="002B2FD9">
            <w:pPr>
              <w:pStyle w:val="Tabletext"/>
              <w:keepNext/>
              <w:keepLines/>
              <w:jc w:val="right"/>
              <w:rPr>
                <w:rFonts w:eastAsiaTheme="minorHAnsi"/>
              </w:rPr>
            </w:pPr>
            <w:r w:rsidRPr="00D46D13">
              <w:rPr>
                <w:rFonts w:eastAsiaTheme="minorHAnsi"/>
              </w:rPr>
              <w:t>36 (46%)</w:t>
            </w:r>
          </w:p>
        </w:tc>
      </w:tr>
      <w:tr w:rsidR="001C5B45" w:rsidRPr="008843F0" w14:paraId="0501A287" w14:textId="77777777" w:rsidTr="002B2FD9">
        <w:tc>
          <w:tcPr>
            <w:tcW w:w="1774" w:type="dxa"/>
            <w:vAlign w:val="center"/>
          </w:tcPr>
          <w:p w14:paraId="79881D78" w14:textId="77777777" w:rsidR="001C5B45" w:rsidRPr="00D46D13" w:rsidRDefault="001C5B45" w:rsidP="002B2FD9">
            <w:pPr>
              <w:pStyle w:val="Tabletext"/>
              <w:keepNext/>
              <w:keepLines/>
              <w:rPr>
                <w:rFonts w:eastAsiaTheme="minorHAnsi"/>
              </w:rPr>
            </w:pPr>
            <w:r w:rsidRPr="00D46D13">
              <w:rPr>
                <w:rFonts w:eastAsiaTheme="minorHAnsi"/>
              </w:rPr>
              <w:t>Cardiothoracic</w:t>
            </w:r>
          </w:p>
        </w:tc>
        <w:tc>
          <w:tcPr>
            <w:tcW w:w="1777" w:type="dxa"/>
            <w:vAlign w:val="center"/>
          </w:tcPr>
          <w:p w14:paraId="75DF6CAB" w14:textId="77777777" w:rsidR="001C5B45" w:rsidRPr="00D46D13" w:rsidRDefault="001C5B45" w:rsidP="002B2FD9">
            <w:pPr>
              <w:pStyle w:val="Tabletext"/>
              <w:keepNext/>
              <w:keepLines/>
              <w:jc w:val="right"/>
              <w:rPr>
                <w:rFonts w:eastAsiaTheme="minorHAnsi"/>
              </w:rPr>
            </w:pPr>
            <w:r w:rsidRPr="00D46D13">
              <w:rPr>
                <w:rFonts w:eastAsiaTheme="minorHAnsi"/>
              </w:rPr>
              <w:t>110</w:t>
            </w:r>
          </w:p>
        </w:tc>
        <w:tc>
          <w:tcPr>
            <w:tcW w:w="1789" w:type="dxa"/>
            <w:vAlign w:val="center"/>
          </w:tcPr>
          <w:p w14:paraId="1758C180" w14:textId="77777777" w:rsidR="001C5B45" w:rsidRPr="00D46D13" w:rsidRDefault="001C5B45" w:rsidP="002B2FD9">
            <w:pPr>
              <w:pStyle w:val="Tabletext"/>
              <w:keepNext/>
              <w:keepLines/>
              <w:jc w:val="right"/>
              <w:rPr>
                <w:rFonts w:eastAsiaTheme="minorHAnsi"/>
              </w:rPr>
            </w:pPr>
            <w:r w:rsidRPr="00D46D13">
              <w:rPr>
                <w:rFonts w:eastAsiaTheme="minorHAnsi"/>
              </w:rPr>
              <w:t>17 (15%)</w:t>
            </w:r>
          </w:p>
        </w:tc>
        <w:tc>
          <w:tcPr>
            <w:tcW w:w="1783" w:type="dxa"/>
            <w:vAlign w:val="center"/>
          </w:tcPr>
          <w:p w14:paraId="43041C33" w14:textId="77777777" w:rsidR="001C5B45" w:rsidRPr="00D46D13" w:rsidRDefault="001C5B45" w:rsidP="002B2FD9">
            <w:pPr>
              <w:pStyle w:val="Tabletext"/>
              <w:keepNext/>
              <w:keepLines/>
              <w:jc w:val="right"/>
              <w:rPr>
                <w:rFonts w:eastAsiaTheme="minorHAnsi"/>
              </w:rPr>
            </w:pPr>
            <w:r w:rsidRPr="00D46D13">
              <w:rPr>
                <w:rFonts w:eastAsiaTheme="minorHAnsi"/>
              </w:rPr>
              <w:t>4 (3%)</w:t>
            </w:r>
          </w:p>
        </w:tc>
        <w:tc>
          <w:tcPr>
            <w:tcW w:w="1785" w:type="dxa"/>
          </w:tcPr>
          <w:p w14:paraId="0FBA9C0F" w14:textId="77777777" w:rsidR="001C5B45" w:rsidRPr="00D46D13" w:rsidRDefault="001C5B45" w:rsidP="002B2FD9">
            <w:pPr>
              <w:pStyle w:val="Tabletext"/>
              <w:keepNext/>
              <w:keepLines/>
              <w:jc w:val="right"/>
              <w:rPr>
                <w:rFonts w:eastAsiaTheme="minorHAnsi"/>
              </w:rPr>
            </w:pPr>
            <w:r w:rsidRPr="00D46D13">
              <w:rPr>
                <w:rFonts w:eastAsiaTheme="minorHAnsi"/>
              </w:rPr>
              <w:t>13 (76%)</w:t>
            </w:r>
          </w:p>
        </w:tc>
      </w:tr>
      <w:tr w:rsidR="001C5B45" w:rsidRPr="008843F0" w14:paraId="7B2404AC" w14:textId="77777777" w:rsidTr="002B2FD9">
        <w:tc>
          <w:tcPr>
            <w:tcW w:w="1774" w:type="dxa"/>
            <w:vAlign w:val="center"/>
          </w:tcPr>
          <w:p w14:paraId="2AC4B590" w14:textId="77777777" w:rsidR="001C5B45" w:rsidRPr="00D46D13" w:rsidRDefault="001C5B45" w:rsidP="002B2FD9">
            <w:pPr>
              <w:pStyle w:val="Tabletext"/>
              <w:keepNext/>
              <w:keepLines/>
              <w:rPr>
                <w:rFonts w:eastAsiaTheme="minorHAnsi"/>
              </w:rPr>
            </w:pPr>
            <w:r w:rsidRPr="00D46D13">
              <w:rPr>
                <w:rFonts w:eastAsiaTheme="minorHAnsi"/>
              </w:rPr>
              <w:t>Total (all surgical types)</w:t>
            </w:r>
          </w:p>
        </w:tc>
        <w:tc>
          <w:tcPr>
            <w:tcW w:w="1777" w:type="dxa"/>
            <w:vAlign w:val="center"/>
          </w:tcPr>
          <w:p w14:paraId="577628B5" w14:textId="77777777" w:rsidR="001C5B45" w:rsidRPr="00D46D13" w:rsidRDefault="001C5B45" w:rsidP="002B2FD9">
            <w:pPr>
              <w:pStyle w:val="Tabletext"/>
              <w:keepNext/>
              <w:keepLines/>
              <w:jc w:val="right"/>
              <w:rPr>
                <w:rFonts w:eastAsiaTheme="minorHAnsi"/>
              </w:rPr>
            </w:pPr>
            <w:r w:rsidRPr="00D46D13">
              <w:rPr>
                <w:rFonts w:eastAsiaTheme="minorHAnsi"/>
              </w:rPr>
              <w:t>1250</w:t>
            </w:r>
          </w:p>
        </w:tc>
        <w:tc>
          <w:tcPr>
            <w:tcW w:w="1789" w:type="dxa"/>
            <w:vAlign w:val="center"/>
          </w:tcPr>
          <w:p w14:paraId="6B0487F6" w14:textId="77777777" w:rsidR="001C5B45" w:rsidRPr="00D46D13" w:rsidRDefault="001C5B45" w:rsidP="002B2FD9">
            <w:pPr>
              <w:pStyle w:val="Tabletext"/>
              <w:keepNext/>
              <w:keepLines/>
              <w:jc w:val="right"/>
              <w:rPr>
                <w:rFonts w:eastAsiaTheme="minorHAnsi"/>
              </w:rPr>
            </w:pPr>
            <w:r w:rsidRPr="00D46D13">
              <w:rPr>
                <w:rFonts w:eastAsiaTheme="minorHAnsi"/>
              </w:rPr>
              <w:t>248 (20%)</w:t>
            </w:r>
          </w:p>
        </w:tc>
        <w:tc>
          <w:tcPr>
            <w:tcW w:w="1783" w:type="dxa"/>
            <w:vAlign w:val="center"/>
          </w:tcPr>
          <w:p w14:paraId="27E0CAE6" w14:textId="77777777" w:rsidR="001C5B45" w:rsidRPr="00D46D13" w:rsidRDefault="001C5B45" w:rsidP="002B2FD9">
            <w:pPr>
              <w:pStyle w:val="Tabletext"/>
              <w:keepNext/>
              <w:keepLines/>
              <w:jc w:val="right"/>
              <w:rPr>
                <w:rFonts w:eastAsiaTheme="minorHAnsi"/>
              </w:rPr>
            </w:pPr>
            <w:r w:rsidRPr="00D46D13">
              <w:rPr>
                <w:rFonts w:eastAsiaTheme="minorHAnsi"/>
              </w:rPr>
              <w:t>96 (8%)</w:t>
            </w:r>
          </w:p>
        </w:tc>
        <w:tc>
          <w:tcPr>
            <w:tcW w:w="1785" w:type="dxa"/>
            <w:vAlign w:val="center"/>
          </w:tcPr>
          <w:p w14:paraId="75D4ADFF" w14:textId="77777777" w:rsidR="001C5B45" w:rsidRPr="00D46D13" w:rsidRDefault="001C5B45" w:rsidP="002B2FD9">
            <w:pPr>
              <w:pStyle w:val="Tabletext"/>
              <w:keepNext/>
              <w:keepLines/>
              <w:jc w:val="right"/>
              <w:rPr>
                <w:rFonts w:eastAsiaTheme="minorHAnsi"/>
              </w:rPr>
            </w:pPr>
            <w:r w:rsidRPr="00D46D13">
              <w:rPr>
                <w:rFonts w:eastAsiaTheme="minorHAnsi"/>
              </w:rPr>
              <w:t>152 (61%)</w:t>
            </w:r>
          </w:p>
        </w:tc>
      </w:tr>
    </w:tbl>
    <w:p w14:paraId="1A2A53A3" w14:textId="77777777" w:rsidR="003C0EE8" w:rsidRPr="008843F0" w:rsidRDefault="003C0EE8" w:rsidP="003C0EE8">
      <w:pPr>
        <w:pStyle w:val="Heading3"/>
      </w:pPr>
      <w:r w:rsidRPr="008843F0">
        <w:t xml:space="preserve">Preoperative </w:t>
      </w:r>
      <w:r w:rsidRPr="00D46D13">
        <w:t>anaemia</w:t>
      </w:r>
      <w:r w:rsidRPr="008843F0">
        <w:t>: management</w:t>
      </w:r>
    </w:p>
    <w:p w14:paraId="6587D4D9" w14:textId="77777777" w:rsidR="0095616D" w:rsidRDefault="003C0EE8" w:rsidP="003C0EE8">
      <w:pPr>
        <w:pStyle w:val="Body"/>
      </w:pPr>
      <w:r w:rsidRPr="008843F0">
        <w:t xml:space="preserve">Once a </w:t>
      </w:r>
      <w:r w:rsidRPr="00300E3C">
        <w:t>patient</w:t>
      </w:r>
      <w:r w:rsidRPr="008843F0">
        <w:t xml:space="preserve"> is identified as anaemic or iron deficient, treatment needs to commence. </w:t>
      </w:r>
    </w:p>
    <w:p w14:paraId="64D74524" w14:textId="58202DBF" w:rsidR="003C0EE8" w:rsidRPr="008843F0" w:rsidRDefault="003C0EE8" w:rsidP="003C0EE8">
      <w:pPr>
        <w:pStyle w:val="Body"/>
      </w:pPr>
      <w:r w:rsidRPr="008843F0">
        <w:t>For the purposes of this audit, interventions included preoperative red cell transfusions, iron replacement therapies and investigations such as scopes (endoscopy/colonoscopy) and specialist referrals based on preoperative assessment.</w:t>
      </w:r>
    </w:p>
    <w:p w14:paraId="3184675F" w14:textId="5FA5B0CC" w:rsidR="003C0EE8" w:rsidRPr="00300E3C" w:rsidRDefault="003C0EE8" w:rsidP="003C0EE8">
      <w:pPr>
        <w:pStyle w:val="Body"/>
      </w:pPr>
      <w:r w:rsidRPr="00300E3C">
        <w:t xml:space="preserve">Treatment of anaemia and/or iron deficiency was commenced in 68 patients (71 per cent of all patients with anaemia and/or iron deficiency identified by the health service [n = 96], which accounts for only 27 per cent of all patients </w:t>
      </w:r>
      <w:r w:rsidR="0095616D">
        <w:t>who</w:t>
      </w:r>
      <w:r w:rsidR="0095616D" w:rsidRPr="00300E3C">
        <w:t xml:space="preserve"> </w:t>
      </w:r>
      <w:r w:rsidRPr="00300E3C">
        <w:t xml:space="preserve">met the criteria for anaemia and/or iron deficiency by Module 2 [n = 248]). </w:t>
      </w:r>
    </w:p>
    <w:p w14:paraId="3F7E7390" w14:textId="638881EF" w:rsidR="003C0EE8" w:rsidRPr="008843F0" w:rsidRDefault="003C0EE8" w:rsidP="003C0EE8">
      <w:pPr>
        <w:pStyle w:val="Body"/>
      </w:pPr>
      <w:r w:rsidRPr="008843F0">
        <w:t xml:space="preserve">The type of treatment </w:t>
      </w:r>
      <w:r w:rsidRPr="00300E3C">
        <w:t>received</w:t>
      </w:r>
      <w:r w:rsidRPr="008843F0">
        <w:t xml:space="preserve"> varied, with a number of patients receiving several types of treatment </w:t>
      </w:r>
      <w:r w:rsidR="0095616D">
        <w:t xml:space="preserve">(Tables </w:t>
      </w:r>
      <w:r w:rsidR="005E52B4">
        <w:fldChar w:fldCharType="begin"/>
      </w:r>
      <w:r w:rsidR="005E52B4">
        <w:instrText xml:space="preserve"> SEQ Table \* ARABIC </w:instrText>
      </w:r>
      <w:r w:rsidR="005E52B4">
        <w:fldChar w:fldCharType="separate"/>
      </w:r>
      <w:r w:rsidR="00857812">
        <w:rPr>
          <w:noProof/>
        </w:rPr>
        <w:t>8</w:t>
      </w:r>
      <w:r w:rsidR="005E52B4">
        <w:rPr>
          <w:noProof/>
        </w:rPr>
        <w:fldChar w:fldCharType="end"/>
      </w:r>
      <w:r w:rsidR="0095616D">
        <w:t xml:space="preserve"> to 14).</w:t>
      </w:r>
    </w:p>
    <w:p w14:paraId="2418C584" w14:textId="77777777" w:rsidR="001141C8" w:rsidRDefault="001141C8">
      <w:pPr>
        <w:spacing w:after="0" w:line="240" w:lineRule="auto"/>
        <w:rPr>
          <w:b/>
        </w:rPr>
      </w:pPr>
      <w:bookmarkStart w:id="69" w:name="_Ref69833159"/>
      <w:r>
        <w:br w:type="page"/>
      </w:r>
    </w:p>
    <w:p w14:paraId="71244329" w14:textId="640EBA95" w:rsidR="003C0EE8" w:rsidRPr="008843F0" w:rsidRDefault="003C0EE8" w:rsidP="0095616D">
      <w:pPr>
        <w:pStyle w:val="Tablecaption"/>
      </w:pPr>
      <w:r w:rsidRPr="008843F0">
        <w:lastRenderedPageBreak/>
        <w:t xml:space="preserve">Table </w:t>
      </w:r>
      <w:r w:rsidR="005E52B4">
        <w:fldChar w:fldCharType="begin"/>
      </w:r>
      <w:r w:rsidR="005E52B4">
        <w:instrText xml:space="preserve"> SEQ Table \* ARABIC </w:instrText>
      </w:r>
      <w:r w:rsidR="005E52B4">
        <w:fldChar w:fldCharType="separate"/>
      </w:r>
      <w:r w:rsidR="00857812">
        <w:rPr>
          <w:noProof/>
        </w:rPr>
        <w:t>9</w:t>
      </w:r>
      <w:r w:rsidR="005E52B4">
        <w:rPr>
          <w:noProof/>
        </w:rPr>
        <w:fldChar w:fldCharType="end"/>
      </w:r>
      <w:bookmarkEnd w:id="69"/>
      <w:r w:rsidRPr="008843F0">
        <w:t xml:space="preserve">: All surgery </w:t>
      </w:r>
      <w:r w:rsidRPr="00300E3C">
        <w:t>type</w:t>
      </w:r>
      <w:r w:rsidR="0095616D">
        <w:t>s – t</w:t>
      </w:r>
      <w:r w:rsidRPr="008843F0">
        <w:t xml:space="preserve">ypes of </w:t>
      </w:r>
      <w:r w:rsidRPr="00F95181">
        <w:t>treatment</w:t>
      </w:r>
      <w:r w:rsidRPr="008843F0">
        <w:t xml:space="preserve"> received for anaemia/iron deficiency as documented by health services (number of patients requiring treatment </w:t>
      </w:r>
      <w:r w:rsidR="0061563A">
        <w:t>as per</w:t>
      </w:r>
      <w:r w:rsidRPr="008843F0">
        <w:t xml:space="preserve"> </w:t>
      </w:r>
      <w:r w:rsidR="0095616D" w:rsidRPr="008843F0">
        <w:t>Module</w:t>
      </w:r>
      <w:r w:rsidR="0095616D">
        <w:t> </w:t>
      </w:r>
      <w:r w:rsidRPr="008843F0">
        <w:t>2 = 248</w:t>
      </w:r>
      <w:r w:rsidR="0095616D">
        <w:t>,</w:t>
      </w:r>
      <w:r w:rsidR="0095616D" w:rsidRPr="008843F0">
        <w:t xml:space="preserve"> </w:t>
      </w:r>
      <w:r w:rsidRPr="008843F0">
        <w:t xml:space="preserve">compared </w:t>
      </w:r>
      <w:r w:rsidR="0095616D">
        <w:t>with</w:t>
      </w:r>
      <w:r w:rsidR="0095616D" w:rsidRPr="008843F0">
        <w:t xml:space="preserve"> </w:t>
      </w:r>
      <w:r w:rsidR="0095616D">
        <w:t>96</w:t>
      </w:r>
      <w:r w:rsidRPr="008843F0">
        <w:t xml:space="preserve"> documented</w:t>
      </w:r>
      <w:r w:rsidR="0061563A">
        <w:t xml:space="preserve"> and 68 treated</w:t>
      </w:r>
      <w:r w:rsidRPr="008843F0">
        <w:t xml:space="preserve"> by health service</w:t>
      </w:r>
      <w:r w:rsidR="0061563A">
        <w:t>s</w:t>
      </w:r>
      <w:r w:rsidRPr="008843F0">
        <w:t>)</w:t>
      </w:r>
    </w:p>
    <w:tbl>
      <w:tblPr>
        <w:tblStyle w:val="TableGrid2"/>
        <w:tblW w:w="0" w:type="auto"/>
        <w:tblInd w:w="5" w:type="dxa"/>
        <w:tblLook w:val="04A0" w:firstRow="1" w:lastRow="0" w:firstColumn="1" w:lastColumn="0" w:noHBand="0" w:noVBand="1"/>
      </w:tblPr>
      <w:tblGrid>
        <w:gridCol w:w="2004"/>
        <w:gridCol w:w="1822"/>
        <w:gridCol w:w="1550"/>
        <w:gridCol w:w="1442"/>
        <w:gridCol w:w="2198"/>
      </w:tblGrid>
      <w:tr w:rsidR="0095616D" w:rsidRPr="008843F0" w14:paraId="5CDE5845" w14:textId="77777777" w:rsidTr="002B2FD9">
        <w:tc>
          <w:tcPr>
            <w:tcW w:w="2004" w:type="dxa"/>
          </w:tcPr>
          <w:p w14:paraId="09CAA835" w14:textId="49146602" w:rsidR="0095616D" w:rsidRPr="00F95181" w:rsidRDefault="0095616D" w:rsidP="0095616D">
            <w:pPr>
              <w:pStyle w:val="Tablecolhead"/>
            </w:pPr>
            <w:r w:rsidRPr="00F95181">
              <w:t>Treatment</w:t>
            </w:r>
            <w:r>
              <w:rPr>
                <w:rStyle w:val="FootnoteReference"/>
              </w:rPr>
              <w:footnoteReference w:id="4"/>
            </w:r>
          </w:p>
        </w:tc>
        <w:tc>
          <w:tcPr>
            <w:tcW w:w="1822" w:type="dxa"/>
          </w:tcPr>
          <w:p w14:paraId="3EA3BBF1" w14:textId="710DDB6F" w:rsidR="0095616D" w:rsidRPr="00F95181" w:rsidRDefault="004C0533" w:rsidP="0095616D">
            <w:pPr>
              <w:pStyle w:val="Tablecolhead"/>
            </w:pPr>
            <w:r>
              <w:t>Number</w:t>
            </w:r>
            <w:r w:rsidR="0095616D" w:rsidRPr="00F95181">
              <w:t xml:space="preserve"> of patients treated (%)</w:t>
            </w:r>
            <w:r w:rsidR="0095616D">
              <w:rPr>
                <w:rStyle w:val="FootnoteReference"/>
              </w:rPr>
              <w:footnoteReference w:id="5"/>
            </w:r>
            <w:r w:rsidR="0095616D" w:rsidRPr="00F95181">
              <w:t xml:space="preserve"> </w:t>
            </w:r>
            <w:r w:rsidR="0095616D" w:rsidRPr="00F95181">
              <w:br/>
              <w:t>n = 68</w:t>
            </w:r>
          </w:p>
        </w:tc>
        <w:tc>
          <w:tcPr>
            <w:tcW w:w="1550" w:type="dxa"/>
          </w:tcPr>
          <w:p w14:paraId="2A6DD95B" w14:textId="3C207721" w:rsidR="0095616D" w:rsidRPr="00F95181" w:rsidRDefault="0095616D" w:rsidP="0095616D">
            <w:pPr>
              <w:pStyle w:val="Tablecolhead"/>
            </w:pPr>
            <w:r w:rsidRPr="00F95181">
              <w:t xml:space="preserve">Male average Hb (range) (g/L) </w:t>
            </w:r>
            <w:r w:rsidRPr="00F95181">
              <w:br/>
              <w:t>at assessment</w:t>
            </w:r>
          </w:p>
        </w:tc>
        <w:tc>
          <w:tcPr>
            <w:tcW w:w="1442" w:type="dxa"/>
          </w:tcPr>
          <w:p w14:paraId="53383280" w14:textId="3E9878EC" w:rsidR="0095616D" w:rsidRPr="0062793C" w:rsidRDefault="0095616D" w:rsidP="0095616D">
            <w:pPr>
              <w:pStyle w:val="Tablecolhead"/>
            </w:pPr>
            <w:r w:rsidRPr="00F95181">
              <w:t>Fema</w:t>
            </w:r>
            <w:r w:rsidRPr="0062793C">
              <w:t xml:space="preserve">le average Hb (range) (g/L) </w:t>
            </w:r>
            <w:r w:rsidRPr="0062793C">
              <w:br/>
              <w:t>at assessment</w:t>
            </w:r>
          </w:p>
        </w:tc>
        <w:tc>
          <w:tcPr>
            <w:tcW w:w="2198" w:type="dxa"/>
          </w:tcPr>
          <w:p w14:paraId="2DF64C6A" w14:textId="2F0A50B9" w:rsidR="0095616D" w:rsidRPr="0095616D" w:rsidRDefault="0095616D" w:rsidP="0095616D">
            <w:pPr>
              <w:pStyle w:val="Tablecolhead"/>
            </w:pPr>
            <w:r w:rsidRPr="0062793C">
              <w:t xml:space="preserve">Average ferritin (range) </w:t>
            </w:r>
            <w:r w:rsidRPr="0095616D">
              <w:t>(mcg/L) at assessment</w:t>
            </w:r>
          </w:p>
        </w:tc>
      </w:tr>
      <w:tr w:rsidR="003C0EE8" w:rsidRPr="008843F0" w14:paraId="6FA6D5D8" w14:textId="77777777" w:rsidTr="002B2FD9">
        <w:tc>
          <w:tcPr>
            <w:tcW w:w="2004" w:type="dxa"/>
          </w:tcPr>
          <w:p w14:paraId="1F9DE0FF" w14:textId="77777777" w:rsidR="003C0EE8" w:rsidRPr="00300E3C" w:rsidRDefault="003C0EE8" w:rsidP="003C2836">
            <w:pPr>
              <w:pStyle w:val="Tabletext"/>
            </w:pPr>
            <w:r w:rsidRPr="00300E3C">
              <w:t>Oral iron supplements</w:t>
            </w:r>
          </w:p>
        </w:tc>
        <w:tc>
          <w:tcPr>
            <w:tcW w:w="1822" w:type="dxa"/>
          </w:tcPr>
          <w:p w14:paraId="06CD5EB9" w14:textId="77777777" w:rsidR="003C0EE8" w:rsidRPr="00300E3C" w:rsidRDefault="003C0EE8" w:rsidP="002B2FD9">
            <w:pPr>
              <w:pStyle w:val="Tabletext"/>
              <w:jc w:val="right"/>
            </w:pPr>
            <w:r w:rsidRPr="00300E3C">
              <w:t>15 (22%)</w:t>
            </w:r>
          </w:p>
        </w:tc>
        <w:tc>
          <w:tcPr>
            <w:tcW w:w="1550" w:type="dxa"/>
          </w:tcPr>
          <w:p w14:paraId="0FB788A5" w14:textId="181864DE" w:rsidR="003C0EE8" w:rsidRPr="00300E3C" w:rsidRDefault="003C0EE8" w:rsidP="002B2FD9">
            <w:pPr>
              <w:pStyle w:val="Tabletext"/>
              <w:jc w:val="right"/>
            </w:pPr>
            <w:r w:rsidRPr="00300E3C">
              <w:t>114 (101–131)</w:t>
            </w:r>
          </w:p>
        </w:tc>
        <w:tc>
          <w:tcPr>
            <w:tcW w:w="1442" w:type="dxa"/>
          </w:tcPr>
          <w:p w14:paraId="0F01E694" w14:textId="59BF9491" w:rsidR="003C0EE8" w:rsidRPr="00300E3C" w:rsidRDefault="003C0EE8" w:rsidP="002B2FD9">
            <w:pPr>
              <w:pStyle w:val="Tabletext"/>
              <w:jc w:val="right"/>
            </w:pPr>
            <w:r w:rsidRPr="00300E3C">
              <w:t>116 (67</w:t>
            </w:r>
            <w:r w:rsidR="0095616D">
              <w:t>–</w:t>
            </w:r>
            <w:r w:rsidRPr="00300E3C">
              <w:t>142)</w:t>
            </w:r>
          </w:p>
        </w:tc>
        <w:tc>
          <w:tcPr>
            <w:tcW w:w="2198" w:type="dxa"/>
          </w:tcPr>
          <w:p w14:paraId="56F77DED" w14:textId="6F20718D" w:rsidR="003C0EE8" w:rsidRPr="00300E3C" w:rsidRDefault="003C0EE8" w:rsidP="002B2FD9">
            <w:pPr>
              <w:pStyle w:val="Tabletext"/>
              <w:jc w:val="right"/>
            </w:pPr>
            <w:r w:rsidRPr="00300E3C">
              <w:t>107 (7</w:t>
            </w:r>
            <w:r w:rsidR="0095616D">
              <w:t>–</w:t>
            </w:r>
            <w:r w:rsidRPr="00300E3C">
              <w:t>661)</w:t>
            </w:r>
          </w:p>
        </w:tc>
      </w:tr>
      <w:tr w:rsidR="003C0EE8" w:rsidRPr="008843F0" w14:paraId="54C465E2" w14:textId="77777777" w:rsidTr="002B2FD9">
        <w:tc>
          <w:tcPr>
            <w:tcW w:w="2004" w:type="dxa"/>
          </w:tcPr>
          <w:p w14:paraId="6E66BD1F" w14:textId="77777777" w:rsidR="003C0EE8" w:rsidRPr="00300E3C" w:rsidRDefault="003C0EE8" w:rsidP="003C2836">
            <w:pPr>
              <w:pStyle w:val="Tabletext"/>
            </w:pPr>
            <w:r w:rsidRPr="00300E3C">
              <w:t>IV iron infusion</w:t>
            </w:r>
          </w:p>
        </w:tc>
        <w:tc>
          <w:tcPr>
            <w:tcW w:w="1822" w:type="dxa"/>
          </w:tcPr>
          <w:p w14:paraId="76723FA0" w14:textId="77777777" w:rsidR="003C0EE8" w:rsidRPr="00300E3C" w:rsidRDefault="003C0EE8" w:rsidP="002B2FD9">
            <w:pPr>
              <w:pStyle w:val="Tabletext"/>
              <w:jc w:val="right"/>
            </w:pPr>
            <w:r w:rsidRPr="00300E3C">
              <w:t>45 (66%)</w:t>
            </w:r>
          </w:p>
        </w:tc>
        <w:tc>
          <w:tcPr>
            <w:tcW w:w="1550" w:type="dxa"/>
          </w:tcPr>
          <w:p w14:paraId="17FFD696" w14:textId="068EC88B" w:rsidR="003C0EE8" w:rsidRPr="00300E3C" w:rsidRDefault="003C0EE8" w:rsidP="002B2FD9">
            <w:pPr>
              <w:pStyle w:val="Tabletext"/>
              <w:jc w:val="right"/>
            </w:pPr>
            <w:r w:rsidRPr="00300E3C">
              <w:t>104 (57–142)</w:t>
            </w:r>
          </w:p>
        </w:tc>
        <w:tc>
          <w:tcPr>
            <w:tcW w:w="1442" w:type="dxa"/>
          </w:tcPr>
          <w:p w14:paraId="4CD7FCE7" w14:textId="387511E6" w:rsidR="003C0EE8" w:rsidRPr="00300E3C" w:rsidRDefault="003C0EE8" w:rsidP="002B2FD9">
            <w:pPr>
              <w:pStyle w:val="Tabletext"/>
              <w:jc w:val="right"/>
            </w:pPr>
            <w:r w:rsidRPr="00300E3C">
              <w:t>104 (70</w:t>
            </w:r>
            <w:r w:rsidR="0095616D">
              <w:t>–</w:t>
            </w:r>
            <w:r w:rsidRPr="00300E3C">
              <w:t>142)</w:t>
            </w:r>
          </w:p>
        </w:tc>
        <w:tc>
          <w:tcPr>
            <w:tcW w:w="2198" w:type="dxa"/>
          </w:tcPr>
          <w:p w14:paraId="150DFD8A" w14:textId="6DC78888" w:rsidR="003C0EE8" w:rsidRPr="00300E3C" w:rsidRDefault="003C0EE8" w:rsidP="002B2FD9">
            <w:pPr>
              <w:pStyle w:val="Tabletext"/>
              <w:jc w:val="right"/>
            </w:pPr>
            <w:r w:rsidRPr="00300E3C">
              <w:t>55 (3</w:t>
            </w:r>
            <w:r w:rsidR="0095616D">
              <w:t>–</w:t>
            </w:r>
            <w:r w:rsidRPr="00300E3C">
              <w:t>495)</w:t>
            </w:r>
          </w:p>
        </w:tc>
      </w:tr>
      <w:tr w:rsidR="003C0EE8" w:rsidRPr="008843F0" w14:paraId="042A49DB" w14:textId="77777777" w:rsidTr="002B2FD9">
        <w:tc>
          <w:tcPr>
            <w:tcW w:w="2004" w:type="dxa"/>
          </w:tcPr>
          <w:p w14:paraId="0D856546" w14:textId="77777777" w:rsidR="003C0EE8" w:rsidRPr="00300E3C" w:rsidRDefault="003C0EE8" w:rsidP="003C2836">
            <w:pPr>
              <w:pStyle w:val="Tabletext"/>
            </w:pPr>
            <w:r w:rsidRPr="00300E3C">
              <w:t>Specialist referral (Haematology, GI or renal)</w:t>
            </w:r>
          </w:p>
        </w:tc>
        <w:tc>
          <w:tcPr>
            <w:tcW w:w="1822" w:type="dxa"/>
          </w:tcPr>
          <w:p w14:paraId="518ADD8F" w14:textId="77777777" w:rsidR="003C0EE8" w:rsidRPr="00300E3C" w:rsidRDefault="003C0EE8" w:rsidP="002B2FD9">
            <w:pPr>
              <w:pStyle w:val="Tabletext"/>
              <w:jc w:val="right"/>
            </w:pPr>
            <w:r w:rsidRPr="00300E3C">
              <w:t>13 (19%)</w:t>
            </w:r>
          </w:p>
        </w:tc>
        <w:tc>
          <w:tcPr>
            <w:tcW w:w="1550" w:type="dxa"/>
          </w:tcPr>
          <w:p w14:paraId="57629A74" w14:textId="5FF0A321" w:rsidR="003C0EE8" w:rsidRPr="00300E3C" w:rsidRDefault="003C0EE8" w:rsidP="002B2FD9">
            <w:pPr>
              <w:pStyle w:val="Tabletext"/>
              <w:jc w:val="right"/>
            </w:pPr>
            <w:r w:rsidRPr="00300E3C">
              <w:t>97 (57–130)</w:t>
            </w:r>
          </w:p>
        </w:tc>
        <w:tc>
          <w:tcPr>
            <w:tcW w:w="1442" w:type="dxa"/>
          </w:tcPr>
          <w:p w14:paraId="7CCC365E" w14:textId="30CC9101" w:rsidR="003C0EE8" w:rsidRPr="00300E3C" w:rsidRDefault="003C0EE8" w:rsidP="002B2FD9">
            <w:pPr>
              <w:pStyle w:val="Tabletext"/>
              <w:jc w:val="right"/>
            </w:pPr>
            <w:r w:rsidRPr="00300E3C">
              <w:t>111 (76–132)</w:t>
            </w:r>
          </w:p>
        </w:tc>
        <w:tc>
          <w:tcPr>
            <w:tcW w:w="2198" w:type="dxa"/>
          </w:tcPr>
          <w:p w14:paraId="414EB95F" w14:textId="6192AB6B" w:rsidR="003C0EE8" w:rsidRPr="00300E3C" w:rsidRDefault="003C0EE8" w:rsidP="002B2FD9">
            <w:pPr>
              <w:pStyle w:val="Tabletext"/>
              <w:jc w:val="right"/>
            </w:pPr>
            <w:r w:rsidRPr="00300E3C">
              <w:t>150 (3–423)</w:t>
            </w:r>
          </w:p>
        </w:tc>
      </w:tr>
      <w:tr w:rsidR="003C0EE8" w:rsidRPr="008843F0" w14:paraId="315080F2" w14:textId="77777777" w:rsidTr="002B2FD9">
        <w:tc>
          <w:tcPr>
            <w:tcW w:w="2004" w:type="dxa"/>
          </w:tcPr>
          <w:p w14:paraId="65600FF4" w14:textId="77777777" w:rsidR="003C0EE8" w:rsidRPr="00300E3C" w:rsidRDefault="003C0EE8" w:rsidP="003C2836">
            <w:pPr>
              <w:pStyle w:val="Tabletext"/>
            </w:pPr>
            <w:r w:rsidRPr="00300E3C">
              <w:t>Red cell transfusion</w:t>
            </w:r>
          </w:p>
        </w:tc>
        <w:tc>
          <w:tcPr>
            <w:tcW w:w="1822" w:type="dxa"/>
          </w:tcPr>
          <w:p w14:paraId="3150E2BA" w14:textId="77777777" w:rsidR="003C0EE8" w:rsidRPr="00300E3C" w:rsidRDefault="003C0EE8" w:rsidP="002B2FD9">
            <w:pPr>
              <w:pStyle w:val="Tabletext"/>
              <w:jc w:val="right"/>
            </w:pPr>
            <w:r w:rsidRPr="00300E3C">
              <w:t>13 (19%)</w:t>
            </w:r>
          </w:p>
        </w:tc>
        <w:tc>
          <w:tcPr>
            <w:tcW w:w="1550" w:type="dxa"/>
          </w:tcPr>
          <w:p w14:paraId="0716C04E" w14:textId="386B4B59" w:rsidR="003C0EE8" w:rsidRPr="00300E3C" w:rsidRDefault="003C0EE8" w:rsidP="002B2FD9">
            <w:pPr>
              <w:pStyle w:val="Tabletext"/>
              <w:jc w:val="right"/>
            </w:pPr>
            <w:r w:rsidRPr="00300E3C">
              <w:t>69 (45–97)</w:t>
            </w:r>
          </w:p>
        </w:tc>
        <w:tc>
          <w:tcPr>
            <w:tcW w:w="1442" w:type="dxa"/>
          </w:tcPr>
          <w:p w14:paraId="0EDC35CC" w14:textId="4F2B52F5" w:rsidR="003C0EE8" w:rsidRPr="00300E3C" w:rsidRDefault="003C0EE8" w:rsidP="002B2FD9">
            <w:pPr>
              <w:pStyle w:val="Tabletext"/>
              <w:jc w:val="right"/>
            </w:pPr>
            <w:r w:rsidRPr="00300E3C">
              <w:t>79 (59–105)</w:t>
            </w:r>
          </w:p>
        </w:tc>
        <w:tc>
          <w:tcPr>
            <w:tcW w:w="2198" w:type="dxa"/>
          </w:tcPr>
          <w:p w14:paraId="31089533" w14:textId="29B746AB" w:rsidR="003C0EE8" w:rsidRPr="00300E3C" w:rsidRDefault="003C0EE8" w:rsidP="002B2FD9">
            <w:pPr>
              <w:pStyle w:val="Tabletext"/>
              <w:jc w:val="right"/>
            </w:pPr>
            <w:r w:rsidRPr="00300E3C">
              <w:t>171 (3–990)</w:t>
            </w:r>
          </w:p>
        </w:tc>
      </w:tr>
      <w:tr w:rsidR="003C0EE8" w:rsidRPr="008843F0" w14:paraId="70AEF3CE" w14:textId="77777777" w:rsidTr="002B2FD9">
        <w:tc>
          <w:tcPr>
            <w:tcW w:w="2004" w:type="dxa"/>
          </w:tcPr>
          <w:p w14:paraId="786F9F53" w14:textId="771EDE4B" w:rsidR="003C0EE8" w:rsidRPr="00300E3C" w:rsidRDefault="003C0EE8" w:rsidP="003C2836">
            <w:pPr>
              <w:pStyle w:val="Tabletext"/>
            </w:pPr>
            <w:r w:rsidRPr="00300E3C">
              <w:t>Other</w:t>
            </w:r>
            <w:r w:rsidR="0095616D">
              <w:rPr>
                <w:rStyle w:val="FootnoteReference"/>
              </w:rPr>
              <w:footnoteReference w:id="6"/>
            </w:r>
          </w:p>
        </w:tc>
        <w:tc>
          <w:tcPr>
            <w:tcW w:w="1822" w:type="dxa"/>
          </w:tcPr>
          <w:p w14:paraId="6D402411" w14:textId="77777777" w:rsidR="003C0EE8" w:rsidRPr="00300E3C" w:rsidRDefault="003C0EE8" w:rsidP="002B2FD9">
            <w:pPr>
              <w:pStyle w:val="Tabletext"/>
              <w:jc w:val="right"/>
            </w:pPr>
            <w:r w:rsidRPr="00300E3C">
              <w:t>1 (1%)</w:t>
            </w:r>
          </w:p>
        </w:tc>
        <w:tc>
          <w:tcPr>
            <w:tcW w:w="1550" w:type="dxa"/>
          </w:tcPr>
          <w:p w14:paraId="50B49630" w14:textId="77777777" w:rsidR="003C0EE8" w:rsidRPr="00300E3C" w:rsidRDefault="003C0EE8" w:rsidP="002B2FD9">
            <w:pPr>
              <w:pStyle w:val="Tabletext"/>
              <w:jc w:val="right"/>
            </w:pPr>
            <w:r w:rsidRPr="00300E3C">
              <w:t>-</w:t>
            </w:r>
          </w:p>
        </w:tc>
        <w:tc>
          <w:tcPr>
            <w:tcW w:w="1442" w:type="dxa"/>
          </w:tcPr>
          <w:p w14:paraId="3AF28C93" w14:textId="77777777" w:rsidR="003C0EE8" w:rsidRPr="00300E3C" w:rsidRDefault="003C0EE8" w:rsidP="002B2FD9">
            <w:pPr>
              <w:pStyle w:val="Tabletext"/>
              <w:jc w:val="right"/>
            </w:pPr>
            <w:r w:rsidRPr="00300E3C">
              <w:t>112</w:t>
            </w:r>
          </w:p>
        </w:tc>
        <w:tc>
          <w:tcPr>
            <w:tcW w:w="2198" w:type="dxa"/>
          </w:tcPr>
          <w:p w14:paraId="0607B4C7" w14:textId="77777777" w:rsidR="003C0EE8" w:rsidRPr="00300E3C" w:rsidRDefault="003C0EE8" w:rsidP="002B2FD9">
            <w:pPr>
              <w:pStyle w:val="Tabletext"/>
              <w:jc w:val="right"/>
            </w:pPr>
            <w:r w:rsidRPr="00300E3C">
              <w:t>13</w:t>
            </w:r>
          </w:p>
        </w:tc>
      </w:tr>
    </w:tbl>
    <w:p w14:paraId="6D96F6E5" w14:textId="5BB2CBBE" w:rsidR="003C0EE8" w:rsidRPr="008843F0" w:rsidRDefault="0095616D" w:rsidP="0095616D">
      <w:pPr>
        <w:pStyle w:val="Tablecaption"/>
      </w:pPr>
      <w:r>
        <w:t xml:space="preserve">Table </w:t>
      </w:r>
      <w:r w:rsidR="005E52B4">
        <w:fldChar w:fldCharType="begin"/>
      </w:r>
      <w:r w:rsidR="005E52B4">
        <w:instrText xml:space="preserve"> SEQ Table \* ARABIC </w:instrText>
      </w:r>
      <w:r w:rsidR="005E52B4">
        <w:fldChar w:fldCharType="separate"/>
      </w:r>
      <w:r w:rsidR="00857812">
        <w:rPr>
          <w:noProof/>
        </w:rPr>
        <w:t>10</w:t>
      </w:r>
      <w:r w:rsidR="005E52B4">
        <w:rPr>
          <w:noProof/>
        </w:rPr>
        <w:fldChar w:fldCharType="end"/>
      </w:r>
      <w:r>
        <w:t>1</w:t>
      </w:r>
      <w:r w:rsidR="003C0EE8" w:rsidRPr="008843F0">
        <w:t xml:space="preserve">: </w:t>
      </w:r>
      <w:r w:rsidR="003C0EE8" w:rsidRPr="00300E3C">
        <w:t>Orthopaedics</w:t>
      </w:r>
      <w:r>
        <w:t xml:space="preserve"> –</w:t>
      </w:r>
      <w:r w:rsidRPr="008843F0">
        <w:t xml:space="preserve"> </w:t>
      </w:r>
      <w:r>
        <w:t>t</w:t>
      </w:r>
      <w:r w:rsidR="003C0EE8" w:rsidRPr="008843F0">
        <w:t>ypes of treatment received for anaemia/iron deficiency as documented by health services (</w:t>
      </w:r>
      <w:bookmarkStart w:id="70" w:name="_Hlk69398532"/>
      <w:r w:rsidR="003C0EE8" w:rsidRPr="008843F0">
        <w:t xml:space="preserve">number of patients requiring treatment </w:t>
      </w:r>
      <w:r w:rsidR="0061563A">
        <w:t xml:space="preserve">as per </w:t>
      </w:r>
      <w:r w:rsidR="003C0EE8" w:rsidRPr="008843F0">
        <w:t>Module 2 = 97</w:t>
      </w:r>
      <w:r w:rsidR="00C9559B">
        <w:t>,</w:t>
      </w:r>
      <w:r w:rsidR="00C9559B" w:rsidRPr="008843F0">
        <w:t xml:space="preserve"> </w:t>
      </w:r>
      <w:r w:rsidR="003C0EE8" w:rsidRPr="008843F0">
        <w:t xml:space="preserve">compared </w:t>
      </w:r>
      <w:r w:rsidR="00C9559B">
        <w:t>with</w:t>
      </w:r>
      <w:r w:rsidR="00C9559B" w:rsidRPr="008843F0">
        <w:t xml:space="preserve"> </w:t>
      </w:r>
      <w:r w:rsidR="00C9559B">
        <w:t>25</w:t>
      </w:r>
      <w:r w:rsidR="00C9559B" w:rsidRPr="008843F0">
        <w:t xml:space="preserve"> </w:t>
      </w:r>
      <w:r w:rsidR="003C0EE8" w:rsidRPr="008843F0">
        <w:t xml:space="preserve">documented </w:t>
      </w:r>
      <w:r w:rsidR="0061563A">
        <w:t xml:space="preserve">and 16 treated </w:t>
      </w:r>
      <w:r w:rsidR="003C0EE8" w:rsidRPr="008843F0">
        <w:t>by health service</w:t>
      </w:r>
      <w:r w:rsidR="0061563A">
        <w:t>s</w:t>
      </w:r>
      <w:bookmarkEnd w:id="70"/>
      <w:r w:rsidR="003C0EE8" w:rsidRPr="008843F0">
        <w:t>)</w:t>
      </w:r>
    </w:p>
    <w:tbl>
      <w:tblPr>
        <w:tblStyle w:val="TableGrid2"/>
        <w:tblW w:w="0" w:type="auto"/>
        <w:tblInd w:w="5" w:type="dxa"/>
        <w:tblLook w:val="04A0" w:firstRow="1" w:lastRow="0" w:firstColumn="1" w:lastColumn="0" w:noHBand="0" w:noVBand="1"/>
      </w:tblPr>
      <w:tblGrid>
        <w:gridCol w:w="2004"/>
        <w:gridCol w:w="1822"/>
        <w:gridCol w:w="1550"/>
        <w:gridCol w:w="1442"/>
        <w:gridCol w:w="2198"/>
      </w:tblGrid>
      <w:tr w:rsidR="00C9559B" w:rsidRPr="008843F0" w14:paraId="6700A88A" w14:textId="77777777" w:rsidTr="002B2FD9">
        <w:tc>
          <w:tcPr>
            <w:tcW w:w="2004" w:type="dxa"/>
          </w:tcPr>
          <w:p w14:paraId="0D055644" w14:textId="7CEE3FDD" w:rsidR="00C9559B" w:rsidRPr="00F95181" w:rsidRDefault="00C9559B" w:rsidP="002B2FD9">
            <w:pPr>
              <w:pStyle w:val="Tablecolhead"/>
            </w:pPr>
            <w:r w:rsidRPr="00F95181">
              <w:t>Treatment</w:t>
            </w:r>
            <w:r w:rsidRPr="00F95181">
              <w:rPr>
                <w:rStyle w:val="FootnoteReference"/>
              </w:rPr>
              <w:footnoteReference w:id="7"/>
            </w:r>
          </w:p>
        </w:tc>
        <w:tc>
          <w:tcPr>
            <w:tcW w:w="1822" w:type="dxa"/>
          </w:tcPr>
          <w:p w14:paraId="20CB2C99" w14:textId="51345B28" w:rsidR="00C9559B" w:rsidRPr="00F95181" w:rsidRDefault="00C9559B" w:rsidP="002B2FD9">
            <w:pPr>
              <w:pStyle w:val="Tablecolhead"/>
            </w:pPr>
            <w:r w:rsidRPr="00F95181">
              <w:t>Number of patients treated (%)</w:t>
            </w:r>
            <w:r w:rsidRPr="00F95181">
              <w:rPr>
                <w:rStyle w:val="FootnoteReference"/>
              </w:rPr>
              <w:footnoteReference w:id="8"/>
            </w:r>
            <w:r w:rsidRPr="00F95181">
              <w:t xml:space="preserve"> </w:t>
            </w:r>
            <w:r w:rsidRPr="00F95181">
              <w:br/>
              <w:t>n = 68</w:t>
            </w:r>
          </w:p>
        </w:tc>
        <w:tc>
          <w:tcPr>
            <w:tcW w:w="1550" w:type="dxa"/>
          </w:tcPr>
          <w:p w14:paraId="2D7A9E68" w14:textId="09A1AC75" w:rsidR="00C9559B" w:rsidRPr="0062793C" w:rsidRDefault="00C9559B" w:rsidP="002B2FD9">
            <w:pPr>
              <w:pStyle w:val="Tablecolhead"/>
            </w:pPr>
            <w:r w:rsidRPr="0062793C">
              <w:t xml:space="preserve">Male average Hb (range) (g/L) </w:t>
            </w:r>
            <w:r w:rsidRPr="0062793C">
              <w:br/>
              <w:t>at assessment</w:t>
            </w:r>
          </w:p>
        </w:tc>
        <w:tc>
          <w:tcPr>
            <w:tcW w:w="1442" w:type="dxa"/>
          </w:tcPr>
          <w:p w14:paraId="541BD7CB" w14:textId="1A61B7C2" w:rsidR="00C9559B" w:rsidRPr="0038378B" w:rsidRDefault="00C9559B" w:rsidP="002B2FD9">
            <w:pPr>
              <w:pStyle w:val="Tablecolhead"/>
            </w:pPr>
            <w:r w:rsidRPr="0062793C">
              <w:t>F</w:t>
            </w:r>
            <w:r w:rsidRPr="0038378B">
              <w:t xml:space="preserve">emale average Hb (range) (g/L) </w:t>
            </w:r>
            <w:r w:rsidRPr="0038378B">
              <w:br/>
              <w:t>at assessment</w:t>
            </w:r>
          </w:p>
        </w:tc>
        <w:tc>
          <w:tcPr>
            <w:tcW w:w="2198" w:type="dxa"/>
          </w:tcPr>
          <w:p w14:paraId="4B3262AF" w14:textId="31D34A3F" w:rsidR="00C9559B" w:rsidRPr="00F9779F" w:rsidRDefault="00C9559B" w:rsidP="002B2FD9">
            <w:pPr>
              <w:pStyle w:val="Tablecolhead"/>
            </w:pPr>
            <w:r w:rsidRPr="008F5214">
              <w:t>Average ferritin (range) (mcg/L) at assessment</w:t>
            </w:r>
          </w:p>
        </w:tc>
      </w:tr>
      <w:tr w:rsidR="003C0EE8" w:rsidRPr="008843F0" w14:paraId="4D03CD52" w14:textId="77777777" w:rsidTr="002B2FD9">
        <w:tc>
          <w:tcPr>
            <w:tcW w:w="2004" w:type="dxa"/>
          </w:tcPr>
          <w:p w14:paraId="703DD2B6" w14:textId="77777777" w:rsidR="003C0EE8" w:rsidRPr="00300E3C" w:rsidRDefault="003C0EE8" w:rsidP="003C2836">
            <w:pPr>
              <w:pStyle w:val="Tabletext"/>
            </w:pPr>
            <w:r w:rsidRPr="00300E3C">
              <w:t>Oral iron supplements</w:t>
            </w:r>
          </w:p>
        </w:tc>
        <w:tc>
          <w:tcPr>
            <w:tcW w:w="1822" w:type="dxa"/>
          </w:tcPr>
          <w:p w14:paraId="0EC9909F" w14:textId="77777777" w:rsidR="003C0EE8" w:rsidRPr="00300E3C" w:rsidRDefault="003C0EE8" w:rsidP="002B2FD9">
            <w:pPr>
              <w:pStyle w:val="Tabletext"/>
              <w:jc w:val="right"/>
            </w:pPr>
            <w:r w:rsidRPr="00300E3C">
              <w:t>5 (31%)</w:t>
            </w:r>
          </w:p>
        </w:tc>
        <w:tc>
          <w:tcPr>
            <w:tcW w:w="1550" w:type="dxa"/>
          </w:tcPr>
          <w:p w14:paraId="65BDEB04" w14:textId="77777777" w:rsidR="003C0EE8" w:rsidRPr="00300E3C" w:rsidRDefault="003C0EE8" w:rsidP="002B2FD9">
            <w:pPr>
              <w:pStyle w:val="Tabletext"/>
              <w:jc w:val="right"/>
            </w:pPr>
            <w:r w:rsidRPr="00300E3C">
              <w:t>101 (101–101)</w:t>
            </w:r>
            <w:r w:rsidRPr="00300E3C">
              <w:br/>
              <w:t>(n = 2)</w:t>
            </w:r>
          </w:p>
        </w:tc>
        <w:tc>
          <w:tcPr>
            <w:tcW w:w="1442" w:type="dxa"/>
          </w:tcPr>
          <w:p w14:paraId="41EDEEB1" w14:textId="77777777" w:rsidR="003C0EE8" w:rsidRPr="00300E3C" w:rsidRDefault="003C0EE8" w:rsidP="002B2FD9">
            <w:pPr>
              <w:pStyle w:val="Tabletext"/>
              <w:jc w:val="right"/>
            </w:pPr>
            <w:r w:rsidRPr="00300E3C">
              <w:t>119 (112–129)</w:t>
            </w:r>
            <w:r w:rsidRPr="00300E3C">
              <w:br/>
              <w:t>(n = 3)</w:t>
            </w:r>
          </w:p>
        </w:tc>
        <w:tc>
          <w:tcPr>
            <w:tcW w:w="2198" w:type="dxa"/>
          </w:tcPr>
          <w:p w14:paraId="5FEAC7E7" w14:textId="77777777" w:rsidR="003C0EE8" w:rsidRPr="00300E3C" w:rsidRDefault="003C0EE8" w:rsidP="002B2FD9">
            <w:pPr>
              <w:pStyle w:val="Tabletext"/>
              <w:jc w:val="right"/>
            </w:pPr>
            <w:r w:rsidRPr="00300E3C">
              <w:t>118 (20–416)</w:t>
            </w:r>
          </w:p>
        </w:tc>
      </w:tr>
      <w:tr w:rsidR="003C0EE8" w:rsidRPr="008843F0" w14:paraId="50A682F8" w14:textId="77777777" w:rsidTr="002B2FD9">
        <w:tc>
          <w:tcPr>
            <w:tcW w:w="2004" w:type="dxa"/>
          </w:tcPr>
          <w:p w14:paraId="25E8ABEA" w14:textId="77777777" w:rsidR="003C0EE8" w:rsidRPr="00300E3C" w:rsidRDefault="003C0EE8" w:rsidP="003C2836">
            <w:pPr>
              <w:pStyle w:val="Tabletext"/>
            </w:pPr>
            <w:r w:rsidRPr="00300E3C">
              <w:t>IV iron infusion</w:t>
            </w:r>
          </w:p>
        </w:tc>
        <w:tc>
          <w:tcPr>
            <w:tcW w:w="1822" w:type="dxa"/>
          </w:tcPr>
          <w:p w14:paraId="6A1803C7" w14:textId="77777777" w:rsidR="003C0EE8" w:rsidRPr="00300E3C" w:rsidRDefault="003C0EE8" w:rsidP="002B2FD9">
            <w:pPr>
              <w:pStyle w:val="Tabletext"/>
              <w:jc w:val="right"/>
            </w:pPr>
            <w:r w:rsidRPr="00300E3C">
              <w:t>12 (75%)</w:t>
            </w:r>
          </w:p>
        </w:tc>
        <w:tc>
          <w:tcPr>
            <w:tcW w:w="1550" w:type="dxa"/>
          </w:tcPr>
          <w:p w14:paraId="3655C5FB" w14:textId="77777777" w:rsidR="003C0EE8" w:rsidRPr="00300E3C" w:rsidRDefault="003C0EE8" w:rsidP="002B2FD9">
            <w:pPr>
              <w:pStyle w:val="Tabletext"/>
              <w:jc w:val="right"/>
            </w:pPr>
            <w:r w:rsidRPr="00300E3C">
              <w:t>131 (131–131)</w:t>
            </w:r>
            <w:r w:rsidRPr="00300E3C">
              <w:br/>
              <w:t>(n = 2)</w:t>
            </w:r>
          </w:p>
        </w:tc>
        <w:tc>
          <w:tcPr>
            <w:tcW w:w="1442" w:type="dxa"/>
          </w:tcPr>
          <w:p w14:paraId="1398FC1D" w14:textId="77777777" w:rsidR="003C0EE8" w:rsidRPr="00300E3C" w:rsidRDefault="003C0EE8" w:rsidP="002B2FD9">
            <w:pPr>
              <w:pStyle w:val="Tabletext"/>
              <w:jc w:val="right"/>
            </w:pPr>
            <w:r w:rsidRPr="00300E3C">
              <w:t>117 (107–136)</w:t>
            </w:r>
            <w:r w:rsidRPr="00300E3C">
              <w:br/>
              <w:t>(n = 10)</w:t>
            </w:r>
          </w:p>
        </w:tc>
        <w:tc>
          <w:tcPr>
            <w:tcW w:w="2198" w:type="dxa"/>
          </w:tcPr>
          <w:p w14:paraId="6F0C9469" w14:textId="77777777" w:rsidR="003C0EE8" w:rsidRPr="00300E3C" w:rsidRDefault="003C0EE8" w:rsidP="002B2FD9">
            <w:pPr>
              <w:pStyle w:val="Tabletext"/>
              <w:jc w:val="right"/>
            </w:pPr>
            <w:r w:rsidRPr="00300E3C">
              <w:t>30 (5–100)</w:t>
            </w:r>
          </w:p>
        </w:tc>
      </w:tr>
      <w:tr w:rsidR="003C0EE8" w:rsidRPr="008843F0" w14:paraId="533DAC3B" w14:textId="77777777" w:rsidTr="002B2FD9">
        <w:tc>
          <w:tcPr>
            <w:tcW w:w="2004" w:type="dxa"/>
          </w:tcPr>
          <w:p w14:paraId="1EFB43A1" w14:textId="77777777" w:rsidR="003C0EE8" w:rsidRPr="00300E3C" w:rsidRDefault="003C0EE8" w:rsidP="003C2836">
            <w:pPr>
              <w:pStyle w:val="Tabletext"/>
            </w:pPr>
            <w:r w:rsidRPr="00300E3C">
              <w:t>Specialist referral (Haematology, GI or renal)</w:t>
            </w:r>
          </w:p>
        </w:tc>
        <w:tc>
          <w:tcPr>
            <w:tcW w:w="1822" w:type="dxa"/>
          </w:tcPr>
          <w:p w14:paraId="285E41AB" w14:textId="77777777" w:rsidR="003C0EE8" w:rsidRPr="00300E3C" w:rsidRDefault="003C0EE8" w:rsidP="002B2FD9">
            <w:pPr>
              <w:pStyle w:val="Tabletext"/>
              <w:jc w:val="right"/>
            </w:pPr>
            <w:r w:rsidRPr="00300E3C">
              <w:t>2 (13%)</w:t>
            </w:r>
          </w:p>
        </w:tc>
        <w:tc>
          <w:tcPr>
            <w:tcW w:w="1550" w:type="dxa"/>
          </w:tcPr>
          <w:p w14:paraId="430A1037" w14:textId="77777777" w:rsidR="003C0EE8" w:rsidRPr="00300E3C" w:rsidRDefault="003C0EE8" w:rsidP="002B2FD9">
            <w:pPr>
              <w:pStyle w:val="Tabletext"/>
              <w:jc w:val="right"/>
            </w:pPr>
            <w:r w:rsidRPr="00300E3C">
              <w:t>101</w:t>
            </w:r>
            <w:r w:rsidRPr="00300E3C">
              <w:br/>
              <w:t>(n = 1)</w:t>
            </w:r>
          </w:p>
        </w:tc>
        <w:tc>
          <w:tcPr>
            <w:tcW w:w="1442" w:type="dxa"/>
          </w:tcPr>
          <w:p w14:paraId="741CF8AD" w14:textId="77777777" w:rsidR="003C0EE8" w:rsidRPr="00300E3C" w:rsidRDefault="003C0EE8" w:rsidP="002B2FD9">
            <w:pPr>
              <w:pStyle w:val="Tabletext"/>
              <w:jc w:val="right"/>
            </w:pPr>
            <w:r w:rsidRPr="00300E3C">
              <w:t xml:space="preserve">117 </w:t>
            </w:r>
            <w:r w:rsidRPr="00300E3C">
              <w:br/>
              <w:t>(n = 1)</w:t>
            </w:r>
          </w:p>
        </w:tc>
        <w:tc>
          <w:tcPr>
            <w:tcW w:w="2198" w:type="dxa"/>
          </w:tcPr>
          <w:p w14:paraId="167CF7DE" w14:textId="77777777" w:rsidR="003C0EE8" w:rsidRPr="00300E3C" w:rsidRDefault="003C0EE8" w:rsidP="002B2FD9">
            <w:pPr>
              <w:pStyle w:val="Tabletext"/>
              <w:jc w:val="right"/>
            </w:pPr>
            <w:r w:rsidRPr="00300E3C">
              <w:t>253 (90–416)</w:t>
            </w:r>
          </w:p>
        </w:tc>
      </w:tr>
      <w:tr w:rsidR="003C0EE8" w:rsidRPr="008843F0" w14:paraId="7370FE01" w14:textId="77777777" w:rsidTr="002B2FD9">
        <w:tc>
          <w:tcPr>
            <w:tcW w:w="2004" w:type="dxa"/>
          </w:tcPr>
          <w:p w14:paraId="00053033" w14:textId="77777777" w:rsidR="003C0EE8" w:rsidRPr="00300E3C" w:rsidRDefault="003C0EE8" w:rsidP="003C2836">
            <w:pPr>
              <w:pStyle w:val="Tabletext"/>
            </w:pPr>
            <w:r w:rsidRPr="00300E3C">
              <w:t>Red cell transfusion</w:t>
            </w:r>
          </w:p>
        </w:tc>
        <w:tc>
          <w:tcPr>
            <w:tcW w:w="1822" w:type="dxa"/>
          </w:tcPr>
          <w:p w14:paraId="6216C30E" w14:textId="77777777" w:rsidR="003C0EE8" w:rsidRPr="00300E3C" w:rsidRDefault="003C0EE8" w:rsidP="002B2FD9">
            <w:pPr>
              <w:pStyle w:val="Tabletext"/>
              <w:jc w:val="right"/>
            </w:pPr>
            <w:r w:rsidRPr="00300E3C">
              <w:t>1 (6%)</w:t>
            </w:r>
          </w:p>
        </w:tc>
        <w:tc>
          <w:tcPr>
            <w:tcW w:w="1550" w:type="dxa"/>
          </w:tcPr>
          <w:p w14:paraId="1E45E893" w14:textId="77777777" w:rsidR="003C0EE8" w:rsidRPr="00300E3C" w:rsidRDefault="003C0EE8" w:rsidP="002B2FD9">
            <w:pPr>
              <w:pStyle w:val="Tabletext"/>
              <w:jc w:val="right"/>
            </w:pPr>
            <w:r w:rsidRPr="00300E3C">
              <w:t>88</w:t>
            </w:r>
          </w:p>
        </w:tc>
        <w:tc>
          <w:tcPr>
            <w:tcW w:w="1442" w:type="dxa"/>
          </w:tcPr>
          <w:p w14:paraId="7AF813BC" w14:textId="77777777" w:rsidR="003C0EE8" w:rsidRPr="00300E3C" w:rsidRDefault="003C0EE8" w:rsidP="002B2FD9">
            <w:pPr>
              <w:pStyle w:val="Tabletext"/>
              <w:jc w:val="right"/>
            </w:pPr>
            <w:r w:rsidRPr="00300E3C">
              <w:t>-</w:t>
            </w:r>
          </w:p>
        </w:tc>
        <w:tc>
          <w:tcPr>
            <w:tcW w:w="2198" w:type="dxa"/>
          </w:tcPr>
          <w:p w14:paraId="1A1A0650" w14:textId="77777777" w:rsidR="003C0EE8" w:rsidRPr="00300E3C" w:rsidRDefault="003C0EE8" w:rsidP="002B2FD9">
            <w:pPr>
              <w:pStyle w:val="Tabletext"/>
              <w:jc w:val="right"/>
            </w:pPr>
            <w:r w:rsidRPr="00300E3C">
              <w:t>990</w:t>
            </w:r>
          </w:p>
        </w:tc>
      </w:tr>
      <w:tr w:rsidR="003C0EE8" w:rsidRPr="008843F0" w14:paraId="1434A71E" w14:textId="77777777" w:rsidTr="002B2FD9">
        <w:tc>
          <w:tcPr>
            <w:tcW w:w="2004" w:type="dxa"/>
          </w:tcPr>
          <w:p w14:paraId="50CD6F7D" w14:textId="583267E2" w:rsidR="003C0EE8" w:rsidRPr="00300E3C" w:rsidRDefault="003C0EE8" w:rsidP="003C2836">
            <w:pPr>
              <w:pStyle w:val="Tabletext"/>
            </w:pPr>
            <w:r w:rsidRPr="00300E3C">
              <w:t>Other</w:t>
            </w:r>
            <w:r w:rsidR="00C9559B">
              <w:rPr>
                <w:rStyle w:val="FootnoteReference"/>
              </w:rPr>
              <w:footnoteReference w:id="9"/>
            </w:r>
          </w:p>
        </w:tc>
        <w:tc>
          <w:tcPr>
            <w:tcW w:w="1822" w:type="dxa"/>
          </w:tcPr>
          <w:p w14:paraId="743AE373" w14:textId="77777777" w:rsidR="003C0EE8" w:rsidRPr="00300E3C" w:rsidRDefault="003C0EE8" w:rsidP="002B2FD9">
            <w:pPr>
              <w:pStyle w:val="Tabletext"/>
              <w:jc w:val="right"/>
            </w:pPr>
            <w:r w:rsidRPr="00300E3C">
              <w:t>1 (6%)</w:t>
            </w:r>
          </w:p>
        </w:tc>
        <w:tc>
          <w:tcPr>
            <w:tcW w:w="1550" w:type="dxa"/>
          </w:tcPr>
          <w:p w14:paraId="1234B934" w14:textId="77777777" w:rsidR="003C0EE8" w:rsidRPr="00300E3C" w:rsidRDefault="003C0EE8" w:rsidP="002B2FD9">
            <w:pPr>
              <w:pStyle w:val="Tabletext"/>
              <w:jc w:val="right"/>
            </w:pPr>
            <w:r w:rsidRPr="00300E3C">
              <w:t>-</w:t>
            </w:r>
          </w:p>
        </w:tc>
        <w:tc>
          <w:tcPr>
            <w:tcW w:w="1442" w:type="dxa"/>
          </w:tcPr>
          <w:p w14:paraId="0BB1AE46" w14:textId="77777777" w:rsidR="003C0EE8" w:rsidRPr="00300E3C" w:rsidRDefault="003C0EE8" w:rsidP="002B2FD9">
            <w:pPr>
              <w:pStyle w:val="Tabletext"/>
              <w:jc w:val="right"/>
            </w:pPr>
            <w:r w:rsidRPr="00300E3C">
              <w:t>112</w:t>
            </w:r>
          </w:p>
        </w:tc>
        <w:tc>
          <w:tcPr>
            <w:tcW w:w="2198" w:type="dxa"/>
          </w:tcPr>
          <w:p w14:paraId="3A77779D" w14:textId="77777777" w:rsidR="003C0EE8" w:rsidRPr="00300E3C" w:rsidRDefault="003C0EE8" w:rsidP="002B2FD9">
            <w:pPr>
              <w:pStyle w:val="Tabletext"/>
              <w:jc w:val="right"/>
            </w:pPr>
            <w:r w:rsidRPr="00300E3C">
              <w:t>13</w:t>
            </w:r>
          </w:p>
        </w:tc>
      </w:tr>
    </w:tbl>
    <w:p w14:paraId="53995B59" w14:textId="36ECF746" w:rsidR="003C0EE8" w:rsidRPr="008843F0" w:rsidRDefault="00C9559B" w:rsidP="00C9559B">
      <w:pPr>
        <w:pStyle w:val="Tablecaption"/>
      </w:pPr>
      <w:r>
        <w:lastRenderedPageBreak/>
        <w:t xml:space="preserve">Table </w:t>
      </w:r>
      <w:r w:rsidR="006F4FEC">
        <w:t>12</w:t>
      </w:r>
      <w:r>
        <w:t xml:space="preserve">: </w:t>
      </w:r>
      <w:r w:rsidR="003C0EE8" w:rsidRPr="00300E3C">
        <w:t>Gynaecology</w:t>
      </w:r>
      <w:r>
        <w:t xml:space="preserve"> –</w:t>
      </w:r>
      <w:r w:rsidRPr="008843F0">
        <w:t xml:space="preserve"> </w:t>
      </w:r>
      <w:r>
        <w:t>t</w:t>
      </w:r>
      <w:r w:rsidR="003C0EE8" w:rsidRPr="00C9559B">
        <w:t>ypes</w:t>
      </w:r>
      <w:r w:rsidR="003C0EE8" w:rsidRPr="008843F0">
        <w:t xml:space="preserve"> of treatment received for anaemia/iron deficiency as documented by health services (number of patients requiring treatment </w:t>
      </w:r>
      <w:r w:rsidR="0061563A">
        <w:t>as per</w:t>
      </w:r>
      <w:r w:rsidR="003C0EE8" w:rsidRPr="008843F0">
        <w:t xml:space="preserve"> Module 2 = 56; compared </w:t>
      </w:r>
      <w:r w:rsidR="00313701">
        <w:t>with 25 documented and 20 treated by</w:t>
      </w:r>
      <w:r w:rsidR="003C0EE8" w:rsidRPr="008843F0">
        <w:t xml:space="preserve"> health service</w:t>
      </w:r>
      <w:r w:rsidR="00313701">
        <w:t>s</w:t>
      </w:r>
      <w:r w:rsidR="003C0EE8" w:rsidRPr="008843F0">
        <w:t>)</w:t>
      </w:r>
    </w:p>
    <w:tbl>
      <w:tblPr>
        <w:tblStyle w:val="TableGrid21"/>
        <w:tblW w:w="9067" w:type="dxa"/>
        <w:tblLook w:val="04A0" w:firstRow="1" w:lastRow="0" w:firstColumn="1" w:lastColumn="0" w:noHBand="0" w:noVBand="1"/>
      </w:tblPr>
      <w:tblGrid>
        <w:gridCol w:w="1980"/>
        <w:gridCol w:w="2362"/>
        <w:gridCol w:w="2362"/>
        <w:gridCol w:w="2363"/>
      </w:tblGrid>
      <w:tr w:rsidR="003C0EE8" w:rsidRPr="008843F0" w14:paraId="098A6953" w14:textId="77777777" w:rsidTr="003C2836">
        <w:trPr>
          <w:tblHeader/>
        </w:trPr>
        <w:tc>
          <w:tcPr>
            <w:tcW w:w="1980" w:type="dxa"/>
          </w:tcPr>
          <w:p w14:paraId="3D524564" w14:textId="3BD71C29" w:rsidR="003C0EE8" w:rsidRPr="00300E3C" w:rsidRDefault="003C0EE8" w:rsidP="003C2836">
            <w:pPr>
              <w:pStyle w:val="Tablecolhead"/>
            </w:pPr>
            <w:r w:rsidRPr="00300E3C">
              <w:t>Treatment</w:t>
            </w:r>
            <w:r w:rsidR="00C9559B">
              <w:rPr>
                <w:rStyle w:val="FootnoteReference"/>
              </w:rPr>
              <w:footnoteReference w:id="10"/>
            </w:r>
          </w:p>
        </w:tc>
        <w:tc>
          <w:tcPr>
            <w:tcW w:w="2362" w:type="dxa"/>
          </w:tcPr>
          <w:p w14:paraId="183CE1ED" w14:textId="466021AB" w:rsidR="003C0EE8" w:rsidRPr="00300E3C" w:rsidRDefault="003C0EE8" w:rsidP="003C2836">
            <w:pPr>
              <w:pStyle w:val="Tablecolhead"/>
            </w:pPr>
            <w:r w:rsidRPr="00300E3C">
              <w:t xml:space="preserve">Number of </w:t>
            </w:r>
            <w:r w:rsidRPr="00300E3C">
              <w:br/>
              <w:t>patients treated (%)</w:t>
            </w:r>
            <w:r w:rsidR="00C9559B">
              <w:rPr>
                <w:rStyle w:val="FootnoteReference"/>
              </w:rPr>
              <w:footnoteReference w:id="11"/>
            </w:r>
            <w:r w:rsidRPr="00300E3C">
              <w:br/>
              <w:t xml:space="preserve">n = 20 </w:t>
            </w:r>
          </w:p>
        </w:tc>
        <w:tc>
          <w:tcPr>
            <w:tcW w:w="2362" w:type="dxa"/>
          </w:tcPr>
          <w:p w14:paraId="72B3F758" w14:textId="77777777" w:rsidR="003C0EE8" w:rsidRPr="00300E3C" w:rsidRDefault="003C0EE8" w:rsidP="003C2836">
            <w:pPr>
              <w:pStyle w:val="Tablecolhead"/>
            </w:pPr>
            <w:r w:rsidRPr="00300E3C">
              <w:t xml:space="preserve">Average Hb </w:t>
            </w:r>
            <w:r w:rsidRPr="00300E3C">
              <w:br/>
              <w:t xml:space="preserve">(range) (g/L) </w:t>
            </w:r>
            <w:r w:rsidRPr="00300E3C">
              <w:br/>
              <w:t>at assessment</w:t>
            </w:r>
          </w:p>
        </w:tc>
        <w:tc>
          <w:tcPr>
            <w:tcW w:w="2363" w:type="dxa"/>
          </w:tcPr>
          <w:p w14:paraId="7D24D849" w14:textId="77777777" w:rsidR="003C0EE8" w:rsidRPr="00300E3C" w:rsidRDefault="003C0EE8" w:rsidP="003C2836">
            <w:pPr>
              <w:pStyle w:val="Tablecolhead"/>
            </w:pPr>
            <w:r w:rsidRPr="00300E3C">
              <w:t>Average ferritin (range) (mcg/L) at assessment</w:t>
            </w:r>
          </w:p>
        </w:tc>
      </w:tr>
      <w:tr w:rsidR="003C0EE8" w:rsidRPr="008843F0" w14:paraId="47F7B2E5" w14:textId="77777777" w:rsidTr="003C2836">
        <w:tc>
          <w:tcPr>
            <w:tcW w:w="1980" w:type="dxa"/>
          </w:tcPr>
          <w:p w14:paraId="1DF751EC" w14:textId="77777777" w:rsidR="003C0EE8" w:rsidRPr="00300E3C" w:rsidRDefault="003C0EE8" w:rsidP="003C2836">
            <w:pPr>
              <w:pStyle w:val="Tabletext"/>
            </w:pPr>
            <w:r w:rsidRPr="00300E3C">
              <w:t>Oral iron supplements</w:t>
            </w:r>
          </w:p>
        </w:tc>
        <w:tc>
          <w:tcPr>
            <w:tcW w:w="2362" w:type="dxa"/>
          </w:tcPr>
          <w:p w14:paraId="340E8A20" w14:textId="77777777" w:rsidR="003C0EE8" w:rsidRPr="00300E3C" w:rsidRDefault="003C0EE8" w:rsidP="002B2FD9">
            <w:pPr>
              <w:pStyle w:val="Tabletext"/>
              <w:jc w:val="right"/>
            </w:pPr>
            <w:r w:rsidRPr="00300E3C">
              <w:t>7 (35%)</w:t>
            </w:r>
          </w:p>
        </w:tc>
        <w:tc>
          <w:tcPr>
            <w:tcW w:w="2362" w:type="dxa"/>
          </w:tcPr>
          <w:p w14:paraId="2CD5BABA" w14:textId="77777777" w:rsidR="003C0EE8" w:rsidRPr="00300E3C" w:rsidRDefault="003C0EE8" w:rsidP="002B2FD9">
            <w:pPr>
              <w:pStyle w:val="Tabletext"/>
              <w:jc w:val="right"/>
            </w:pPr>
            <w:r w:rsidRPr="00300E3C">
              <w:t>115 (67–142)</w:t>
            </w:r>
          </w:p>
        </w:tc>
        <w:tc>
          <w:tcPr>
            <w:tcW w:w="2363" w:type="dxa"/>
          </w:tcPr>
          <w:p w14:paraId="1E6947E4" w14:textId="77777777" w:rsidR="003C0EE8" w:rsidRPr="00300E3C" w:rsidRDefault="003C0EE8" w:rsidP="002B2FD9">
            <w:pPr>
              <w:pStyle w:val="Tabletext"/>
              <w:jc w:val="right"/>
            </w:pPr>
            <w:r w:rsidRPr="00300E3C">
              <w:t>21 (7–47)</w:t>
            </w:r>
          </w:p>
        </w:tc>
      </w:tr>
      <w:tr w:rsidR="003C0EE8" w:rsidRPr="008843F0" w14:paraId="721E6E3D" w14:textId="77777777" w:rsidTr="003C2836">
        <w:tc>
          <w:tcPr>
            <w:tcW w:w="1980" w:type="dxa"/>
          </w:tcPr>
          <w:p w14:paraId="0496D675" w14:textId="77777777" w:rsidR="003C0EE8" w:rsidRPr="00300E3C" w:rsidRDefault="003C0EE8" w:rsidP="003C2836">
            <w:pPr>
              <w:pStyle w:val="Tabletext"/>
            </w:pPr>
            <w:r w:rsidRPr="00300E3C">
              <w:t>IV iron infusion</w:t>
            </w:r>
          </w:p>
        </w:tc>
        <w:tc>
          <w:tcPr>
            <w:tcW w:w="2362" w:type="dxa"/>
          </w:tcPr>
          <w:p w14:paraId="29AE031F" w14:textId="77777777" w:rsidR="003C0EE8" w:rsidRPr="00300E3C" w:rsidRDefault="003C0EE8" w:rsidP="002B2FD9">
            <w:pPr>
              <w:pStyle w:val="Tabletext"/>
              <w:jc w:val="right"/>
            </w:pPr>
            <w:r w:rsidRPr="00300E3C">
              <w:t>12 (60%)</w:t>
            </w:r>
          </w:p>
        </w:tc>
        <w:tc>
          <w:tcPr>
            <w:tcW w:w="2362" w:type="dxa"/>
          </w:tcPr>
          <w:p w14:paraId="13BA9415" w14:textId="77777777" w:rsidR="003C0EE8" w:rsidRPr="00300E3C" w:rsidRDefault="003C0EE8" w:rsidP="002B2FD9">
            <w:pPr>
              <w:pStyle w:val="Tabletext"/>
              <w:jc w:val="right"/>
            </w:pPr>
            <w:r w:rsidRPr="00300E3C">
              <w:t>92 (80–142)</w:t>
            </w:r>
          </w:p>
        </w:tc>
        <w:tc>
          <w:tcPr>
            <w:tcW w:w="2363" w:type="dxa"/>
          </w:tcPr>
          <w:p w14:paraId="77CF989B" w14:textId="77777777" w:rsidR="003C0EE8" w:rsidRPr="00300E3C" w:rsidRDefault="003C0EE8" w:rsidP="002B2FD9">
            <w:pPr>
              <w:pStyle w:val="Tabletext"/>
              <w:jc w:val="right"/>
            </w:pPr>
            <w:r w:rsidRPr="00300E3C">
              <w:t>22 (4–129)</w:t>
            </w:r>
          </w:p>
        </w:tc>
      </w:tr>
      <w:tr w:rsidR="003C0EE8" w:rsidRPr="008843F0" w14:paraId="6977458E" w14:textId="77777777" w:rsidTr="003C2836">
        <w:tc>
          <w:tcPr>
            <w:tcW w:w="1980" w:type="dxa"/>
          </w:tcPr>
          <w:p w14:paraId="147804C9" w14:textId="77777777" w:rsidR="003C0EE8" w:rsidRPr="00300E3C" w:rsidRDefault="003C0EE8" w:rsidP="003C2836">
            <w:pPr>
              <w:pStyle w:val="Tabletext"/>
            </w:pPr>
            <w:r w:rsidRPr="00300E3C">
              <w:t>Red cell transfusion</w:t>
            </w:r>
          </w:p>
        </w:tc>
        <w:tc>
          <w:tcPr>
            <w:tcW w:w="2362" w:type="dxa"/>
          </w:tcPr>
          <w:p w14:paraId="5B5C58C7" w14:textId="77777777" w:rsidR="003C0EE8" w:rsidRPr="00300E3C" w:rsidRDefault="003C0EE8" w:rsidP="002B2FD9">
            <w:pPr>
              <w:pStyle w:val="Tabletext"/>
              <w:jc w:val="right"/>
            </w:pPr>
            <w:r w:rsidRPr="00300E3C">
              <w:t>2 (10%)</w:t>
            </w:r>
          </w:p>
        </w:tc>
        <w:tc>
          <w:tcPr>
            <w:tcW w:w="2362" w:type="dxa"/>
          </w:tcPr>
          <w:p w14:paraId="00C6A842" w14:textId="77777777" w:rsidR="003C0EE8" w:rsidRPr="00300E3C" w:rsidRDefault="003C0EE8" w:rsidP="002B2FD9">
            <w:pPr>
              <w:pStyle w:val="Tabletext"/>
              <w:jc w:val="right"/>
            </w:pPr>
            <w:r w:rsidRPr="00300E3C">
              <w:t>74 (59–89)</w:t>
            </w:r>
          </w:p>
        </w:tc>
        <w:tc>
          <w:tcPr>
            <w:tcW w:w="2363" w:type="dxa"/>
          </w:tcPr>
          <w:p w14:paraId="603196E9" w14:textId="70F86F9D" w:rsidR="003C0EE8" w:rsidRPr="00300E3C" w:rsidRDefault="003C0EE8" w:rsidP="002B2FD9">
            <w:pPr>
              <w:pStyle w:val="Tabletext"/>
              <w:jc w:val="right"/>
            </w:pPr>
            <w:r w:rsidRPr="00300E3C">
              <w:t>16 (16</w:t>
            </w:r>
            <w:r w:rsidR="00C9559B">
              <w:t>–</w:t>
            </w:r>
            <w:r w:rsidRPr="00300E3C">
              <w:t>16)</w:t>
            </w:r>
          </w:p>
        </w:tc>
      </w:tr>
    </w:tbl>
    <w:p w14:paraId="62100DF6" w14:textId="79273340" w:rsidR="003C0EE8" w:rsidRPr="008843F0" w:rsidRDefault="000346A3" w:rsidP="002B2FD9">
      <w:pPr>
        <w:pStyle w:val="Tablecaption"/>
      </w:pPr>
      <w:r>
        <w:rPr>
          <w:rFonts w:eastAsia="Times"/>
        </w:rPr>
        <w:t xml:space="preserve">Table </w:t>
      </w:r>
      <w:r w:rsidR="006F4FEC">
        <w:rPr>
          <w:rFonts w:eastAsia="Times"/>
        </w:rPr>
        <w:t>13</w:t>
      </w:r>
      <w:r>
        <w:rPr>
          <w:rFonts w:eastAsia="Times"/>
        </w:rPr>
        <w:t>:</w:t>
      </w:r>
      <w:r w:rsidR="003C0EE8" w:rsidRPr="008843F0">
        <w:t xml:space="preserve"> Major </w:t>
      </w:r>
      <w:r w:rsidR="003C0EE8" w:rsidRPr="00F95181">
        <w:t>gastrointestinal</w:t>
      </w:r>
      <w:r>
        <w:t xml:space="preserve"> – t</w:t>
      </w:r>
      <w:r w:rsidRPr="008843F0">
        <w:t xml:space="preserve">ypes </w:t>
      </w:r>
      <w:r w:rsidR="003C0EE8" w:rsidRPr="008843F0">
        <w:t xml:space="preserve">of treatment received for anaemia/iron deficiency as documented by health services (number of patients requiring treatment </w:t>
      </w:r>
      <w:r w:rsidR="00313701">
        <w:t>as per</w:t>
      </w:r>
      <w:r w:rsidR="003C0EE8" w:rsidRPr="008843F0">
        <w:t xml:space="preserve"> Module 2 = 78</w:t>
      </w:r>
      <w:r w:rsidR="00313701">
        <w:t>,</w:t>
      </w:r>
      <w:r w:rsidR="00313701" w:rsidRPr="008843F0">
        <w:t xml:space="preserve"> </w:t>
      </w:r>
      <w:r w:rsidR="003C0EE8" w:rsidRPr="008843F0">
        <w:t xml:space="preserve">compared </w:t>
      </w:r>
      <w:r w:rsidR="00313701">
        <w:t xml:space="preserve">with 42 documented and 30 treated by </w:t>
      </w:r>
      <w:r w:rsidR="003C0EE8" w:rsidRPr="008843F0">
        <w:t>health service</w:t>
      </w:r>
      <w:r w:rsidR="00313701">
        <w:t>s</w:t>
      </w:r>
      <w:r w:rsidR="003C0EE8" w:rsidRPr="008843F0">
        <w:t>)</w:t>
      </w:r>
    </w:p>
    <w:tbl>
      <w:tblPr>
        <w:tblStyle w:val="TableGrid2"/>
        <w:tblW w:w="0" w:type="auto"/>
        <w:tblInd w:w="5" w:type="dxa"/>
        <w:tblLook w:val="04A0" w:firstRow="1" w:lastRow="0" w:firstColumn="1" w:lastColumn="0" w:noHBand="0" w:noVBand="1"/>
      </w:tblPr>
      <w:tblGrid>
        <w:gridCol w:w="2005"/>
        <w:gridCol w:w="1824"/>
        <w:gridCol w:w="1548"/>
        <w:gridCol w:w="1442"/>
        <w:gridCol w:w="2197"/>
      </w:tblGrid>
      <w:tr w:rsidR="00C9559B" w:rsidRPr="008843F0" w14:paraId="003A0AAF" w14:textId="77777777" w:rsidTr="002B2FD9">
        <w:tc>
          <w:tcPr>
            <w:tcW w:w="2005" w:type="dxa"/>
          </w:tcPr>
          <w:p w14:paraId="3DBABFBB" w14:textId="5453D854" w:rsidR="00C9559B" w:rsidRPr="00F95181" w:rsidRDefault="00C9559B" w:rsidP="002B2FD9">
            <w:pPr>
              <w:pStyle w:val="Tablecolhead"/>
            </w:pPr>
            <w:r w:rsidRPr="00F95181">
              <w:t>Treatment</w:t>
            </w:r>
            <w:r w:rsidRPr="00F95181">
              <w:rPr>
                <w:rStyle w:val="FootnoteReference"/>
              </w:rPr>
              <w:footnoteReference w:id="12"/>
            </w:r>
          </w:p>
        </w:tc>
        <w:tc>
          <w:tcPr>
            <w:tcW w:w="1824" w:type="dxa"/>
          </w:tcPr>
          <w:p w14:paraId="405A44DF" w14:textId="2F9EFADD" w:rsidR="00C9559B" w:rsidRPr="00F95181" w:rsidRDefault="00C9559B" w:rsidP="002B2FD9">
            <w:pPr>
              <w:pStyle w:val="Tablecolhead"/>
            </w:pPr>
            <w:r w:rsidRPr="00F95181">
              <w:t>Number of patients treated (%)</w:t>
            </w:r>
            <w:r w:rsidRPr="00F95181">
              <w:rPr>
                <w:rStyle w:val="FootnoteReference"/>
              </w:rPr>
              <w:footnoteReference w:id="13"/>
            </w:r>
            <w:r w:rsidRPr="00F95181">
              <w:t xml:space="preserve"> </w:t>
            </w:r>
            <w:r w:rsidRPr="00F95181">
              <w:br/>
            </w:r>
            <w:r w:rsidRPr="002B2FD9">
              <w:t>n</w:t>
            </w:r>
            <w:r w:rsidRPr="00F95181">
              <w:t> = 30</w:t>
            </w:r>
          </w:p>
        </w:tc>
        <w:tc>
          <w:tcPr>
            <w:tcW w:w="1548" w:type="dxa"/>
          </w:tcPr>
          <w:p w14:paraId="6210F3FB" w14:textId="6920F26C" w:rsidR="00C9559B" w:rsidRPr="00F95181" w:rsidRDefault="00C9559B" w:rsidP="002B2FD9">
            <w:pPr>
              <w:pStyle w:val="Tablecolhead"/>
            </w:pPr>
            <w:r w:rsidRPr="00F95181">
              <w:t xml:space="preserve">Male Average Hb (range) (g/L) </w:t>
            </w:r>
            <w:r w:rsidRPr="00F95181">
              <w:br/>
              <w:t>at assessment</w:t>
            </w:r>
          </w:p>
        </w:tc>
        <w:tc>
          <w:tcPr>
            <w:tcW w:w="1442" w:type="dxa"/>
          </w:tcPr>
          <w:p w14:paraId="3F6CBD46" w14:textId="28ABD1BD" w:rsidR="00C9559B" w:rsidRPr="0062793C" w:rsidRDefault="00C9559B" w:rsidP="002B2FD9">
            <w:pPr>
              <w:pStyle w:val="Tablecolhead"/>
            </w:pPr>
            <w:r w:rsidRPr="00F95181">
              <w:t xml:space="preserve">Female Average Hb (range) (g/L) </w:t>
            </w:r>
            <w:r w:rsidRPr="00F95181">
              <w:br/>
              <w:t>at assessment</w:t>
            </w:r>
          </w:p>
        </w:tc>
        <w:tc>
          <w:tcPr>
            <w:tcW w:w="2197" w:type="dxa"/>
          </w:tcPr>
          <w:p w14:paraId="49A5FF25" w14:textId="3BC26CE9" w:rsidR="00C9559B" w:rsidRPr="0062793C" w:rsidRDefault="00C9559B" w:rsidP="002B2FD9">
            <w:pPr>
              <w:pStyle w:val="Tablecolhead"/>
            </w:pPr>
            <w:r w:rsidRPr="0062793C">
              <w:t>Average ferritin (range) (mcg/L) at assessment</w:t>
            </w:r>
          </w:p>
        </w:tc>
      </w:tr>
      <w:tr w:rsidR="003C0EE8" w:rsidRPr="008843F0" w14:paraId="66556408" w14:textId="77777777" w:rsidTr="002B2FD9">
        <w:tc>
          <w:tcPr>
            <w:tcW w:w="2005" w:type="dxa"/>
          </w:tcPr>
          <w:p w14:paraId="70C766EF" w14:textId="77777777" w:rsidR="003C0EE8" w:rsidRPr="00300E3C" w:rsidRDefault="003C0EE8" w:rsidP="003C2836">
            <w:pPr>
              <w:pStyle w:val="Tabletext"/>
            </w:pPr>
            <w:r w:rsidRPr="00300E3C">
              <w:t>Oral iron supplements</w:t>
            </w:r>
          </w:p>
        </w:tc>
        <w:tc>
          <w:tcPr>
            <w:tcW w:w="1824" w:type="dxa"/>
          </w:tcPr>
          <w:p w14:paraId="2CC4C939" w14:textId="77777777" w:rsidR="003C0EE8" w:rsidRPr="00300E3C" w:rsidRDefault="003C0EE8" w:rsidP="002B2FD9">
            <w:pPr>
              <w:pStyle w:val="Tabletext"/>
              <w:jc w:val="right"/>
            </w:pPr>
            <w:r w:rsidRPr="00300E3C">
              <w:t>3 (10%)</w:t>
            </w:r>
          </w:p>
        </w:tc>
        <w:tc>
          <w:tcPr>
            <w:tcW w:w="1548" w:type="dxa"/>
          </w:tcPr>
          <w:p w14:paraId="146866DA" w14:textId="77777777" w:rsidR="003C0EE8" w:rsidRPr="00300E3C" w:rsidRDefault="003C0EE8" w:rsidP="002B2FD9">
            <w:pPr>
              <w:pStyle w:val="Tabletext"/>
              <w:jc w:val="right"/>
            </w:pPr>
            <w:r w:rsidRPr="00300E3C">
              <w:t>121 (111–131)</w:t>
            </w:r>
            <w:r w:rsidRPr="00300E3C">
              <w:br/>
              <w:t>(n = 2)</w:t>
            </w:r>
          </w:p>
        </w:tc>
        <w:tc>
          <w:tcPr>
            <w:tcW w:w="1442" w:type="dxa"/>
          </w:tcPr>
          <w:p w14:paraId="043E7631" w14:textId="77777777" w:rsidR="003C0EE8" w:rsidRPr="00300E3C" w:rsidRDefault="003C0EE8" w:rsidP="002B2FD9">
            <w:pPr>
              <w:pStyle w:val="Tabletext"/>
              <w:jc w:val="right"/>
            </w:pPr>
            <w:r w:rsidRPr="00300E3C">
              <w:t>119</w:t>
            </w:r>
            <w:r w:rsidRPr="00300E3C">
              <w:br/>
              <w:t>(n = 1)</w:t>
            </w:r>
          </w:p>
        </w:tc>
        <w:tc>
          <w:tcPr>
            <w:tcW w:w="2197" w:type="dxa"/>
          </w:tcPr>
          <w:p w14:paraId="6B48E3BB" w14:textId="77777777" w:rsidR="003C0EE8" w:rsidRPr="00300E3C" w:rsidRDefault="003C0EE8" w:rsidP="002B2FD9">
            <w:pPr>
              <w:pStyle w:val="Tabletext"/>
              <w:jc w:val="right"/>
            </w:pPr>
            <w:r w:rsidRPr="00300E3C">
              <w:t>344 (27–461)</w:t>
            </w:r>
          </w:p>
        </w:tc>
      </w:tr>
      <w:tr w:rsidR="003C0EE8" w:rsidRPr="008843F0" w14:paraId="7D78DD53" w14:textId="77777777" w:rsidTr="002B2FD9">
        <w:tc>
          <w:tcPr>
            <w:tcW w:w="2005" w:type="dxa"/>
          </w:tcPr>
          <w:p w14:paraId="74EB84B5" w14:textId="77777777" w:rsidR="003C0EE8" w:rsidRPr="00300E3C" w:rsidRDefault="003C0EE8" w:rsidP="003C2836">
            <w:pPr>
              <w:pStyle w:val="Tabletext"/>
            </w:pPr>
            <w:r w:rsidRPr="00300E3C">
              <w:t>IV iron infusion</w:t>
            </w:r>
          </w:p>
        </w:tc>
        <w:tc>
          <w:tcPr>
            <w:tcW w:w="1824" w:type="dxa"/>
          </w:tcPr>
          <w:p w14:paraId="0A4F12FC" w14:textId="77777777" w:rsidR="003C0EE8" w:rsidRPr="00300E3C" w:rsidRDefault="003C0EE8" w:rsidP="002B2FD9">
            <w:pPr>
              <w:pStyle w:val="Tabletext"/>
              <w:jc w:val="right"/>
            </w:pPr>
            <w:r w:rsidRPr="00300E3C">
              <w:t>20 (67%)</w:t>
            </w:r>
          </w:p>
        </w:tc>
        <w:tc>
          <w:tcPr>
            <w:tcW w:w="1548" w:type="dxa"/>
          </w:tcPr>
          <w:p w14:paraId="16981182" w14:textId="77777777" w:rsidR="003C0EE8" w:rsidRPr="00300E3C" w:rsidRDefault="003C0EE8" w:rsidP="002B2FD9">
            <w:pPr>
              <w:pStyle w:val="Tabletext"/>
              <w:jc w:val="right"/>
            </w:pPr>
            <w:r w:rsidRPr="00300E3C">
              <w:t>98 (57–131)</w:t>
            </w:r>
            <w:r w:rsidRPr="00300E3C">
              <w:br/>
              <w:t>(n = 10)</w:t>
            </w:r>
          </w:p>
        </w:tc>
        <w:tc>
          <w:tcPr>
            <w:tcW w:w="1442" w:type="dxa"/>
          </w:tcPr>
          <w:p w14:paraId="62E47866" w14:textId="77777777" w:rsidR="003C0EE8" w:rsidRPr="00300E3C" w:rsidRDefault="003C0EE8" w:rsidP="002B2FD9">
            <w:pPr>
              <w:pStyle w:val="Tabletext"/>
              <w:jc w:val="right"/>
            </w:pPr>
            <w:r w:rsidRPr="00300E3C">
              <w:t>107 (70–132)</w:t>
            </w:r>
            <w:r w:rsidRPr="00300E3C">
              <w:br/>
              <w:t>(n = 10)</w:t>
            </w:r>
          </w:p>
        </w:tc>
        <w:tc>
          <w:tcPr>
            <w:tcW w:w="2197" w:type="dxa"/>
          </w:tcPr>
          <w:p w14:paraId="71EBC887" w14:textId="77777777" w:rsidR="003C0EE8" w:rsidRPr="00300E3C" w:rsidRDefault="003C0EE8" w:rsidP="002B2FD9">
            <w:pPr>
              <w:pStyle w:val="Tabletext"/>
              <w:jc w:val="right"/>
            </w:pPr>
            <w:r w:rsidRPr="00300E3C">
              <w:t>92 (3–495)</w:t>
            </w:r>
          </w:p>
        </w:tc>
      </w:tr>
      <w:tr w:rsidR="003C0EE8" w:rsidRPr="008843F0" w14:paraId="743BD46F" w14:textId="77777777" w:rsidTr="002B2FD9">
        <w:tc>
          <w:tcPr>
            <w:tcW w:w="2005" w:type="dxa"/>
          </w:tcPr>
          <w:p w14:paraId="20CFA3C7" w14:textId="77777777" w:rsidR="003C0EE8" w:rsidRPr="00300E3C" w:rsidRDefault="003C0EE8" w:rsidP="003C2836">
            <w:pPr>
              <w:pStyle w:val="Tabletext"/>
            </w:pPr>
            <w:r w:rsidRPr="00300E3C">
              <w:t>Specialist referral (Haematology, GI)</w:t>
            </w:r>
          </w:p>
        </w:tc>
        <w:tc>
          <w:tcPr>
            <w:tcW w:w="1824" w:type="dxa"/>
          </w:tcPr>
          <w:p w14:paraId="58CACF0D" w14:textId="77777777" w:rsidR="003C0EE8" w:rsidRPr="00300E3C" w:rsidRDefault="003C0EE8" w:rsidP="002B2FD9">
            <w:pPr>
              <w:pStyle w:val="Tabletext"/>
              <w:jc w:val="right"/>
            </w:pPr>
            <w:r w:rsidRPr="00300E3C">
              <w:t>10 (33%)</w:t>
            </w:r>
          </w:p>
        </w:tc>
        <w:tc>
          <w:tcPr>
            <w:tcW w:w="1548" w:type="dxa"/>
          </w:tcPr>
          <w:p w14:paraId="777603AE" w14:textId="77777777" w:rsidR="003C0EE8" w:rsidRPr="00300E3C" w:rsidRDefault="003C0EE8" w:rsidP="002B2FD9">
            <w:pPr>
              <w:pStyle w:val="Tabletext"/>
              <w:jc w:val="right"/>
            </w:pPr>
            <w:r w:rsidRPr="00300E3C">
              <w:t>87 (57-120)</w:t>
            </w:r>
            <w:r w:rsidRPr="00300E3C">
              <w:br/>
              <w:t>(n = 4)</w:t>
            </w:r>
          </w:p>
        </w:tc>
        <w:tc>
          <w:tcPr>
            <w:tcW w:w="1442" w:type="dxa"/>
          </w:tcPr>
          <w:p w14:paraId="057821E0" w14:textId="77777777" w:rsidR="003C0EE8" w:rsidRPr="00300E3C" w:rsidRDefault="003C0EE8" w:rsidP="002B2FD9">
            <w:pPr>
              <w:pStyle w:val="Tabletext"/>
              <w:jc w:val="right"/>
            </w:pPr>
            <w:r w:rsidRPr="00300E3C">
              <w:t>110 (76-132)</w:t>
            </w:r>
            <w:r w:rsidRPr="00300E3C">
              <w:br/>
              <w:t>(n = 6)</w:t>
            </w:r>
          </w:p>
        </w:tc>
        <w:tc>
          <w:tcPr>
            <w:tcW w:w="2197" w:type="dxa"/>
          </w:tcPr>
          <w:p w14:paraId="6CB844FF" w14:textId="77777777" w:rsidR="003C0EE8" w:rsidRPr="00300E3C" w:rsidRDefault="003C0EE8" w:rsidP="002B2FD9">
            <w:pPr>
              <w:pStyle w:val="Tabletext"/>
              <w:jc w:val="right"/>
            </w:pPr>
            <w:r w:rsidRPr="00300E3C">
              <w:t>138 (3–423)</w:t>
            </w:r>
          </w:p>
        </w:tc>
      </w:tr>
      <w:tr w:rsidR="003C0EE8" w:rsidRPr="008843F0" w14:paraId="2C1FE436" w14:textId="77777777" w:rsidTr="002B2FD9">
        <w:tc>
          <w:tcPr>
            <w:tcW w:w="2005" w:type="dxa"/>
          </w:tcPr>
          <w:p w14:paraId="36519272" w14:textId="77777777" w:rsidR="003C0EE8" w:rsidRPr="00300E3C" w:rsidRDefault="003C0EE8" w:rsidP="003C2836">
            <w:pPr>
              <w:pStyle w:val="Tabletext"/>
            </w:pPr>
            <w:r w:rsidRPr="00300E3C">
              <w:t>Red cell transfusion</w:t>
            </w:r>
          </w:p>
        </w:tc>
        <w:tc>
          <w:tcPr>
            <w:tcW w:w="1824" w:type="dxa"/>
          </w:tcPr>
          <w:p w14:paraId="726BFD72" w14:textId="77777777" w:rsidR="003C0EE8" w:rsidRPr="00300E3C" w:rsidRDefault="003C0EE8" w:rsidP="002B2FD9">
            <w:pPr>
              <w:pStyle w:val="Tabletext"/>
              <w:jc w:val="right"/>
            </w:pPr>
            <w:r w:rsidRPr="00300E3C">
              <w:t>10 (33%)</w:t>
            </w:r>
          </w:p>
        </w:tc>
        <w:tc>
          <w:tcPr>
            <w:tcW w:w="1548" w:type="dxa"/>
          </w:tcPr>
          <w:p w14:paraId="33E6FD0B" w14:textId="77777777" w:rsidR="003C0EE8" w:rsidRPr="00300E3C" w:rsidRDefault="003C0EE8" w:rsidP="002B2FD9">
            <w:pPr>
              <w:pStyle w:val="Tabletext"/>
              <w:jc w:val="right"/>
            </w:pPr>
            <w:r w:rsidRPr="00300E3C">
              <w:t>65 (45-97)</w:t>
            </w:r>
            <w:r w:rsidRPr="00300E3C">
              <w:br/>
              <w:t>(n = 6)</w:t>
            </w:r>
          </w:p>
        </w:tc>
        <w:tc>
          <w:tcPr>
            <w:tcW w:w="1442" w:type="dxa"/>
          </w:tcPr>
          <w:p w14:paraId="3F8667F0" w14:textId="77777777" w:rsidR="003C0EE8" w:rsidRPr="00300E3C" w:rsidRDefault="003C0EE8" w:rsidP="002B2FD9">
            <w:pPr>
              <w:pStyle w:val="Tabletext"/>
              <w:jc w:val="right"/>
            </w:pPr>
            <w:r w:rsidRPr="00300E3C">
              <w:t>80 (70-105)</w:t>
            </w:r>
            <w:r w:rsidRPr="00300E3C">
              <w:br/>
              <w:t>(n = 4)</w:t>
            </w:r>
          </w:p>
        </w:tc>
        <w:tc>
          <w:tcPr>
            <w:tcW w:w="2197" w:type="dxa"/>
          </w:tcPr>
          <w:p w14:paraId="224E2CF8" w14:textId="77777777" w:rsidR="003C0EE8" w:rsidRPr="00300E3C" w:rsidRDefault="003C0EE8" w:rsidP="002B2FD9">
            <w:pPr>
              <w:pStyle w:val="Tabletext"/>
              <w:jc w:val="right"/>
            </w:pPr>
            <w:r w:rsidRPr="00300E3C">
              <w:t>76 (3-500)</w:t>
            </w:r>
          </w:p>
        </w:tc>
      </w:tr>
    </w:tbl>
    <w:p w14:paraId="5773E6FB" w14:textId="14898918" w:rsidR="003C0EE8" w:rsidRPr="008843F0" w:rsidRDefault="00313701" w:rsidP="002B2FD9">
      <w:pPr>
        <w:pStyle w:val="Tablecaption"/>
        <w:spacing w:line="240" w:lineRule="auto"/>
      </w:pPr>
      <w:r>
        <w:lastRenderedPageBreak/>
        <w:t xml:space="preserve">Table </w:t>
      </w:r>
      <w:r w:rsidR="006F4FEC">
        <w:t>14</w:t>
      </w:r>
      <w:r>
        <w:t>:</w:t>
      </w:r>
      <w:r w:rsidR="003C0EE8" w:rsidRPr="008843F0">
        <w:t xml:space="preserve"> </w:t>
      </w:r>
      <w:r w:rsidR="003C0EE8" w:rsidRPr="00300E3C">
        <w:t>Cardiothoracic</w:t>
      </w:r>
      <w:r>
        <w:t xml:space="preserve"> –</w:t>
      </w:r>
      <w:r w:rsidRPr="008843F0">
        <w:t xml:space="preserve"> </w:t>
      </w:r>
      <w:r>
        <w:t>t</w:t>
      </w:r>
      <w:r w:rsidRPr="008843F0">
        <w:t xml:space="preserve">ypes </w:t>
      </w:r>
      <w:r w:rsidR="003C0EE8" w:rsidRPr="008843F0">
        <w:t xml:space="preserve">of </w:t>
      </w:r>
      <w:r w:rsidR="003C0EE8" w:rsidRPr="00F95181">
        <w:t>treatment</w:t>
      </w:r>
      <w:r w:rsidR="003C0EE8" w:rsidRPr="008843F0">
        <w:t xml:space="preserve"> received for anaemia/iron deficiency as documented by health services (number of patients requiring treatment </w:t>
      </w:r>
      <w:r>
        <w:t>as per</w:t>
      </w:r>
      <w:r w:rsidR="003C0EE8" w:rsidRPr="008843F0">
        <w:t xml:space="preserve"> Module 2 = 17</w:t>
      </w:r>
      <w:r>
        <w:t>,</w:t>
      </w:r>
      <w:r w:rsidRPr="008843F0">
        <w:t xml:space="preserve"> </w:t>
      </w:r>
      <w:r w:rsidR="003C0EE8" w:rsidRPr="008843F0">
        <w:t xml:space="preserve">compared </w:t>
      </w:r>
      <w:r>
        <w:t>with 4 documented and 2 treated by health services)</w:t>
      </w:r>
      <w:r w:rsidRPr="008843F0">
        <w:t xml:space="preserve"> </w:t>
      </w:r>
    </w:p>
    <w:tbl>
      <w:tblPr>
        <w:tblStyle w:val="TableGrid2"/>
        <w:tblW w:w="0" w:type="auto"/>
        <w:tblInd w:w="5" w:type="dxa"/>
        <w:tblLook w:val="04A0" w:firstRow="1" w:lastRow="0" w:firstColumn="1" w:lastColumn="0" w:noHBand="0" w:noVBand="1"/>
      </w:tblPr>
      <w:tblGrid>
        <w:gridCol w:w="2003"/>
        <w:gridCol w:w="1823"/>
        <w:gridCol w:w="1549"/>
        <w:gridCol w:w="1443"/>
        <w:gridCol w:w="2198"/>
      </w:tblGrid>
      <w:tr w:rsidR="00313701" w:rsidRPr="008843F0" w14:paraId="5CA1CBFA" w14:textId="77777777" w:rsidTr="002B2FD9">
        <w:trPr>
          <w:tblHeader/>
        </w:trPr>
        <w:tc>
          <w:tcPr>
            <w:tcW w:w="2003" w:type="dxa"/>
          </w:tcPr>
          <w:p w14:paraId="692B3CAC" w14:textId="17C90840" w:rsidR="00313701" w:rsidRPr="00F95181" w:rsidRDefault="00313701" w:rsidP="002B2FD9">
            <w:pPr>
              <w:pStyle w:val="Tablecolhead"/>
              <w:keepNext/>
              <w:keepLines/>
            </w:pPr>
            <w:r w:rsidRPr="00F95181">
              <w:t>Treatment</w:t>
            </w:r>
          </w:p>
        </w:tc>
        <w:tc>
          <w:tcPr>
            <w:tcW w:w="1823" w:type="dxa"/>
          </w:tcPr>
          <w:p w14:paraId="3AC389B2" w14:textId="6139849A" w:rsidR="00313701" w:rsidRPr="0062793C" w:rsidRDefault="00313701" w:rsidP="002B2FD9">
            <w:pPr>
              <w:pStyle w:val="Tablecolhead"/>
              <w:keepNext/>
              <w:keepLines/>
            </w:pPr>
            <w:r w:rsidRPr="00F95181">
              <w:t>Number of patients treated (%)</w:t>
            </w:r>
            <w:r w:rsidRPr="00F95181">
              <w:rPr>
                <w:rStyle w:val="FootnoteReference"/>
              </w:rPr>
              <w:footnoteReference w:id="14"/>
            </w:r>
            <w:r w:rsidRPr="00F95181">
              <w:br/>
              <w:t>n </w:t>
            </w:r>
            <w:r w:rsidRPr="0062793C">
              <w:t>= 2</w:t>
            </w:r>
          </w:p>
        </w:tc>
        <w:tc>
          <w:tcPr>
            <w:tcW w:w="1549" w:type="dxa"/>
          </w:tcPr>
          <w:p w14:paraId="7A864B20" w14:textId="68F3A78D" w:rsidR="00313701" w:rsidRPr="0038378B" w:rsidRDefault="00313701" w:rsidP="002B2FD9">
            <w:pPr>
              <w:pStyle w:val="Tablecolhead"/>
              <w:keepNext/>
              <w:keepLines/>
            </w:pPr>
            <w:r w:rsidRPr="0062793C">
              <w:t xml:space="preserve">Male average Hb (range) (g/L) </w:t>
            </w:r>
            <w:r w:rsidRPr="0062793C">
              <w:br/>
              <w:t>at assessment</w:t>
            </w:r>
          </w:p>
        </w:tc>
        <w:tc>
          <w:tcPr>
            <w:tcW w:w="1443" w:type="dxa"/>
          </w:tcPr>
          <w:p w14:paraId="0CFD062F" w14:textId="75A33C55" w:rsidR="00313701" w:rsidRPr="00F9779F" w:rsidRDefault="00313701" w:rsidP="002B2FD9">
            <w:pPr>
              <w:pStyle w:val="Tablecolhead"/>
              <w:keepNext/>
              <w:keepLines/>
            </w:pPr>
            <w:r w:rsidRPr="0038378B">
              <w:t xml:space="preserve">Female </w:t>
            </w:r>
            <w:r w:rsidRPr="008F5214">
              <w:t xml:space="preserve">average Hb (range) (g/L) </w:t>
            </w:r>
            <w:r w:rsidRPr="008F5214">
              <w:br/>
              <w:t>at assessment</w:t>
            </w:r>
          </w:p>
        </w:tc>
        <w:tc>
          <w:tcPr>
            <w:tcW w:w="2198" w:type="dxa"/>
          </w:tcPr>
          <w:p w14:paraId="61E300C7" w14:textId="10107ABE" w:rsidR="00313701" w:rsidRPr="002B2FD9" w:rsidRDefault="00313701" w:rsidP="002B2FD9">
            <w:pPr>
              <w:pStyle w:val="Tablecolhead"/>
              <w:keepNext/>
              <w:keepLines/>
            </w:pPr>
            <w:r w:rsidRPr="00F9779F">
              <w:t>Average ferritin (range) (mcg/L) at assessment</w:t>
            </w:r>
          </w:p>
        </w:tc>
      </w:tr>
      <w:tr w:rsidR="00313701" w:rsidRPr="008843F0" w14:paraId="7B2E382E" w14:textId="77777777" w:rsidTr="003C2836">
        <w:tc>
          <w:tcPr>
            <w:tcW w:w="2003" w:type="dxa"/>
          </w:tcPr>
          <w:p w14:paraId="032E8DE7" w14:textId="77777777" w:rsidR="00313701" w:rsidRPr="00300E3C" w:rsidRDefault="00313701" w:rsidP="002B2FD9">
            <w:pPr>
              <w:pStyle w:val="Tabletext"/>
              <w:keepNext/>
              <w:keepLines/>
            </w:pPr>
            <w:r w:rsidRPr="00300E3C">
              <w:t>Oral iron supplements</w:t>
            </w:r>
          </w:p>
        </w:tc>
        <w:tc>
          <w:tcPr>
            <w:tcW w:w="1823" w:type="dxa"/>
          </w:tcPr>
          <w:p w14:paraId="2C069064" w14:textId="77777777" w:rsidR="00313701" w:rsidRPr="00300E3C" w:rsidRDefault="00313701" w:rsidP="002B2FD9">
            <w:pPr>
              <w:pStyle w:val="Tabletext"/>
              <w:keepNext/>
              <w:keepLines/>
              <w:jc w:val="right"/>
            </w:pPr>
            <w:r w:rsidRPr="00300E3C">
              <w:t>-</w:t>
            </w:r>
          </w:p>
        </w:tc>
        <w:tc>
          <w:tcPr>
            <w:tcW w:w="1549" w:type="dxa"/>
          </w:tcPr>
          <w:p w14:paraId="12DE0C06" w14:textId="77777777" w:rsidR="00313701" w:rsidRPr="00300E3C" w:rsidRDefault="00313701" w:rsidP="002B2FD9">
            <w:pPr>
              <w:pStyle w:val="Tabletext"/>
              <w:keepNext/>
              <w:keepLines/>
              <w:jc w:val="right"/>
            </w:pPr>
            <w:r w:rsidRPr="00300E3C">
              <w:t>-</w:t>
            </w:r>
          </w:p>
        </w:tc>
        <w:tc>
          <w:tcPr>
            <w:tcW w:w="1443" w:type="dxa"/>
          </w:tcPr>
          <w:p w14:paraId="6B7FF56E" w14:textId="77777777" w:rsidR="00313701" w:rsidRPr="00300E3C" w:rsidRDefault="00313701" w:rsidP="002B2FD9">
            <w:pPr>
              <w:pStyle w:val="Tabletext"/>
              <w:keepNext/>
              <w:keepLines/>
              <w:jc w:val="right"/>
            </w:pPr>
            <w:r w:rsidRPr="00300E3C">
              <w:t>-</w:t>
            </w:r>
          </w:p>
        </w:tc>
        <w:tc>
          <w:tcPr>
            <w:tcW w:w="2198" w:type="dxa"/>
          </w:tcPr>
          <w:p w14:paraId="26F76018" w14:textId="77777777" w:rsidR="00313701" w:rsidRPr="00300E3C" w:rsidRDefault="00313701" w:rsidP="002B2FD9">
            <w:pPr>
              <w:pStyle w:val="Tabletext"/>
              <w:keepNext/>
              <w:keepLines/>
              <w:jc w:val="right"/>
            </w:pPr>
            <w:r w:rsidRPr="00300E3C">
              <w:t>-</w:t>
            </w:r>
          </w:p>
        </w:tc>
      </w:tr>
      <w:tr w:rsidR="00313701" w:rsidRPr="008843F0" w14:paraId="02E438E1" w14:textId="77777777" w:rsidTr="003C2836">
        <w:tc>
          <w:tcPr>
            <w:tcW w:w="2003" w:type="dxa"/>
          </w:tcPr>
          <w:p w14:paraId="372E3725" w14:textId="77777777" w:rsidR="00313701" w:rsidRPr="00300E3C" w:rsidRDefault="00313701" w:rsidP="002B2FD9">
            <w:pPr>
              <w:pStyle w:val="Tabletext"/>
              <w:keepNext/>
              <w:keepLines/>
            </w:pPr>
            <w:r w:rsidRPr="00300E3C">
              <w:t>IV iron infusion</w:t>
            </w:r>
          </w:p>
        </w:tc>
        <w:tc>
          <w:tcPr>
            <w:tcW w:w="1823" w:type="dxa"/>
          </w:tcPr>
          <w:p w14:paraId="030658CB" w14:textId="77777777" w:rsidR="00313701" w:rsidRPr="00300E3C" w:rsidRDefault="00313701" w:rsidP="002B2FD9">
            <w:pPr>
              <w:pStyle w:val="Tabletext"/>
              <w:keepNext/>
              <w:keepLines/>
              <w:jc w:val="right"/>
            </w:pPr>
            <w:r w:rsidRPr="00300E3C">
              <w:t>1 (50%)</w:t>
            </w:r>
          </w:p>
        </w:tc>
        <w:tc>
          <w:tcPr>
            <w:tcW w:w="1549" w:type="dxa"/>
          </w:tcPr>
          <w:p w14:paraId="258908C3" w14:textId="77777777" w:rsidR="00313701" w:rsidRPr="00300E3C" w:rsidRDefault="00313701" w:rsidP="002B2FD9">
            <w:pPr>
              <w:pStyle w:val="Tabletext"/>
              <w:keepNext/>
              <w:keepLines/>
              <w:jc w:val="right"/>
            </w:pPr>
            <w:r w:rsidRPr="00300E3C">
              <w:t>142</w:t>
            </w:r>
          </w:p>
        </w:tc>
        <w:tc>
          <w:tcPr>
            <w:tcW w:w="1443" w:type="dxa"/>
          </w:tcPr>
          <w:p w14:paraId="1521F058" w14:textId="77777777" w:rsidR="00313701" w:rsidRPr="00300E3C" w:rsidRDefault="00313701" w:rsidP="002B2FD9">
            <w:pPr>
              <w:pStyle w:val="Tabletext"/>
              <w:keepNext/>
              <w:keepLines/>
              <w:jc w:val="right"/>
            </w:pPr>
          </w:p>
        </w:tc>
        <w:tc>
          <w:tcPr>
            <w:tcW w:w="2198" w:type="dxa"/>
          </w:tcPr>
          <w:p w14:paraId="520E1FBB" w14:textId="77777777" w:rsidR="00313701" w:rsidRPr="00300E3C" w:rsidRDefault="00313701" w:rsidP="002B2FD9">
            <w:pPr>
              <w:pStyle w:val="Tabletext"/>
              <w:keepNext/>
              <w:keepLines/>
              <w:jc w:val="right"/>
            </w:pPr>
            <w:r w:rsidRPr="00300E3C">
              <w:t>27</w:t>
            </w:r>
          </w:p>
        </w:tc>
      </w:tr>
      <w:tr w:rsidR="00313701" w:rsidRPr="008843F0" w14:paraId="556FCB71" w14:textId="77777777" w:rsidTr="003C2836">
        <w:tc>
          <w:tcPr>
            <w:tcW w:w="2003" w:type="dxa"/>
          </w:tcPr>
          <w:p w14:paraId="0866D174" w14:textId="77777777" w:rsidR="00313701" w:rsidRPr="00300E3C" w:rsidRDefault="00313701" w:rsidP="00313701">
            <w:pPr>
              <w:pStyle w:val="Tabletext"/>
            </w:pPr>
            <w:r w:rsidRPr="00300E3C">
              <w:t xml:space="preserve">Specialist referrals </w:t>
            </w:r>
          </w:p>
        </w:tc>
        <w:tc>
          <w:tcPr>
            <w:tcW w:w="1823" w:type="dxa"/>
          </w:tcPr>
          <w:p w14:paraId="6B7E0E15" w14:textId="77777777" w:rsidR="00313701" w:rsidRPr="00300E3C" w:rsidRDefault="00313701" w:rsidP="002B2FD9">
            <w:pPr>
              <w:pStyle w:val="Tabletext"/>
              <w:jc w:val="right"/>
            </w:pPr>
            <w:r w:rsidRPr="00300E3C">
              <w:t>1 (50%)</w:t>
            </w:r>
          </w:p>
        </w:tc>
        <w:tc>
          <w:tcPr>
            <w:tcW w:w="1549" w:type="dxa"/>
          </w:tcPr>
          <w:p w14:paraId="5DEF1C47" w14:textId="77777777" w:rsidR="00313701" w:rsidRPr="00300E3C" w:rsidRDefault="00313701" w:rsidP="002B2FD9">
            <w:pPr>
              <w:pStyle w:val="Tabletext"/>
              <w:jc w:val="right"/>
            </w:pPr>
            <w:r w:rsidRPr="00300E3C">
              <w:t>130</w:t>
            </w:r>
          </w:p>
        </w:tc>
        <w:tc>
          <w:tcPr>
            <w:tcW w:w="1443" w:type="dxa"/>
          </w:tcPr>
          <w:p w14:paraId="391CA6A3" w14:textId="77777777" w:rsidR="00313701" w:rsidRPr="00300E3C" w:rsidRDefault="00313701" w:rsidP="002B2FD9">
            <w:pPr>
              <w:pStyle w:val="Tabletext"/>
              <w:jc w:val="right"/>
            </w:pPr>
            <w:r w:rsidRPr="00300E3C">
              <w:t>-</w:t>
            </w:r>
          </w:p>
        </w:tc>
        <w:tc>
          <w:tcPr>
            <w:tcW w:w="2198" w:type="dxa"/>
          </w:tcPr>
          <w:p w14:paraId="1B3182B3" w14:textId="77777777" w:rsidR="00313701" w:rsidRPr="00300E3C" w:rsidRDefault="00313701" w:rsidP="002B2FD9">
            <w:pPr>
              <w:pStyle w:val="Tabletext"/>
              <w:jc w:val="right"/>
            </w:pPr>
            <w:r w:rsidRPr="00300E3C">
              <w:t>30</w:t>
            </w:r>
          </w:p>
        </w:tc>
      </w:tr>
      <w:tr w:rsidR="00313701" w:rsidRPr="008843F0" w14:paraId="2D8D0F2D" w14:textId="77777777" w:rsidTr="003C2836">
        <w:tc>
          <w:tcPr>
            <w:tcW w:w="2003" w:type="dxa"/>
          </w:tcPr>
          <w:p w14:paraId="3CDC93A7" w14:textId="77777777" w:rsidR="00313701" w:rsidRPr="00300E3C" w:rsidRDefault="00313701" w:rsidP="00313701">
            <w:pPr>
              <w:pStyle w:val="Tabletext"/>
            </w:pPr>
            <w:r w:rsidRPr="00300E3C">
              <w:t>Red cell transfusion</w:t>
            </w:r>
          </w:p>
        </w:tc>
        <w:tc>
          <w:tcPr>
            <w:tcW w:w="1823" w:type="dxa"/>
          </w:tcPr>
          <w:p w14:paraId="75195331" w14:textId="77777777" w:rsidR="00313701" w:rsidRPr="00300E3C" w:rsidRDefault="00313701" w:rsidP="002B2FD9">
            <w:pPr>
              <w:pStyle w:val="Tabletext"/>
              <w:jc w:val="right"/>
            </w:pPr>
            <w:r w:rsidRPr="00300E3C">
              <w:t>-</w:t>
            </w:r>
          </w:p>
        </w:tc>
        <w:tc>
          <w:tcPr>
            <w:tcW w:w="1549" w:type="dxa"/>
          </w:tcPr>
          <w:p w14:paraId="679983B9" w14:textId="77777777" w:rsidR="00313701" w:rsidRPr="00300E3C" w:rsidRDefault="00313701" w:rsidP="002B2FD9">
            <w:pPr>
              <w:pStyle w:val="Tabletext"/>
              <w:jc w:val="right"/>
            </w:pPr>
            <w:r w:rsidRPr="00300E3C">
              <w:t>-</w:t>
            </w:r>
          </w:p>
        </w:tc>
        <w:tc>
          <w:tcPr>
            <w:tcW w:w="1443" w:type="dxa"/>
          </w:tcPr>
          <w:p w14:paraId="075F330B" w14:textId="77777777" w:rsidR="00313701" w:rsidRPr="00300E3C" w:rsidRDefault="00313701" w:rsidP="002B2FD9">
            <w:pPr>
              <w:pStyle w:val="Tabletext"/>
              <w:jc w:val="right"/>
            </w:pPr>
          </w:p>
        </w:tc>
        <w:tc>
          <w:tcPr>
            <w:tcW w:w="2198" w:type="dxa"/>
          </w:tcPr>
          <w:p w14:paraId="6A35D083" w14:textId="77777777" w:rsidR="00313701" w:rsidRPr="00300E3C" w:rsidRDefault="00313701" w:rsidP="002B2FD9">
            <w:pPr>
              <w:pStyle w:val="Tabletext"/>
              <w:jc w:val="right"/>
            </w:pPr>
            <w:r w:rsidRPr="00300E3C">
              <w:t>-</w:t>
            </w:r>
          </w:p>
        </w:tc>
      </w:tr>
    </w:tbl>
    <w:p w14:paraId="71D56AC5" w14:textId="5AFEA001" w:rsidR="003C0EE8" w:rsidRPr="00300E3C" w:rsidRDefault="003C0EE8" w:rsidP="002B2FD9">
      <w:pPr>
        <w:pStyle w:val="Bodyaftertablefigure"/>
      </w:pPr>
      <w:r w:rsidRPr="00300E3C">
        <w:t xml:space="preserve">As outlined in </w:t>
      </w:r>
      <w:r w:rsidR="00386CF8">
        <w:t>Tables 1</w:t>
      </w:r>
      <w:r w:rsidR="006F4FEC">
        <w:t>1</w:t>
      </w:r>
      <w:r w:rsidR="00386CF8">
        <w:t>–14,</w:t>
      </w:r>
      <w:r w:rsidRPr="00300E3C">
        <w:t xml:space="preserve"> 13 patients received a red cell transfusion as part </w:t>
      </w:r>
      <w:r w:rsidRPr="00F95181">
        <w:t>of</w:t>
      </w:r>
      <w:r w:rsidRPr="00300E3C">
        <w:t xml:space="preserve"> their treatment for anaemia and/or iron deficiency prior to surgery</w:t>
      </w:r>
      <w:r w:rsidR="00EA0F0E">
        <w:t>.</w:t>
      </w:r>
      <w:r w:rsidR="00EA0F0E" w:rsidRPr="00300E3C">
        <w:t xml:space="preserve"> </w:t>
      </w:r>
      <w:r w:rsidR="00EA0F0E">
        <w:t>E</w:t>
      </w:r>
      <w:r w:rsidRPr="00300E3C">
        <w:t xml:space="preserve">ight (62 per cent) </w:t>
      </w:r>
      <w:r w:rsidR="00EA0F0E">
        <w:t>had</w:t>
      </w:r>
      <w:r w:rsidR="00EA0F0E" w:rsidRPr="00300E3C">
        <w:t xml:space="preserve"> </w:t>
      </w:r>
      <w:r w:rsidRPr="00300E3C">
        <w:t xml:space="preserve">transfusion as the only treatment reported. </w:t>
      </w:r>
    </w:p>
    <w:p w14:paraId="236E0EE4" w14:textId="2C350CEA" w:rsidR="003C0EE8" w:rsidRPr="00300E3C" w:rsidRDefault="003C0EE8" w:rsidP="003C0EE8">
      <w:pPr>
        <w:pStyle w:val="Body"/>
      </w:pPr>
      <w:r w:rsidRPr="00300E3C">
        <w:t>We are unable to comment on the appropriateness of these transfusions</w:t>
      </w:r>
      <w:r w:rsidR="00386CF8">
        <w:t>. H</w:t>
      </w:r>
      <w:r w:rsidRPr="00300E3C">
        <w:t xml:space="preserve">owever, even where it may be appropriate to transfuse the patient due to symptomatic anaemia, the underlying cause of the anaemia must still be investigated and treated. </w:t>
      </w:r>
    </w:p>
    <w:p w14:paraId="503DF61A" w14:textId="7D0CBAB0" w:rsidR="003C0EE8" w:rsidRPr="00300E3C" w:rsidRDefault="003C0EE8" w:rsidP="003C0EE8">
      <w:pPr>
        <w:pStyle w:val="Body"/>
      </w:pPr>
      <w:r w:rsidRPr="00300E3C">
        <w:t>Ninety-six patients were anaemic and/or iron deficient</w:t>
      </w:r>
      <w:r w:rsidR="009A7C43">
        <w:t>,</w:t>
      </w:r>
      <w:r w:rsidRPr="00300E3C">
        <w:t xml:space="preserve"> with 60 patients (61 per cent) receiving iron therapy prior to their surgery</w:t>
      </w:r>
      <w:r w:rsidR="009A7C43">
        <w:t>,</w:t>
      </w:r>
      <w:r w:rsidR="009A7C43" w:rsidRPr="00300E3C">
        <w:t xml:space="preserve"> </w:t>
      </w:r>
      <w:r w:rsidRPr="00300E3C">
        <w:t xml:space="preserve">45 patients </w:t>
      </w:r>
      <w:r w:rsidR="009A7C43" w:rsidRPr="00300E3C">
        <w:t>receiv</w:t>
      </w:r>
      <w:r w:rsidR="009A7C43">
        <w:t>ing</w:t>
      </w:r>
      <w:r w:rsidR="009A7C43" w:rsidRPr="00300E3C">
        <w:t xml:space="preserve"> </w:t>
      </w:r>
      <w:r w:rsidRPr="00300E3C">
        <w:t xml:space="preserve">intravenous iron (46 per cent) and 15 patients </w:t>
      </w:r>
      <w:r w:rsidR="009A7C43" w:rsidRPr="00300E3C">
        <w:t>receiv</w:t>
      </w:r>
      <w:r w:rsidR="009A7C43">
        <w:t>ing</w:t>
      </w:r>
      <w:r w:rsidR="009A7C43" w:rsidRPr="00300E3C">
        <w:t xml:space="preserve"> </w:t>
      </w:r>
      <w:r w:rsidRPr="00300E3C">
        <w:t xml:space="preserve">oral iron (15 per cent). </w:t>
      </w:r>
    </w:p>
    <w:p w14:paraId="5DCDA62D" w14:textId="28FBF754" w:rsidR="00386CF8" w:rsidRDefault="003C0EE8" w:rsidP="003C0EE8">
      <w:pPr>
        <w:pStyle w:val="Body"/>
      </w:pPr>
      <w:r w:rsidRPr="00300E3C">
        <w:t>Oral iron use in therapeutic doses should raise Hb by about 20 g/L every three weeks. It is reasonable to replenish iron stores by continuing treatment for three to six months, in adults, beyond normalisation of Hb (Pasricha et</w:t>
      </w:r>
      <w:r w:rsidR="00386CF8">
        <w:t xml:space="preserve"> </w:t>
      </w:r>
      <w:r w:rsidRPr="00300E3C">
        <w:t xml:space="preserve">al. 2010). </w:t>
      </w:r>
    </w:p>
    <w:p w14:paraId="70E0AD1B" w14:textId="36DBA8E4" w:rsidR="00EA0F0E" w:rsidRDefault="00783832" w:rsidP="003C0EE8">
      <w:pPr>
        <w:pStyle w:val="Body"/>
      </w:pPr>
      <w:r>
        <w:t>Where patients received oral iron, no further data were collected regarding dose or length of treatment</w:t>
      </w:r>
      <w:r w:rsidR="003C0EE8" w:rsidRPr="00300E3C">
        <w:t xml:space="preserve">. </w:t>
      </w:r>
    </w:p>
    <w:p w14:paraId="741722E7" w14:textId="530DF225" w:rsidR="003C0EE8" w:rsidRPr="00300E3C" w:rsidRDefault="003C0EE8" w:rsidP="003C0EE8">
      <w:pPr>
        <w:pStyle w:val="Body"/>
      </w:pPr>
      <w:r w:rsidRPr="00300E3C">
        <w:t xml:space="preserve">Considering 60 per cent of all patients assessed (752) were assessed </w:t>
      </w:r>
      <w:r w:rsidR="00EA0F0E">
        <w:t>four</w:t>
      </w:r>
      <w:r w:rsidRPr="00300E3C">
        <w:t xml:space="preserve"> weeks or less </w:t>
      </w:r>
      <w:r w:rsidR="009A7C43">
        <w:t>before</w:t>
      </w:r>
      <w:r w:rsidR="009A7C43" w:rsidRPr="00300E3C">
        <w:t xml:space="preserve"> </w:t>
      </w:r>
      <w:r w:rsidRPr="00300E3C">
        <w:t xml:space="preserve">surgery, </w:t>
      </w:r>
      <w:r w:rsidR="009A7C43">
        <w:t xml:space="preserve">there may not have been </w:t>
      </w:r>
      <w:r w:rsidRPr="00300E3C">
        <w:t xml:space="preserve">time for oral iron to have achieved the desired effect. We acknowledge some patients may be on </w:t>
      </w:r>
      <w:r w:rsidR="009A7C43" w:rsidRPr="00300E3C">
        <w:t>long</w:t>
      </w:r>
      <w:r w:rsidR="009A7C43">
        <w:t>-</w:t>
      </w:r>
      <w:r w:rsidRPr="00300E3C">
        <w:t>term oral iron for their underlying condition.</w:t>
      </w:r>
    </w:p>
    <w:p w14:paraId="7A7689D7" w14:textId="590F4B02" w:rsidR="009A7C43" w:rsidRDefault="003C0EE8" w:rsidP="003C0EE8">
      <w:pPr>
        <w:pStyle w:val="Body"/>
      </w:pPr>
      <w:r w:rsidRPr="00300E3C">
        <w:t xml:space="preserve">No patients received erythropoietin as part of their treatment. The Module 2 guidelines include a practice point: </w:t>
      </w:r>
      <w:r w:rsidR="00EA0F0E">
        <w:t>i</w:t>
      </w:r>
      <w:r w:rsidR="00EA0F0E" w:rsidRPr="00300E3C">
        <w:t xml:space="preserve">n </w:t>
      </w:r>
      <w:r w:rsidRPr="00300E3C">
        <w:t xml:space="preserve">patients with anaemia of chronic disease (also known as anaemia of inflammation), erythropoietin stimulating agents may be indicated. </w:t>
      </w:r>
    </w:p>
    <w:p w14:paraId="36A2E17E" w14:textId="51EA0C72" w:rsidR="003C0EE8" w:rsidRPr="00300E3C" w:rsidRDefault="003C0EE8" w:rsidP="003C0EE8">
      <w:pPr>
        <w:pStyle w:val="Body"/>
      </w:pPr>
      <w:r w:rsidRPr="00300E3C">
        <w:t xml:space="preserve">Generally, this would be used in conjunction with iron therapy. The lack of use may be related to the </w:t>
      </w:r>
      <w:r w:rsidR="009A7C43">
        <w:t>P</w:t>
      </w:r>
      <w:r w:rsidR="009A7C43" w:rsidRPr="00300E3C">
        <w:t xml:space="preserve">harmaceutical </w:t>
      </w:r>
      <w:r w:rsidR="009A7C43">
        <w:t>B</w:t>
      </w:r>
      <w:r w:rsidR="009A7C43" w:rsidRPr="00300E3C">
        <w:t xml:space="preserve">enefits </w:t>
      </w:r>
      <w:r w:rsidR="009A7C43">
        <w:t>S</w:t>
      </w:r>
      <w:r w:rsidR="009A7C43" w:rsidRPr="00300E3C">
        <w:t xml:space="preserve">cheme </w:t>
      </w:r>
      <w:r w:rsidRPr="00300E3C">
        <w:t xml:space="preserve">criteria for erythropoietin, </w:t>
      </w:r>
      <w:r w:rsidR="009A7C43">
        <w:t>which</w:t>
      </w:r>
      <w:r w:rsidRPr="00300E3C">
        <w:t xml:space="preserve"> may result in significant cost to the patient</w:t>
      </w:r>
      <w:r w:rsidR="009A7C43">
        <w:t xml:space="preserve"> in this setting</w:t>
      </w:r>
      <w:r w:rsidRPr="00300E3C">
        <w:t>.</w:t>
      </w:r>
    </w:p>
    <w:p w14:paraId="411A2A03" w14:textId="77777777" w:rsidR="001141C8" w:rsidRDefault="003C0EE8" w:rsidP="003C0EE8">
      <w:pPr>
        <w:pStyle w:val="Body"/>
      </w:pPr>
      <w:r w:rsidRPr="00300E3C">
        <w:t>Referral to other specialists, such as gastroenterology or haematology, occurred less frequently</w:t>
      </w:r>
      <w:r w:rsidR="009A7C43">
        <w:t>,</w:t>
      </w:r>
      <w:r w:rsidRPr="00300E3C">
        <w:t xml:space="preserve"> with 13 patients in total being referred. No referrals to renal specialists were documented.</w:t>
      </w:r>
    </w:p>
    <w:p w14:paraId="300B351B" w14:textId="4F606BF3" w:rsidR="003C0EE8" w:rsidRPr="00300E3C" w:rsidRDefault="00971720" w:rsidP="003C0EE8">
      <w:pPr>
        <w:pStyle w:val="Body"/>
      </w:pPr>
      <w:r>
        <w:lastRenderedPageBreak/>
        <w:t>177</w:t>
      </w:r>
      <w:r w:rsidR="003C0EE8" w:rsidRPr="00300E3C">
        <w:t xml:space="preserve"> patients were possibly iron deplete, with only 13 (7 per cent) being reported as treated across all clinical areas</w:t>
      </w:r>
      <w:r w:rsidR="009A7C43">
        <w:t xml:space="preserve"> (Table 15).</w:t>
      </w:r>
    </w:p>
    <w:p w14:paraId="390118DD" w14:textId="766B415E" w:rsidR="003C0EE8" w:rsidRPr="008843F0" w:rsidRDefault="003C0EE8" w:rsidP="002B2FD9">
      <w:pPr>
        <w:pStyle w:val="Tablecaption"/>
      </w:pPr>
      <w:bookmarkStart w:id="71" w:name="_Ref67395958"/>
      <w:r w:rsidRPr="008843F0">
        <w:t xml:space="preserve">Table </w:t>
      </w:r>
      <w:bookmarkEnd w:id="71"/>
      <w:r w:rsidR="006F4FEC">
        <w:t>15</w:t>
      </w:r>
      <w:r w:rsidRPr="008843F0">
        <w:t xml:space="preserve">: Types of treatment provided for patients identified as possibly iron </w:t>
      </w:r>
      <w:r w:rsidRPr="00300E3C">
        <w:t>deplete</w:t>
      </w:r>
      <w:r w:rsidRPr="008843F0">
        <w:t xml:space="preserve"> as documented by health services (number of patients requiring treatment according to Module 2 = 174</w:t>
      </w:r>
      <w:r w:rsidR="009A7C43">
        <w:t>,</w:t>
      </w:r>
      <w:r w:rsidRPr="008843F0">
        <w:t xml:space="preserve"> compared </w:t>
      </w:r>
      <w:r w:rsidR="009A7C43">
        <w:t>with 16</w:t>
      </w:r>
      <w:r w:rsidR="009A7C43" w:rsidRPr="008843F0">
        <w:t xml:space="preserve"> </w:t>
      </w:r>
      <w:r w:rsidRPr="008843F0">
        <w:t>documented by health service</w:t>
      </w:r>
      <w:r w:rsidR="009A7C43">
        <w:t>s</w:t>
      </w:r>
      <w:r w:rsidRPr="008843F0">
        <w:t>)</w:t>
      </w:r>
    </w:p>
    <w:tbl>
      <w:tblPr>
        <w:tblStyle w:val="TableGrid22"/>
        <w:tblW w:w="0" w:type="auto"/>
        <w:tblLook w:val="04A0" w:firstRow="1" w:lastRow="0" w:firstColumn="1" w:lastColumn="0" w:noHBand="0" w:noVBand="1"/>
      </w:tblPr>
      <w:tblGrid>
        <w:gridCol w:w="2480"/>
        <w:gridCol w:w="5453"/>
      </w:tblGrid>
      <w:tr w:rsidR="00700345" w:rsidRPr="008843F0" w14:paraId="14F6E23E" w14:textId="77777777" w:rsidTr="001141C8">
        <w:trPr>
          <w:trHeight w:val="390"/>
        </w:trPr>
        <w:tc>
          <w:tcPr>
            <w:tcW w:w="2480" w:type="dxa"/>
          </w:tcPr>
          <w:p w14:paraId="14F9BA33" w14:textId="5F9BB1F8" w:rsidR="00700345" w:rsidRPr="008843F0" w:rsidRDefault="00700345" w:rsidP="002B2FD9">
            <w:pPr>
              <w:pStyle w:val="Tablecolhead"/>
              <w:rPr>
                <w:sz w:val="22"/>
              </w:rPr>
            </w:pPr>
            <w:r w:rsidRPr="008843F0">
              <w:t>Treatment</w:t>
            </w:r>
          </w:p>
        </w:tc>
        <w:tc>
          <w:tcPr>
            <w:tcW w:w="5453" w:type="dxa"/>
          </w:tcPr>
          <w:p w14:paraId="4B68F7CA" w14:textId="57732BDE" w:rsidR="00700345" w:rsidRPr="008843F0" w:rsidRDefault="00700345" w:rsidP="002B2FD9">
            <w:pPr>
              <w:pStyle w:val="Tablecolhead"/>
              <w:rPr>
                <w:sz w:val="22"/>
              </w:rPr>
            </w:pPr>
            <w:r w:rsidRPr="008843F0">
              <w:t>Number of patients treated (%)</w:t>
            </w:r>
            <w:r>
              <w:rPr>
                <w:rStyle w:val="FootnoteReference"/>
              </w:rPr>
              <w:footnoteReference w:id="15"/>
            </w:r>
            <w:r w:rsidRPr="008843F0">
              <w:t xml:space="preserve"> </w:t>
            </w:r>
            <w:r w:rsidRPr="007727DB">
              <w:rPr>
                <w:iCs/>
              </w:rPr>
              <w:t>n</w:t>
            </w:r>
            <w:r w:rsidRPr="00F95181">
              <w:rPr>
                <w:iCs/>
              </w:rPr>
              <w:t> </w:t>
            </w:r>
            <w:r w:rsidRPr="008843F0">
              <w:t>= 13</w:t>
            </w:r>
          </w:p>
        </w:tc>
      </w:tr>
      <w:tr w:rsidR="003C0EE8" w:rsidRPr="008843F0" w14:paraId="035C8C6A" w14:textId="77777777" w:rsidTr="001141C8">
        <w:tc>
          <w:tcPr>
            <w:tcW w:w="2480" w:type="dxa"/>
          </w:tcPr>
          <w:p w14:paraId="5E52208A" w14:textId="77777777" w:rsidR="003C0EE8" w:rsidRPr="00300E3C" w:rsidRDefault="003C0EE8" w:rsidP="003C2836">
            <w:pPr>
              <w:pStyle w:val="Tabletext"/>
            </w:pPr>
            <w:r w:rsidRPr="00300E3C">
              <w:t>Oral iron supplements</w:t>
            </w:r>
          </w:p>
        </w:tc>
        <w:tc>
          <w:tcPr>
            <w:tcW w:w="5453" w:type="dxa"/>
          </w:tcPr>
          <w:p w14:paraId="0FB73AEF" w14:textId="77777777" w:rsidR="003C0EE8" w:rsidRPr="00300E3C" w:rsidRDefault="003C0EE8" w:rsidP="002B2FD9">
            <w:pPr>
              <w:pStyle w:val="Tabletext"/>
              <w:jc w:val="right"/>
            </w:pPr>
            <w:r w:rsidRPr="00300E3C">
              <w:t>10 (67%)</w:t>
            </w:r>
          </w:p>
        </w:tc>
      </w:tr>
      <w:tr w:rsidR="003C0EE8" w:rsidRPr="008843F0" w14:paraId="0685F858" w14:textId="77777777" w:rsidTr="001141C8">
        <w:tc>
          <w:tcPr>
            <w:tcW w:w="2480" w:type="dxa"/>
          </w:tcPr>
          <w:p w14:paraId="10836AB8" w14:textId="77777777" w:rsidR="003C0EE8" w:rsidRPr="00300E3C" w:rsidRDefault="003C0EE8" w:rsidP="003C2836">
            <w:pPr>
              <w:pStyle w:val="Tabletext"/>
            </w:pPr>
            <w:r w:rsidRPr="00300E3C">
              <w:t>IV iron infusion</w:t>
            </w:r>
          </w:p>
        </w:tc>
        <w:tc>
          <w:tcPr>
            <w:tcW w:w="5453" w:type="dxa"/>
          </w:tcPr>
          <w:p w14:paraId="1CA1CEC4" w14:textId="77777777" w:rsidR="003C0EE8" w:rsidRPr="00300E3C" w:rsidRDefault="003C0EE8" w:rsidP="002B2FD9">
            <w:pPr>
              <w:pStyle w:val="Tabletext"/>
              <w:jc w:val="right"/>
            </w:pPr>
            <w:r w:rsidRPr="00300E3C">
              <w:t>5 (33%)</w:t>
            </w:r>
          </w:p>
        </w:tc>
      </w:tr>
      <w:tr w:rsidR="003C0EE8" w:rsidRPr="008843F0" w14:paraId="354A3161" w14:textId="77777777" w:rsidTr="001141C8">
        <w:tc>
          <w:tcPr>
            <w:tcW w:w="2480" w:type="dxa"/>
          </w:tcPr>
          <w:p w14:paraId="5C94F1DA" w14:textId="77777777" w:rsidR="003C0EE8" w:rsidRPr="00300E3C" w:rsidRDefault="003C0EE8" w:rsidP="003C2836">
            <w:pPr>
              <w:pStyle w:val="Tabletext"/>
            </w:pPr>
            <w:r w:rsidRPr="00300E3C">
              <w:t xml:space="preserve">Specialist referrals </w:t>
            </w:r>
          </w:p>
        </w:tc>
        <w:tc>
          <w:tcPr>
            <w:tcW w:w="5453" w:type="dxa"/>
          </w:tcPr>
          <w:p w14:paraId="590F26A3" w14:textId="77777777" w:rsidR="003C0EE8" w:rsidRPr="00300E3C" w:rsidRDefault="003C0EE8" w:rsidP="002B2FD9">
            <w:pPr>
              <w:pStyle w:val="Tabletext"/>
              <w:jc w:val="right"/>
            </w:pPr>
            <w:r w:rsidRPr="00300E3C">
              <w:t>2 (13%)</w:t>
            </w:r>
          </w:p>
        </w:tc>
      </w:tr>
      <w:tr w:rsidR="003C0EE8" w:rsidRPr="008843F0" w14:paraId="224B0199" w14:textId="77777777" w:rsidTr="001141C8">
        <w:tc>
          <w:tcPr>
            <w:tcW w:w="2480" w:type="dxa"/>
          </w:tcPr>
          <w:p w14:paraId="7A551ADF" w14:textId="77777777" w:rsidR="003C0EE8" w:rsidRPr="00300E3C" w:rsidRDefault="003C0EE8" w:rsidP="003C2836">
            <w:pPr>
              <w:pStyle w:val="Tabletext"/>
            </w:pPr>
            <w:r w:rsidRPr="00300E3C">
              <w:t>Red cell transfusion</w:t>
            </w:r>
          </w:p>
        </w:tc>
        <w:tc>
          <w:tcPr>
            <w:tcW w:w="5453" w:type="dxa"/>
          </w:tcPr>
          <w:p w14:paraId="2DF4C58A" w14:textId="77777777" w:rsidR="003C0EE8" w:rsidRPr="00300E3C" w:rsidRDefault="003C0EE8" w:rsidP="002B2FD9">
            <w:pPr>
              <w:pStyle w:val="Tabletext"/>
              <w:jc w:val="right"/>
            </w:pPr>
            <w:r w:rsidRPr="00300E3C">
              <w:t>1 (7%)</w:t>
            </w:r>
          </w:p>
        </w:tc>
      </w:tr>
    </w:tbl>
    <w:p w14:paraId="7B03661B" w14:textId="229907BC" w:rsidR="0062793C" w:rsidRDefault="003C0EE8" w:rsidP="0062793C">
      <w:pPr>
        <w:pStyle w:val="Bodyafterbullets"/>
      </w:pPr>
      <w:r w:rsidRPr="008843F0">
        <w:t xml:space="preserve">Failure to identify </w:t>
      </w:r>
      <w:r w:rsidRPr="0062793C">
        <w:t>and</w:t>
      </w:r>
      <w:r w:rsidRPr="008843F0">
        <w:t xml:space="preserve"> treat anaemia and/or iron deficiency, or iron depletion is </w:t>
      </w:r>
      <w:r w:rsidR="00EA0F0E">
        <w:t>concerning</w:t>
      </w:r>
      <w:r w:rsidRPr="008843F0">
        <w:t xml:space="preserve">, as health services are missing opportunities to optimise patients’ haemoglobin preoperatively. </w:t>
      </w:r>
    </w:p>
    <w:p w14:paraId="4D30EF7E" w14:textId="6047A2ED" w:rsidR="003C0EE8" w:rsidRPr="008843F0" w:rsidRDefault="003C0EE8" w:rsidP="002B2FD9">
      <w:pPr>
        <w:pStyle w:val="Bodyafterbullets"/>
      </w:pPr>
      <w:r w:rsidRPr="008843F0">
        <w:t>Current literature suggests that the anaemic patient is at increased risk of transfusion and subsequent increased length of hospital stay</w:t>
      </w:r>
      <w:r w:rsidR="00982BEB">
        <w:t xml:space="preserve"> </w:t>
      </w:r>
      <w:r w:rsidR="00982BEB" w:rsidRPr="008843F0">
        <w:t>(Musallam et al</w:t>
      </w:r>
      <w:r w:rsidR="00982BEB">
        <w:t>.</w:t>
      </w:r>
      <w:r w:rsidR="00982BEB" w:rsidRPr="008843F0">
        <w:t xml:space="preserve"> 2011)</w:t>
      </w:r>
      <w:r w:rsidR="00982BEB">
        <w:t>. In addition,</w:t>
      </w:r>
      <w:r w:rsidR="00982BEB" w:rsidRPr="008843F0">
        <w:t xml:space="preserve"> </w:t>
      </w:r>
      <w:r w:rsidRPr="008843F0">
        <w:t>preoperative anaemia is associated with increased patient morbidity and mortality following surgery (Musallam et al</w:t>
      </w:r>
      <w:r w:rsidR="0062793C">
        <w:t>.</w:t>
      </w:r>
      <w:r w:rsidRPr="008843F0">
        <w:t xml:space="preserve"> 2011). </w:t>
      </w:r>
    </w:p>
    <w:p w14:paraId="69608133" w14:textId="744FF3EC" w:rsidR="003C0EE8" w:rsidRPr="008843F0" w:rsidRDefault="003C0EE8" w:rsidP="003C0EE8">
      <w:pPr>
        <w:pStyle w:val="Body"/>
      </w:pPr>
      <w:r w:rsidRPr="008843F0">
        <w:t xml:space="preserve">The </w:t>
      </w:r>
      <w:r w:rsidRPr="00300E3C">
        <w:t>failure</w:t>
      </w:r>
      <w:r w:rsidRPr="008843F0">
        <w:t xml:space="preserve"> of </w:t>
      </w:r>
      <w:r w:rsidR="00982BEB" w:rsidRPr="008843F0">
        <w:t>follow</w:t>
      </w:r>
      <w:r w:rsidR="00982BEB">
        <w:t>-</w:t>
      </w:r>
      <w:r w:rsidRPr="008843F0">
        <w:t xml:space="preserve">up from screening shows generally poorer performance when assessment is done with less than 4 weeks to surgery date, as shown in </w:t>
      </w:r>
      <w:r w:rsidR="0062793C">
        <w:t>Figures 2–6</w:t>
      </w:r>
      <w:r w:rsidRPr="008843F0">
        <w:t>.</w:t>
      </w:r>
    </w:p>
    <w:p w14:paraId="364965DB" w14:textId="10944DB2" w:rsidR="003C0EE8" w:rsidRDefault="003C0EE8" w:rsidP="002B2FD9">
      <w:pPr>
        <w:pStyle w:val="Figurecaption"/>
      </w:pPr>
      <w:bookmarkStart w:id="72" w:name="_Ref69835501"/>
      <w:r w:rsidRPr="008843F0">
        <w:t xml:space="preserve">Figure </w:t>
      </w:r>
      <w:r w:rsidR="005E52B4">
        <w:fldChar w:fldCharType="begin"/>
      </w:r>
      <w:r w:rsidR="005E52B4">
        <w:instrText xml:space="preserve"> SEQ Figure \* ARABIC </w:instrText>
      </w:r>
      <w:r w:rsidR="005E52B4">
        <w:fldChar w:fldCharType="separate"/>
      </w:r>
      <w:r w:rsidR="00857812">
        <w:rPr>
          <w:noProof/>
        </w:rPr>
        <w:t>2</w:t>
      </w:r>
      <w:r w:rsidR="005E52B4">
        <w:rPr>
          <w:noProof/>
        </w:rPr>
        <w:fldChar w:fldCharType="end"/>
      </w:r>
      <w:bookmarkEnd w:id="72"/>
      <w:r w:rsidRPr="008843F0">
        <w:t>: All surgery types</w:t>
      </w:r>
      <w:r w:rsidR="0062793C">
        <w:t xml:space="preserve"> – s</w:t>
      </w:r>
      <w:r w:rsidR="0062793C" w:rsidRPr="008843F0">
        <w:t xml:space="preserve">creening </w:t>
      </w:r>
      <w:r w:rsidRPr="008843F0">
        <w:t xml:space="preserve">failures by </w:t>
      </w:r>
      <w:r w:rsidRPr="00300E3C">
        <w:t>timeliness</w:t>
      </w:r>
      <w:r w:rsidRPr="008843F0">
        <w:t xml:space="preserve"> of assessment</w:t>
      </w:r>
    </w:p>
    <w:p w14:paraId="54AAFA33" w14:textId="31E2D281" w:rsidR="00540FAF" w:rsidRPr="00540FAF" w:rsidRDefault="00540FAF" w:rsidP="00540FAF">
      <w:pPr>
        <w:pStyle w:val="Body"/>
      </w:pPr>
      <w:r w:rsidRPr="008843F0">
        <w:rPr>
          <w:noProof/>
          <w:sz w:val="20"/>
          <w:lang w:eastAsia="en-AU"/>
        </w:rPr>
        <w:drawing>
          <wp:inline distT="0" distB="0" distL="0" distR="0" wp14:anchorId="65B25A34" wp14:editId="30FD9916">
            <wp:extent cx="5904230" cy="3119813"/>
            <wp:effectExtent l="0" t="0" r="1270" b="4445"/>
            <wp:docPr id="41" name="Chart 41" descr="Figure showing generally poorer performance in follow-up when surgery is done within four weeks of surgery d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41A182D" w14:textId="664CDAFC" w:rsidR="0062793C" w:rsidRPr="002B2FD9" w:rsidRDefault="0062793C" w:rsidP="003C0EE8">
      <w:pPr>
        <w:pStyle w:val="Tablefigurenote"/>
        <w:rPr>
          <w:rFonts w:eastAsia="Times"/>
          <w:b/>
          <w:bCs/>
        </w:rPr>
      </w:pPr>
      <w:r w:rsidRPr="002B2FD9">
        <w:rPr>
          <w:rFonts w:eastAsia="Times"/>
          <w:b/>
          <w:bCs/>
        </w:rPr>
        <w:t>Notes</w:t>
      </w:r>
    </w:p>
    <w:p w14:paraId="6D85985E" w14:textId="4967373F" w:rsidR="003C0EE8" w:rsidRPr="008843F0" w:rsidRDefault="003C0EE8" w:rsidP="003C0EE8">
      <w:pPr>
        <w:pStyle w:val="Tablefigurenote"/>
        <w:rPr>
          <w:rFonts w:eastAsia="Times"/>
          <w:vertAlign w:val="superscript"/>
        </w:rPr>
      </w:pPr>
      <w:r w:rsidRPr="008843F0">
        <w:rPr>
          <w:rFonts w:eastAsia="Times"/>
        </w:rPr>
        <w:t>Denominator for ‘anaemia identified and not treated’ was patients documented as anaemic by health service, with the numerator being patients with no reported interventions.</w:t>
      </w:r>
    </w:p>
    <w:p w14:paraId="393350D3" w14:textId="17BF5012" w:rsidR="003C0EE8" w:rsidRPr="008843F0" w:rsidRDefault="003C0EE8" w:rsidP="003C0EE8">
      <w:pPr>
        <w:pStyle w:val="Tablefigurenote"/>
        <w:rPr>
          <w:rFonts w:eastAsia="Times"/>
        </w:rPr>
      </w:pPr>
      <w:r w:rsidRPr="008843F0">
        <w:rPr>
          <w:rFonts w:eastAsia="Times"/>
        </w:rPr>
        <w:lastRenderedPageBreak/>
        <w:t xml:space="preserve">Denominator for ‘anaemia not </w:t>
      </w:r>
      <w:r w:rsidRPr="00300E3C">
        <w:rPr>
          <w:rFonts w:eastAsia="Times"/>
        </w:rPr>
        <w:t>identified’</w:t>
      </w:r>
      <w:r w:rsidRPr="008843F0">
        <w:rPr>
          <w:rFonts w:eastAsia="Times"/>
        </w:rPr>
        <w:t xml:space="preserve"> was patients determined to be anaemic as defined by Module 2, with the numerator being patients not identified by health services.</w:t>
      </w:r>
    </w:p>
    <w:p w14:paraId="00B0801B" w14:textId="6D9EF0AE" w:rsidR="003C0EE8" w:rsidRDefault="0062793C" w:rsidP="002B2FD9">
      <w:pPr>
        <w:pStyle w:val="Figurecaption"/>
      </w:pPr>
      <w:r>
        <w:rPr>
          <w:noProof/>
        </w:rPr>
        <w:t>Figure 3:</w:t>
      </w:r>
      <w:r w:rsidR="003C0EE8" w:rsidRPr="008843F0">
        <w:t xml:space="preserve"> Orthopaedics</w:t>
      </w:r>
      <w:r>
        <w:t xml:space="preserve"> –</w:t>
      </w:r>
      <w:r w:rsidRPr="008843F0">
        <w:t xml:space="preserve"> </w:t>
      </w:r>
      <w:r>
        <w:t>s</w:t>
      </w:r>
      <w:r w:rsidRPr="008843F0">
        <w:t xml:space="preserve">creening </w:t>
      </w:r>
      <w:r w:rsidR="003C0EE8" w:rsidRPr="008843F0">
        <w:t>failures by surgery type and timeliness of assessment</w:t>
      </w:r>
    </w:p>
    <w:p w14:paraId="0E56D685" w14:textId="77777777" w:rsidR="000A6DC0" w:rsidRPr="008843F0" w:rsidRDefault="000A6DC0" w:rsidP="000A6DC0">
      <w:pPr>
        <w:spacing w:line="270" w:lineRule="atLeast"/>
        <w:rPr>
          <w:rFonts w:eastAsia="Times"/>
          <w:sz w:val="20"/>
        </w:rPr>
      </w:pPr>
      <w:r w:rsidRPr="008843F0">
        <w:rPr>
          <w:rFonts w:eastAsia="Times"/>
          <w:noProof/>
          <w:sz w:val="20"/>
          <w:lang w:eastAsia="en-AU"/>
        </w:rPr>
        <w:drawing>
          <wp:inline distT="0" distB="0" distL="0" distR="0" wp14:anchorId="34706BB5" wp14:editId="37E2ED1A">
            <wp:extent cx="5904230" cy="2941320"/>
            <wp:effectExtent l="0" t="0" r="1270" b="11430"/>
            <wp:docPr id="40" name="Chart 40" descr="Figure showing generally poorer performance in follow-up when surgery is done within four weeks of surgery d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CAA599C" w14:textId="77777777" w:rsidR="00982BEB" w:rsidRPr="00AE31EB" w:rsidRDefault="00982BEB" w:rsidP="00982BEB">
      <w:pPr>
        <w:pStyle w:val="Tablefigurenote"/>
        <w:rPr>
          <w:rFonts w:eastAsia="Times"/>
          <w:b/>
          <w:bCs/>
        </w:rPr>
      </w:pPr>
      <w:r w:rsidRPr="00AE31EB">
        <w:rPr>
          <w:rFonts w:eastAsia="Times"/>
          <w:b/>
          <w:bCs/>
        </w:rPr>
        <w:t>Notes</w:t>
      </w:r>
    </w:p>
    <w:p w14:paraId="4E3C6420" w14:textId="77777777" w:rsidR="00982BEB" w:rsidRPr="008843F0" w:rsidRDefault="00982BEB" w:rsidP="00982BEB">
      <w:pPr>
        <w:pStyle w:val="Tablefigurenote"/>
        <w:rPr>
          <w:rFonts w:eastAsia="Times"/>
          <w:vertAlign w:val="superscript"/>
        </w:rPr>
      </w:pPr>
      <w:r w:rsidRPr="008843F0">
        <w:rPr>
          <w:rFonts w:eastAsia="Times"/>
        </w:rPr>
        <w:t>Denominator for ‘anaemia identified and not treated’ was patients documented as anaemic by health service, with the numerator being patients with no reported interventions.</w:t>
      </w:r>
    </w:p>
    <w:p w14:paraId="7DDA1123" w14:textId="77777777" w:rsidR="00982BEB" w:rsidRPr="008843F0" w:rsidRDefault="00982BEB" w:rsidP="00982BEB">
      <w:pPr>
        <w:pStyle w:val="Tablefigurenote"/>
        <w:rPr>
          <w:rFonts w:eastAsia="Times"/>
        </w:rPr>
      </w:pPr>
      <w:r w:rsidRPr="008843F0">
        <w:rPr>
          <w:rFonts w:eastAsia="Times"/>
        </w:rPr>
        <w:t xml:space="preserve">Denominator for ‘anaemia not </w:t>
      </w:r>
      <w:r w:rsidRPr="00300E3C">
        <w:rPr>
          <w:rFonts w:eastAsia="Times"/>
        </w:rPr>
        <w:t>identified’</w:t>
      </w:r>
      <w:r w:rsidRPr="008843F0">
        <w:rPr>
          <w:rFonts w:eastAsia="Times"/>
        </w:rPr>
        <w:t xml:space="preserve"> was patients determined to be anaemic as defined by Module 2, with the numerator being patients not identified by health services.</w:t>
      </w:r>
    </w:p>
    <w:p w14:paraId="42686A0D" w14:textId="49256DD8" w:rsidR="003C0EE8" w:rsidRDefault="00982BEB" w:rsidP="00982BEB">
      <w:pPr>
        <w:pStyle w:val="Figurecaption"/>
      </w:pPr>
      <w:r>
        <w:t>Figure 4</w:t>
      </w:r>
      <w:r w:rsidR="003C0EE8" w:rsidRPr="008843F0">
        <w:t xml:space="preserve">: </w:t>
      </w:r>
      <w:r w:rsidR="003C0EE8" w:rsidRPr="00982BEB">
        <w:t>Gynaecology</w:t>
      </w:r>
      <w:r>
        <w:t xml:space="preserve"> – s</w:t>
      </w:r>
      <w:r w:rsidR="003C0EE8" w:rsidRPr="008843F0">
        <w:t xml:space="preserve">creening </w:t>
      </w:r>
      <w:r w:rsidR="003C0EE8" w:rsidRPr="00932456">
        <w:t>failures</w:t>
      </w:r>
      <w:r w:rsidR="003C0EE8" w:rsidRPr="008843F0">
        <w:t xml:space="preserve"> by surgery type and timeliness of assessment</w:t>
      </w:r>
    </w:p>
    <w:p w14:paraId="68844894" w14:textId="77777777" w:rsidR="00EB2FC1" w:rsidRPr="008843F0" w:rsidRDefault="00EB2FC1" w:rsidP="00EB2FC1">
      <w:pPr>
        <w:spacing w:line="270" w:lineRule="atLeast"/>
        <w:rPr>
          <w:rFonts w:eastAsia="Times"/>
          <w:sz w:val="20"/>
        </w:rPr>
      </w:pPr>
      <w:r w:rsidRPr="008843F0">
        <w:rPr>
          <w:rFonts w:eastAsia="Times"/>
          <w:noProof/>
          <w:sz w:val="20"/>
          <w:lang w:eastAsia="en-AU"/>
        </w:rPr>
        <w:drawing>
          <wp:inline distT="0" distB="0" distL="0" distR="0" wp14:anchorId="35E143D6" wp14:editId="05DCEDE0">
            <wp:extent cx="5935980" cy="2679065"/>
            <wp:effectExtent l="0" t="0" r="7620" b="6985"/>
            <wp:docPr id="46" name="Chart 46" descr="Figure showing generally poorer performance in follow-up when surgery is done within four weeks of surgery d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2EC65E" w14:textId="77777777" w:rsidR="00982BEB" w:rsidRPr="00AE31EB" w:rsidRDefault="00982BEB" w:rsidP="00982BEB">
      <w:pPr>
        <w:pStyle w:val="Tablefigurenote"/>
        <w:rPr>
          <w:rFonts w:eastAsia="Times"/>
          <w:b/>
          <w:bCs/>
        </w:rPr>
      </w:pPr>
      <w:r w:rsidRPr="00AE31EB">
        <w:rPr>
          <w:rFonts w:eastAsia="Times"/>
          <w:b/>
          <w:bCs/>
        </w:rPr>
        <w:t>Notes</w:t>
      </w:r>
    </w:p>
    <w:p w14:paraId="217CF06C" w14:textId="77777777" w:rsidR="00982BEB" w:rsidRPr="008843F0" w:rsidRDefault="00982BEB" w:rsidP="00982BEB">
      <w:pPr>
        <w:pStyle w:val="Tablefigurenote"/>
        <w:rPr>
          <w:rFonts w:eastAsia="Times"/>
          <w:vertAlign w:val="superscript"/>
        </w:rPr>
      </w:pPr>
      <w:r w:rsidRPr="008843F0">
        <w:rPr>
          <w:rFonts w:eastAsia="Times"/>
        </w:rPr>
        <w:t>Denominator for ‘anaemia identified and not treated’ was patients documented as anaemic by health service, with the numerator being patients with no reported interventions.</w:t>
      </w:r>
    </w:p>
    <w:p w14:paraId="3AB94ADA" w14:textId="35E3162B" w:rsidR="003C0EE8" w:rsidRPr="008843F0" w:rsidRDefault="00982BEB" w:rsidP="002B2FD9">
      <w:pPr>
        <w:pStyle w:val="Tablefigurenote"/>
      </w:pPr>
      <w:r w:rsidRPr="008843F0">
        <w:rPr>
          <w:rFonts w:eastAsia="Times"/>
        </w:rPr>
        <w:t xml:space="preserve">Denominator for ‘anaemia not </w:t>
      </w:r>
      <w:r w:rsidRPr="00300E3C">
        <w:rPr>
          <w:rFonts w:eastAsia="Times"/>
        </w:rPr>
        <w:t>identified’</w:t>
      </w:r>
      <w:r w:rsidRPr="008843F0">
        <w:rPr>
          <w:rFonts w:eastAsia="Times"/>
        </w:rPr>
        <w:t xml:space="preserve"> was patients determined to be anaemic as defined by Module 2, with the numerator being patients not identified by health services.</w:t>
      </w:r>
    </w:p>
    <w:p w14:paraId="71797259" w14:textId="1F7817A3" w:rsidR="003C0EE8" w:rsidRDefault="00982BEB" w:rsidP="002B2FD9">
      <w:pPr>
        <w:pStyle w:val="Figurecaption"/>
      </w:pPr>
      <w:r>
        <w:rPr>
          <w:noProof/>
        </w:rPr>
        <w:lastRenderedPageBreak/>
        <w:t>Figure 5:</w:t>
      </w:r>
      <w:r w:rsidR="003C0EE8" w:rsidRPr="008843F0">
        <w:t xml:space="preserve"> Gastrointestinal</w:t>
      </w:r>
      <w:r>
        <w:t xml:space="preserve"> – s</w:t>
      </w:r>
      <w:r w:rsidR="003C0EE8" w:rsidRPr="00932456">
        <w:t>creening</w:t>
      </w:r>
      <w:r w:rsidR="003C0EE8" w:rsidRPr="008843F0">
        <w:t xml:space="preserve"> </w:t>
      </w:r>
      <w:r w:rsidR="003C0EE8" w:rsidRPr="0038378B">
        <w:t>failures</w:t>
      </w:r>
      <w:r w:rsidR="003C0EE8" w:rsidRPr="008843F0">
        <w:t xml:space="preserve"> by surgery type and timeliness of assessment</w:t>
      </w:r>
    </w:p>
    <w:p w14:paraId="5D2F9B02" w14:textId="6E38B17F" w:rsidR="00EB2FC1" w:rsidRPr="00EB2FC1" w:rsidRDefault="00EB2FC1" w:rsidP="00EB2FC1">
      <w:pPr>
        <w:pStyle w:val="Body"/>
      </w:pPr>
      <w:r w:rsidRPr="008843F0">
        <w:rPr>
          <w:noProof/>
          <w:sz w:val="20"/>
          <w:lang w:eastAsia="en-AU"/>
        </w:rPr>
        <w:drawing>
          <wp:inline distT="0" distB="0" distL="0" distR="0" wp14:anchorId="0FFE59B0" wp14:editId="221BE0B9">
            <wp:extent cx="6019800" cy="2941955"/>
            <wp:effectExtent l="0" t="0" r="0" b="10795"/>
            <wp:docPr id="47" name="Chart 47" descr="Figure showing generally poorer performance in follow-up when surgery is done within four weeks of surgery d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A0DA38" w14:textId="77777777" w:rsidR="00982BEB" w:rsidRPr="00AE31EB" w:rsidRDefault="00982BEB" w:rsidP="00982BEB">
      <w:pPr>
        <w:pStyle w:val="Tablefigurenote"/>
        <w:rPr>
          <w:rFonts w:eastAsia="Times"/>
          <w:b/>
          <w:bCs/>
        </w:rPr>
      </w:pPr>
      <w:r w:rsidRPr="00AE31EB">
        <w:rPr>
          <w:rFonts w:eastAsia="Times"/>
          <w:b/>
          <w:bCs/>
        </w:rPr>
        <w:t>Notes</w:t>
      </w:r>
    </w:p>
    <w:p w14:paraId="52E064CB" w14:textId="77777777" w:rsidR="00982BEB" w:rsidRPr="008843F0" w:rsidRDefault="00982BEB" w:rsidP="00982BEB">
      <w:pPr>
        <w:pStyle w:val="Tablefigurenote"/>
        <w:rPr>
          <w:rFonts w:eastAsia="Times"/>
          <w:vertAlign w:val="superscript"/>
        </w:rPr>
      </w:pPr>
      <w:r w:rsidRPr="008843F0">
        <w:rPr>
          <w:rFonts w:eastAsia="Times"/>
        </w:rPr>
        <w:t>Denominator for ‘anaemia identified and not treated’ was patients documented as anaemic by health service, with the numerator being patients with no reported interventions.</w:t>
      </w:r>
    </w:p>
    <w:p w14:paraId="0587A068" w14:textId="77777777" w:rsidR="00982BEB" w:rsidRPr="008843F0" w:rsidRDefault="00982BEB" w:rsidP="00982BEB">
      <w:pPr>
        <w:pStyle w:val="Tablefigurenote"/>
        <w:rPr>
          <w:rFonts w:eastAsia="Times"/>
        </w:rPr>
      </w:pPr>
      <w:r w:rsidRPr="008843F0">
        <w:rPr>
          <w:rFonts w:eastAsia="Times"/>
        </w:rPr>
        <w:t xml:space="preserve">Denominator for ‘anaemia not </w:t>
      </w:r>
      <w:r w:rsidRPr="00300E3C">
        <w:rPr>
          <w:rFonts w:eastAsia="Times"/>
        </w:rPr>
        <w:t>identified’</w:t>
      </w:r>
      <w:r w:rsidRPr="008843F0">
        <w:rPr>
          <w:rFonts w:eastAsia="Times"/>
        </w:rPr>
        <w:t xml:space="preserve"> was patients determined to be anaemic as defined by Module 2, with the numerator being patients not identified by health services.</w:t>
      </w:r>
    </w:p>
    <w:p w14:paraId="27778D82" w14:textId="1507F2B1" w:rsidR="003C0EE8" w:rsidRDefault="00982BEB" w:rsidP="00982BEB">
      <w:pPr>
        <w:pStyle w:val="Figurecaption"/>
      </w:pPr>
      <w:r>
        <w:rPr>
          <w:noProof/>
        </w:rPr>
        <w:t xml:space="preserve">Figure 6: </w:t>
      </w:r>
      <w:r w:rsidR="003C0EE8" w:rsidRPr="008843F0">
        <w:t>Cardiothoracic</w:t>
      </w:r>
      <w:r>
        <w:t xml:space="preserve"> – s</w:t>
      </w:r>
      <w:r w:rsidR="003C0EE8" w:rsidRPr="008843F0">
        <w:t xml:space="preserve">creening </w:t>
      </w:r>
      <w:r w:rsidR="003C0EE8" w:rsidRPr="00982BEB">
        <w:t>failures</w:t>
      </w:r>
      <w:r w:rsidR="003C0EE8" w:rsidRPr="008843F0">
        <w:t xml:space="preserve"> by surgery type and timeliness of assessment</w:t>
      </w:r>
    </w:p>
    <w:p w14:paraId="6CF63F0C" w14:textId="5399BAD7" w:rsidR="00DE27C8" w:rsidRPr="00DE27C8" w:rsidRDefault="00DE27C8" w:rsidP="00DE27C8">
      <w:pPr>
        <w:pStyle w:val="Body"/>
      </w:pPr>
      <w:r>
        <w:rPr>
          <w:noProof/>
          <w:lang w:eastAsia="en-AU"/>
        </w:rPr>
        <w:drawing>
          <wp:inline distT="0" distB="0" distL="0" distR="0" wp14:anchorId="4BA19C87" wp14:editId="55D8250B">
            <wp:extent cx="6248400" cy="3672840"/>
            <wp:effectExtent l="0" t="0" r="0" b="3810"/>
            <wp:docPr id="1" name="Chart 1" descr="Figure showing generally poorer performance in follow-up when surgery is done within four weeks of surgery d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326639" w14:textId="77777777" w:rsidR="00982BEB" w:rsidRPr="00AE31EB" w:rsidRDefault="00982BEB" w:rsidP="00982BEB">
      <w:pPr>
        <w:pStyle w:val="Tablefigurenote"/>
        <w:rPr>
          <w:rFonts w:eastAsia="Times"/>
          <w:b/>
          <w:bCs/>
        </w:rPr>
      </w:pPr>
      <w:r w:rsidRPr="00AE31EB">
        <w:rPr>
          <w:rFonts w:eastAsia="Times"/>
          <w:b/>
          <w:bCs/>
        </w:rPr>
        <w:t>Notes</w:t>
      </w:r>
    </w:p>
    <w:p w14:paraId="14887A1E" w14:textId="77777777" w:rsidR="00982BEB" w:rsidRPr="008843F0" w:rsidRDefault="00982BEB" w:rsidP="00982BEB">
      <w:pPr>
        <w:pStyle w:val="Tablefigurenote"/>
        <w:rPr>
          <w:rFonts w:eastAsia="Times"/>
          <w:vertAlign w:val="superscript"/>
        </w:rPr>
      </w:pPr>
      <w:r w:rsidRPr="008843F0">
        <w:rPr>
          <w:rFonts w:eastAsia="Times"/>
        </w:rPr>
        <w:t>Denominator for ‘anaemia identified and not treated’ was patients documented as anaemic by health service, with the numerator being patients with no reported interventions.</w:t>
      </w:r>
    </w:p>
    <w:p w14:paraId="52C18978" w14:textId="77777777" w:rsidR="00982BEB" w:rsidRPr="008843F0" w:rsidRDefault="00982BEB" w:rsidP="00982BEB">
      <w:pPr>
        <w:pStyle w:val="Tablefigurenote"/>
        <w:rPr>
          <w:rFonts w:eastAsia="Times"/>
        </w:rPr>
      </w:pPr>
      <w:r w:rsidRPr="008843F0">
        <w:rPr>
          <w:rFonts w:eastAsia="Times"/>
        </w:rPr>
        <w:lastRenderedPageBreak/>
        <w:t xml:space="preserve">Denominator for ‘anaemia not </w:t>
      </w:r>
      <w:r w:rsidRPr="00300E3C">
        <w:rPr>
          <w:rFonts w:eastAsia="Times"/>
        </w:rPr>
        <w:t>identified’</w:t>
      </w:r>
      <w:r w:rsidRPr="008843F0">
        <w:rPr>
          <w:rFonts w:eastAsia="Times"/>
        </w:rPr>
        <w:t xml:space="preserve"> was patients determined to be anaemic as defined by Module 2, with the numerator being patients not identified by health services.</w:t>
      </w:r>
    </w:p>
    <w:p w14:paraId="31AB7EA8" w14:textId="54276E34" w:rsidR="003C0EE8" w:rsidRPr="008843F0" w:rsidRDefault="003C0EE8" w:rsidP="002B2FD9">
      <w:pPr>
        <w:pStyle w:val="Bodyaftertablefigure"/>
      </w:pPr>
      <w:r w:rsidRPr="008843F0">
        <w:t xml:space="preserve">The closer the surgery date was to </w:t>
      </w:r>
      <w:r w:rsidR="00982BEB">
        <w:t xml:space="preserve">the </w:t>
      </w:r>
      <w:r w:rsidRPr="00700345">
        <w:t>preoperative</w:t>
      </w:r>
      <w:r w:rsidRPr="008843F0">
        <w:t xml:space="preserve"> assessment date</w:t>
      </w:r>
      <w:r w:rsidR="00982BEB">
        <w:t>,</w:t>
      </w:r>
      <w:r w:rsidRPr="008843F0">
        <w:t xml:space="preserve"> the </w:t>
      </w:r>
      <w:r w:rsidR="00EA0F0E">
        <w:t>more</w:t>
      </w:r>
      <w:r w:rsidRPr="008843F0">
        <w:t xml:space="preserve"> patients with anaemia </w:t>
      </w:r>
      <w:r w:rsidR="00EA0F0E">
        <w:t xml:space="preserve">were </w:t>
      </w:r>
      <w:r w:rsidRPr="008843F0">
        <w:t>not identified or treated (65 per cent to 78 per</w:t>
      </w:r>
      <w:r>
        <w:t xml:space="preserve"> </w:t>
      </w:r>
      <w:r w:rsidRPr="008843F0">
        <w:t>cent) (</w:t>
      </w:r>
      <w:r w:rsidR="00982BEB">
        <w:t>Figure 7</w:t>
      </w:r>
      <w:r w:rsidRPr="008843F0">
        <w:t>)</w:t>
      </w:r>
      <w:r w:rsidR="00EA0F0E">
        <w:t>.</w:t>
      </w:r>
      <w:r w:rsidRPr="008843F0">
        <w:t xml:space="preserve"> </w:t>
      </w:r>
      <w:r w:rsidR="00EA0F0E">
        <w:t xml:space="preserve">These represent missed opportunities for </w:t>
      </w:r>
      <w:r w:rsidRPr="008843F0">
        <w:t>investigation and treatment.</w:t>
      </w:r>
    </w:p>
    <w:p w14:paraId="2A703C6A" w14:textId="5C49CE33" w:rsidR="00245F23" w:rsidRDefault="00982BEB" w:rsidP="00982BEB">
      <w:pPr>
        <w:pStyle w:val="Figurecaption"/>
      </w:pPr>
      <w:r>
        <w:t>Figure 7:</w:t>
      </w:r>
      <w:r w:rsidR="00245F23" w:rsidRPr="008843F0">
        <w:t xml:space="preserve"> Treatment type for </w:t>
      </w:r>
      <w:r w:rsidR="00245F23" w:rsidRPr="00982BEB">
        <w:t>patients</w:t>
      </w:r>
      <w:r w:rsidR="00245F23" w:rsidRPr="008843F0">
        <w:t xml:space="preserve"> documented/identified with anaemia by timing of preoperative haemoglobin assessment</w:t>
      </w:r>
    </w:p>
    <w:p w14:paraId="5C485E43" w14:textId="5E8DE033" w:rsidR="00EA0F0E" w:rsidRPr="00EA0F0E" w:rsidRDefault="00EA0F0E">
      <w:pPr>
        <w:pStyle w:val="Body"/>
      </w:pPr>
      <w:r>
        <w:rPr>
          <w:noProof/>
          <w:lang w:eastAsia="en-AU"/>
        </w:rPr>
        <w:drawing>
          <wp:inline distT="0" distB="0" distL="0" distR="0" wp14:anchorId="03DEDA8D" wp14:editId="4DC2104A">
            <wp:extent cx="5904230" cy="2959100"/>
            <wp:effectExtent l="0" t="0" r="1270" b="0"/>
            <wp:docPr id="63" name="Picture 63" descr="The closer the surgery date was to the preoperative assessment date, the more patients with anaemia were not identified or treated (65 per cent to 7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closer the surgery date was to the preoperative assessment date, the more patients with anaemia were not identified or treated (65 per cent to 78 per cent)."/>
                    <pic:cNvPicPr/>
                  </pic:nvPicPr>
                  <pic:blipFill>
                    <a:blip r:embed="rId42"/>
                    <a:stretch>
                      <a:fillRect/>
                    </a:stretch>
                  </pic:blipFill>
                  <pic:spPr>
                    <a:xfrm>
                      <a:off x="0" y="0"/>
                      <a:ext cx="5904230" cy="2959100"/>
                    </a:xfrm>
                    <a:prstGeom prst="rect">
                      <a:avLst/>
                    </a:prstGeom>
                  </pic:spPr>
                </pic:pic>
              </a:graphicData>
            </a:graphic>
          </wp:inline>
        </w:drawing>
      </w:r>
    </w:p>
    <w:p w14:paraId="2ECA74A4" w14:textId="16786CB9" w:rsidR="00245F23" w:rsidRPr="008843F0" w:rsidRDefault="00245F23" w:rsidP="00245F23">
      <w:pPr>
        <w:pStyle w:val="Body"/>
      </w:pPr>
    </w:p>
    <w:p w14:paraId="39A5519A" w14:textId="77777777" w:rsidR="00245F23" w:rsidRPr="008843F0" w:rsidRDefault="00245F23" w:rsidP="00245F23">
      <w:pPr>
        <w:pStyle w:val="Heading3"/>
      </w:pPr>
      <w:r w:rsidRPr="008843F0">
        <w:t xml:space="preserve">Preoperative </w:t>
      </w:r>
      <w:r w:rsidRPr="00902453">
        <w:t>anaemia</w:t>
      </w:r>
      <w:r w:rsidRPr="008843F0">
        <w:t>: re-evaluation</w:t>
      </w:r>
    </w:p>
    <w:p w14:paraId="693C0952" w14:textId="24EFA1CB" w:rsidR="00EA0F0E" w:rsidRDefault="00245F23" w:rsidP="00245F23">
      <w:pPr>
        <w:pStyle w:val="Body"/>
      </w:pPr>
      <w:r w:rsidRPr="008843F0">
        <w:t xml:space="preserve">In order to assess the impact of treatment, Hb and ferritin should be remeasured after treatment has been instigated and prior to surgery. </w:t>
      </w:r>
    </w:p>
    <w:p w14:paraId="16385205" w14:textId="57746C5D" w:rsidR="00245F23" w:rsidRPr="008843F0" w:rsidRDefault="00EA0F0E" w:rsidP="00245F23">
      <w:pPr>
        <w:pStyle w:val="Body"/>
      </w:pPr>
      <w:r>
        <w:t>Different patients will respond differently, but</w:t>
      </w:r>
      <w:r w:rsidRPr="008843F0">
        <w:t xml:space="preserve"> </w:t>
      </w:r>
      <w:r w:rsidR="00245F23" w:rsidRPr="008843F0">
        <w:t xml:space="preserve">an initial check </w:t>
      </w:r>
      <w:r w:rsidR="007E23BF">
        <w:t>could</w:t>
      </w:r>
      <w:r w:rsidR="007E23BF" w:rsidRPr="008843F0">
        <w:t xml:space="preserve"> </w:t>
      </w:r>
      <w:r w:rsidR="00245F23" w:rsidRPr="008843F0">
        <w:t>be considered between two to four weeks following a non-transfusion intervention.</w:t>
      </w:r>
    </w:p>
    <w:p w14:paraId="09AF51D3" w14:textId="4BFB2882" w:rsidR="00245F23" w:rsidRPr="008843F0" w:rsidRDefault="00245F23" w:rsidP="00245F23">
      <w:pPr>
        <w:pStyle w:val="Body"/>
      </w:pPr>
      <w:r w:rsidRPr="008843F0">
        <w:t>Testing to assess the impact of treatment for patients with anaemia and/or iron deficiency was reported in 48 of the 68 patients treated (71 per cent)</w:t>
      </w:r>
      <w:r w:rsidR="007E23BF">
        <w:t>,</w:t>
      </w:r>
      <w:r w:rsidRPr="008843F0">
        <w:t xml:space="preserve"> as </w:t>
      </w:r>
      <w:r w:rsidRPr="00B1105F">
        <w:t xml:space="preserve">shown in </w:t>
      </w:r>
      <w:r w:rsidR="006F4FEC" w:rsidRPr="00B1105F">
        <w:fldChar w:fldCharType="begin"/>
      </w:r>
      <w:r w:rsidR="006F4FEC" w:rsidRPr="00B1105F">
        <w:instrText xml:space="preserve"> REF _Ref70933591 \h  \* MERGEFORMAT </w:instrText>
      </w:r>
      <w:r w:rsidR="006F4FEC" w:rsidRPr="00B1105F">
        <w:fldChar w:fldCharType="separate"/>
      </w:r>
      <w:r w:rsidR="00857812" w:rsidRPr="00B1105F">
        <w:t xml:space="preserve">Table </w:t>
      </w:r>
      <w:r w:rsidR="006F4FEC" w:rsidRPr="00B1105F">
        <w:fldChar w:fldCharType="end"/>
      </w:r>
      <w:r w:rsidR="00B1105F" w:rsidRPr="00B1105F">
        <w:t>16</w:t>
      </w:r>
      <w:r w:rsidRPr="00B1105F">
        <w:t>.</w:t>
      </w:r>
      <w:r w:rsidRPr="008843F0">
        <w:t xml:space="preserve">  </w:t>
      </w:r>
    </w:p>
    <w:p w14:paraId="25E2D47C" w14:textId="77777777" w:rsidR="00245F23" w:rsidRPr="008843F0" w:rsidRDefault="00245F23" w:rsidP="00245F23">
      <w:pPr>
        <w:pStyle w:val="Body"/>
      </w:pPr>
      <w:r w:rsidRPr="008843F0">
        <w:t xml:space="preserve">A total of 15 patients (22 per cent) were documented as having their anaemia/iron deficiency resolved (as defined by Module 2) prior to surgery. </w:t>
      </w:r>
    </w:p>
    <w:p w14:paraId="09FE61CE" w14:textId="204D97A0" w:rsidR="00245F23" w:rsidRPr="008843F0" w:rsidRDefault="00245F23" w:rsidP="002B2FD9">
      <w:pPr>
        <w:pStyle w:val="Tablecaption"/>
      </w:pPr>
      <w:bookmarkStart w:id="73" w:name="_Ref70933591"/>
      <w:r w:rsidRPr="008843F0">
        <w:t xml:space="preserve">Table </w:t>
      </w:r>
      <w:bookmarkEnd w:id="73"/>
      <w:r w:rsidR="007E23BF">
        <w:t>1</w:t>
      </w:r>
      <w:r w:rsidR="006F4FEC">
        <w:t>6</w:t>
      </w:r>
      <w:r w:rsidRPr="008843F0">
        <w:t>: Patients re-</w:t>
      </w:r>
      <w:r w:rsidRPr="0038378B">
        <w:t>evaluated</w:t>
      </w:r>
      <w:r w:rsidRPr="008843F0">
        <w:t xml:space="preserve"> after treatment and resolved</w:t>
      </w:r>
    </w:p>
    <w:tbl>
      <w:tblPr>
        <w:tblStyle w:val="TableGrid1"/>
        <w:tblW w:w="0" w:type="auto"/>
        <w:tblLook w:val="04A0" w:firstRow="1" w:lastRow="0" w:firstColumn="1" w:lastColumn="0" w:noHBand="0" w:noVBand="1"/>
      </w:tblPr>
      <w:tblGrid>
        <w:gridCol w:w="2427"/>
        <w:gridCol w:w="2008"/>
        <w:gridCol w:w="2265"/>
        <w:gridCol w:w="2265"/>
      </w:tblGrid>
      <w:tr w:rsidR="00245F23" w:rsidRPr="008843F0" w14:paraId="26CAB840" w14:textId="77777777" w:rsidTr="002B2FD9">
        <w:trPr>
          <w:tblHeader/>
        </w:trPr>
        <w:tc>
          <w:tcPr>
            <w:tcW w:w="2427" w:type="dxa"/>
          </w:tcPr>
          <w:p w14:paraId="7EFADD9F" w14:textId="77777777" w:rsidR="00245F23" w:rsidRPr="008843F0" w:rsidRDefault="00245F23" w:rsidP="003C2836">
            <w:pPr>
              <w:pStyle w:val="Tablecolhead"/>
            </w:pPr>
            <w:r w:rsidRPr="008843F0">
              <w:t>Anaemia/iron status</w:t>
            </w:r>
          </w:p>
        </w:tc>
        <w:tc>
          <w:tcPr>
            <w:tcW w:w="2008" w:type="dxa"/>
          </w:tcPr>
          <w:p w14:paraId="79150908" w14:textId="77777777" w:rsidR="00245F23" w:rsidRPr="008843F0" w:rsidRDefault="00245F23" w:rsidP="003C2836">
            <w:pPr>
              <w:pStyle w:val="Tablecolhead"/>
            </w:pPr>
            <w:r w:rsidRPr="008843F0">
              <w:t>Number treated</w:t>
            </w:r>
          </w:p>
        </w:tc>
        <w:tc>
          <w:tcPr>
            <w:tcW w:w="2265" w:type="dxa"/>
          </w:tcPr>
          <w:p w14:paraId="370863E1" w14:textId="77777777" w:rsidR="00245F23" w:rsidRPr="008843F0" w:rsidRDefault="00245F23" w:rsidP="003C2836">
            <w:pPr>
              <w:pStyle w:val="Tablecolhead"/>
            </w:pPr>
            <w:r w:rsidRPr="008843F0">
              <w:t>Re-evaluated</w:t>
            </w:r>
          </w:p>
        </w:tc>
        <w:tc>
          <w:tcPr>
            <w:tcW w:w="2265" w:type="dxa"/>
          </w:tcPr>
          <w:p w14:paraId="57EC7ED6" w14:textId="77777777" w:rsidR="00245F23" w:rsidRPr="008843F0" w:rsidRDefault="00245F23" w:rsidP="003C2836">
            <w:pPr>
              <w:pStyle w:val="Tablecolhead"/>
            </w:pPr>
            <w:r w:rsidRPr="008843F0">
              <w:t>Resolved</w:t>
            </w:r>
          </w:p>
        </w:tc>
      </w:tr>
      <w:tr w:rsidR="00245F23" w:rsidRPr="008843F0" w14:paraId="553F0A9E" w14:textId="77777777" w:rsidTr="003C2836">
        <w:tc>
          <w:tcPr>
            <w:tcW w:w="2427" w:type="dxa"/>
          </w:tcPr>
          <w:p w14:paraId="4A0B474A" w14:textId="77777777" w:rsidR="00245F23" w:rsidRPr="008843F0" w:rsidRDefault="00245F23" w:rsidP="003C2836">
            <w:pPr>
              <w:pStyle w:val="Tabletext"/>
            </w:pPr>
            <w:r w:rsidRPr="008843F0">
              <w:t>Anaemia/iron deficiency</w:t>
            </w:r>
          </w:p>
        </w:tc>
        <w:tc>
          <w:tcPr>
            <w:tcW w:w="2008" w:type="dxa"/>
          </w:tcPr>
          <w:p w14:paraId="2DBACC22" w14:textId="77777777" w:rsidR="00245F23" w:rsidRPr="008843F0" w:rsidRDefault="00245F23" w:rsidP="002B2FD9">
            <w:pPr>
              <w:pStyle w:val="Tabletext"/>
              <w:jc w:val="right"/>
            </w:pPr>
            <w:r w:rsidRPr="008843F0">
              <w:t>68</w:t>
            </w:r>
          </w:p>
        </w:tc>
        <w:tc>
          <w:tcPr>
            <w:tcW w:w="2265" w:type="dxa"/>
          </w:tcPr>
          <w:p w14:paraId="7235FD8E" w14:textId="77777777" w:rsidR="00245F23" w:rsidRPr="008843F0" w:rsidRDefault="00245F23" w:rsidP="002B2FD9">
            <w:pPr>
              <w:pStyle w:val="Tabletext"/>
              <w:jc w:val="right"/>
            </w:pPr>
            <w:r w:rsidRPr="008843F0">
              <w:t>48 (71%)</w:t>
            </w:r>
          </w:p>
        </w:tc>
        <w:tc>
          <w:tcPr>
            <w:tcW w:w="2265" w:type="dxa"/>
          </w:tcPr>
          <w:p w14:paraId="1C4D1C2F" w14:textId="77777777" w:rsidR="00245F23" w:rsidRPr="008843F0" w:rsidRDefault="00245F23" w:rsidP="002B2FD9">
            <w:pPr>
              <w:pStyle w:val="Tabletext"/>
              <w:jc w:val="right"/>
            </w:pPr>
            <w:r w:rsidRPr="008843F0">
              <w:t>15 (22%)</w:t>
            </w:r>
          </w:p>
        </w:tc>
      </w:tr>
      <w:tr w:rsidR="00245F23" w:rsidRPr="008843F0" w14:paraId="2EEEEB63" w14:textId="77777777" w:rsidTr="003C2836">
        <w:tc>
          <w:tcPr>
            <w:tcW w:w="2427" w:type="dxa"/>
          </w:tcPr>
          <w:p w14:paraId="6E873D8A" w14:textId="77777777" w:rsidR="00245F23" w:rsidRPr="008843F0" w:rsidRDefault="00245F23" w:rsidP="003C2836">
            <w:pPr>
              <w:pStyle w:val="Tabletext"/>
            </w:pPr>
            <w:r w:rsidRPr="008843F0">
              <w:t>Iron deplete</w:t>
            </w:r>
          </w:p>
        </w:tc>
        <w:tc>
          <w:tcPr>
            <w:tcW w:w="2008" w:type="dxa"/>
          </w:tcPr>
          <w:p w14:paraId="5550D7C9" w14:textId="77777777" w:rsidR="00245F23" w:rsidRPr="008843F0" w:rsidRDefault="00245F23" w:rsidP="002B2FD9">
            <w:pPr>
              <w:pStyle w:val="Tabletext"/>
              <w:jc w:val="right"/>
            </w:pPr>
            <w:r w:rsidRPr="008843F0">
              <w:t>13</w:t>
            </w:r>
          </w:p>
        </w:tc>
        <w:tc>
          <w:tcPr>
            <w:tcW w:w="2265" w:type="dxa"/>
          </w:tcPr>
          <w:p w14:paraId="19730F37" w14:textId="77777777" w:rsidR="00245F23" w:rsidRPr="008843F0" w:rsidRDefault="00245F23" w:rsidP="002B2FD9">
            <w:pPr>
              <w:pStyle w:val="Tabletext"/>
              <w:jc w:val="right"/>
            </w:pPr>
            <w:r w:rsidRPr="008843F0">
              <w:t>6 (46%)</w:t>
            </w:r>
          </w:p>
        </w:tc>
        <w:tc>
          <w:tcPr>
            <w:tcW w:w="2265" w:type="dxa"/>
          </w:tcPr>
          <w:p w14:paraId="6E1B789C" w14:textId="77777777" w:rsidR="00245F23" w:rsidRPr="008843F0" w:rsidRDefault="00245F23" w:rsidP="002B2FD9">
            <w:pPr>
              <w:pStyle w:val="Tabletext"/>
              <w:jc w:val="right"/>
            </w:pPr>
            <w:r w:rsidRPr="008843F0">
              <w:t xml:space="preserve">3 (23%) </w:t>
            </w:r>
          </w:p>
        </w:tc>
      </w:tr>
    </w:tbl>
    <w:p w14:paraId="22D3C04D" w14:textId="77777777" w:rsidR="00245F23" w:rsidRPr="008843F0" w:rsidRDefault="00245F23" w:rsidP="00245F23">
      <w:pPr>
        <w:pStyle w:val="Heading4"/>
      </w:pPr>
      <w:r w:rsidRPr="008843F0">
        <w:lastRenderedPageBreak/>
        <w:t>Preoperative assessment quality</w:t>
      </w:r>
    </w:p>
    <w:p w14:paraId="58DCCD07" w14:textId="2FAC09BF" w:rsidR="007E23BF" w:rsidRDefault="00245F23" w:rsidP="00245F23">
      <w:pPr>
        <w:pStyle w:val="Body"/>
      </w:pPr>
      <w:r w:rsidRPr="008843F0">
        <w:t xml:space="preserve">Figure </w:t>
      </w:r>
      <w:r w:rsidR="007E23BF">
        <w:t>8</w:t>
      </w:r>
      <w:r w:rsidR="007E23BF" w:rsidRPr="008843F0">
        <w:t xml:space="preserve"> </w:t>
      </w:r>
      <w:r w:rsidRPr="008843F0">
        <w:t>summarises the quality of the assessment process for all patients reported</w:t>
      </w:r>
      <w:r w:rsidR="007E23BF">
        <w:t>.</w:t>
      </w:r>
      <w:r w:rsidR="007E23BF" w:rsidRPr="008843F0">
        <w:t xml:space="preserve"> </w:t>
      </w:r>
      <w:r w:rsidRPr="008843F0">
        <w:t xml:space="preserve">Figures </w:t>
      </w:r>
      <w:r w:rsidR="007E23BF">
        <w:t>9–12</w:t>
      </w:r>
      <w:r w:rsidRPr="008843F0">
        <w:t xml:space="preserve"> </w:t>
      </w:r>
      <w:r w:rsidR="007E23BF">
        <w:t>summarise</w:t>
      </w:r>
      <w:r w:rsidRPr="008843F0">
        <w:t xml:space="preserve"> each clinical speciality. </w:t>
      </w:r>
    </w:p>
    <w:p w14:paraId="30851D5E" w14:textId="45621072" w:rsidR="00245F23" w:rsidRPr="00902453" w:rsidRDefault="007E23BF">
      <w:pPr>
        <w:pStyle w:val="Body"/>
      </w:pPr>
      <w:r>
        <w:t xml:space="preserve">These </w:t>
      </w:r>
      <w:r w:rsidR="00245F23" w:rsidRPr="008843F0">
        <w:t xml:space="preserve">include screening, </w:t>
      </w:r>
      <w:r w:rsidR="00245F23" w:rsidRPr="007E23BF">
        <w:t>testing</w:t>
      </w:r>
      <w:r w:rsidR="00245F23" w:rsidRPr="008843F0">
        <w:t>, evaluation, management and then re-evaluation. For all clinical specialties there is significant room for improvement.</w:t>
      </w:r>
    </w:p>
    <w:p w14:paraId="2E8A7165" w14:textId="77777777" w:rsidR="00245F23" w:rsidRPr="00386401" w:rsidRDefault="00245F23" w:rsidP="00245F23">
      <w:pPr>
        <w:spacing w:after="0" w:line="240" w:lineRule="auto"/>
        <w:rPr>
          <w:rFonts w:eastAsia="Times"/>
        </w:rPr>
        <w:sectPr w:rsidR="00245F23" w:rsidRPr="00386401" w:rsidSect="00454A7D">
          <w:headerReference w:type="default" r:id="rId43"/>
          <w:headerReference w:type="first" r:id="rId44"/>
          <w:pgSz w:w="11906" w:h="16838" w:code="9"/>
          <w:pgMar w:top="1418" w:right="1304" w:bottom="1134" w:left="1304" w:header="680" w:footer="851" w:gutter="0"/>
          <w:cols w:space="340"/>
          <w:titlePg/>
          <w:docGrid w:linePitch="360"/>
        </w:sectPr>
      </w:pPr>
    </w:p>
    <w:p w14:paraId="0E13BDBE" w14:textId="63FABCA0" w:rsidR="00ED7C2C" w:rsidRPr="008843F0" w:rsidRDefault="002F062C" w:rsidP="002B2FD9">
      <w:pPr>
        <w:pStyle w:val="Figurecaption"/>
      </w:pPr>
      <w:r>
        <w:lastRenderedPageBreak/>
        <w:t>Figure 8</w:t>
      </w:r>
      <w:r w:rsidR="00ED7C2C" w:rsidRPr="008843F0">
        <w:t xml:space="preserve">: </w:t>
      </w:r>
      <w:r w:rsidR="00ED7C2C" w:rsidRPr="008843F0">
        <w:rPr>
          <w:rFonts w:eastAsiaTheme="minorHAnsi"/>
        </w:rPr>
        <w:t xml:space="preserve">Quality of </w:t>
      </w:r>
      <w:r w:rsidR="00ED7C2C" w:rsidRPr="002B2FD9">
        <w:rPr>
          <w:rFonts w:eastAsiaTheme="minorHAnsi"/>
        </w:rPr>
        <w:t>assessment</w:t>
      </w:r>
      <w:r w:rsidR="00ED7C2C" w:rsidRPr="008843F0">
        <w:rPr>
          <w:rFonts w:eastAsiaTheme="minorHAnsi"/>
        </w:rPr>
        <w:t xml:space="preserve"> process for </w:t>
      </w:r>
      <w:r w:rsidR="00C10662">
        <w:rPr>
          <w:rFonts w:eastAsiaTheme="minorHAnsi"/>
        </w:rPr>
        <w:t>all</w:t>
      </w:r>
      <w:r w:rsidR="00C10662" w:rsidRPr="008843F0">
        <w:rPr>
          <w:rFonts w:eastAsiaTheme="minorHAnsi"/>
        </w:rPr>
        <w:t xml:space="preserve"> </w:t>
      </w:r>
      <w:r w:rsidR="00ED7C2C" w:rsidRPr="008843F0">
        <w:rPr>
          <w:rFonts w:eastAsiaTheme="minorHAnsi"/>
        </w:rPr>
        <w:t>surgery</w:t>
      </w:r>
      <w:r w:rsidR="00C10662">
        <w:rPr>
          <w:rFonts w:eastAsiaTheme="minorHAnsi"/>
        </w:rPr>
        <w:t xml:space="preserve"> types</w:t>
      </w:r>
    </w:p>
    <w:p w14:paraId="2A0A5223" w14:textId="300187CF" w:rsidR="00245F23" w:rsidRPr="0038378B" w:rsidRDefault="00765E08" w:rsidP="002B2FD9">
      <w:pPr>
        <w:pStyle w:val="Body"/>
        <w:ind w:left="-284"/>
      </w:pPr>
      <w:r>
        <w:rPr>
          <w:noProof/>
          <w:lang w:eastAsia="en-AU"/>
        </w:rPr>
        <w:drawing>
          <wp:inline distT="0" distB="0" distL="0" distR="0" wp14:anchorId="484523DA" wp14:editId="0ADA963D">
            <wp:extent cx="9540758" cy="4207565"/>
            <wp:effectExtent l="0" t="0" r="0" b="0"/>
            <wp:docPr id="193" name="Picture 193" descr="Figure showing the assessment process as described in the 'Preoperative assessment quality'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Figure showing the assessment process as described in the 'Preoperative assessment quality' section. "/>
                    <pic:cNvPicPr/>
                  </pic:nvPicPr>
                  <pic:blipFill>
                    <a:blip r:embed="rId45"/>
                    <a:stretch>
                      <a:fillRect/>
                    </a:stretch>
                  </pic:blipFill>
                  <pic:spPr>
                    <a:xfrm>
                      <a:off x="0" y="0"/>
                      <a:ext cx="9554860" cy="4213784"/>
                    </a:xfrm>
                    <a:prstGeom prst="rect">
                      <a:avLst/>
                    </a:prstGeom>
                  </pic:spPr>
                </pic:pic>
              </a:graphicData>
            </a:graphic>
          </wp:inline>
        </w:drawing>
      </w:r>
    </w:p>
    <w:p w14:paraId="3067D07F" w14:textId="77777777" w:rsidR="00ED7C2C" w:rsidRDefault="00FA0D20" w:rsidP="00ED7C2C">
      <w:pPr>
        <w:pStyle w:val="Body"/>
      </w:pPr>
      <w:r w:rsidRPr="00ED7C2C">
        <w:br w:type="page"/>
      </w:r>
    </w:p>
    <w:p w14:paraId="11EEC626" w14:textId="065E25AC" w:rsidR="00ED7C2C" w:rsidRPr="00902453" w:rsidRDefault="00ED7C2C" w:rsidP="002B2FD9">
      <w:pPr>
        <w:pStyle w:val="Figurecaption"/>
      </w:pPr>
      <w:r w:rsidRPr="00902453">
        <w:lastRenderedPageBreak/>
        <w:t xml:space="preserve">Figure </w:t>
      </w:r>
      <w:r w:rsidR="006332DD">
        <w:t>9</w:t>
      </w:r>
      <w:r w:rsidRPr="00902453">
        <w:t xml:space="preserve">: Quality of </w:t>
      </w:r>
      <w:r w:rsidR="00C10662" w:rsidRPr="008843F0">
        <w:rPr>
          <w:rFonts w:eastAsiaTheme="minorHAnsi"/>
          <w:sz w:val="20"/>
        </w:rPr>
        <w:t>assessment process for orthopaedic surgery</w:t>
      </w:r>
      <w:r w:rsidR="00C10662" w:rsidRPr="00902453" w:rsidDel="00C10662">
        <w:t xml:space="preserve"> </w:t>
      </w:r>
    </w:p>
    <w:p w14:paraId="103447D2" w14:textId="7178F076" w:rsidR="00ED7C2C" w:rsidRPr="00902453" w:rsidRDefault="00C10662" w:rsidP="002B2FD9">
      <w:pPr>
        <w:pStyle w:val="Body"/>
        <w:ind w:left="-284"/>
      </w:pPr>
      <w:r>
        <w:rPr>
          <w:noProof/>
          <w:lang w:eastAsia="en-AU"/>
        </w:rPr>
        <w:drawing>
          <wp:inline distT="0" distB="0" distL="0" distR="0" wp14:anchorId="3FB1E58B" wp14:editId="68934FD6">
            <wp:extent cx="9751483" cy="4300331"/>
            <wp:effectExtent l="0" t="0" r="2540" b="5080"/>
            <wp:docPr id="194" name="Picture 194" descr="Figure showing the assessment process for orthopaedic surgery as described in the 'Preoperative assessment quality'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Figure showing the assessment process for orthopaedic surgery as described in the 'Preoperative assessment quality' section. "/>
                    <pic:cNvPicPr/>
                  </pic:nvPicPr>
                  <pic:blipFill>
                    <a:blip r:embed="rId46"/>
                    <a:stretch>
                      <a:fillRect/>
                    </a:stretch>
                  </pic:blipFill>
                  <pic:spPr>
                    <a:xfrm>
                      <a:off x="0" y="0"/>
                      <a:ext cx="9763016" cy="4305417"/>
                    </a:xfrm>
                    <a:prstGeom prst="rect">
                      <a:avLst/>
                    </a:prstGeom>
                  </pic:spPr>
                </pic:pic>
              </a:graphicData>
            </a:graphic>
          </wp:inline>
        </w:drawing>
      </w:r>
    </w:p>
    <w:p w14:paraId="40B3F69D" w14:textId="177B864F" w:rsidR="00ED7C2C" w:rsidRPr="00ED7C2C" w:rsidRDefault="00ED7C2C" w:rsidP="00ED7C2C">
      <w:pPr>
        <w:pStyle w:val="Body"/>
      </w:pPr>
      <w:r w:rsidRPr="00ED7C2C">
        <w:br w:type="page"/>
      </w:r>
    </w:p>
    <w:p w14:paraId="0C3E4CE2" w14:textId="1B2FCA3A" w:rsidR="00ED7C2C" w:rsidRPr="008843F0" w:rsidRDefault="006332DD" w:rsidP="002B2FD9">
      <w:pPr>
        <w:pStyle w:val="Figurecaption"/>
        <w:rPr>
          <w:sz w:val="20"/>
        </w:rPr>
      </w:pPr>
      <w:r>
        <w:lastRenderedPageBreak/>
        <w:t>Figure 10</w:t>
      </w:r>
      <w:r w:rsidR="00ED7C2C" w:rsidRPr="00902453">
        <w:t>: Quality of assessment process for gynaecology surgery</w:t>
      </w:r>
    </w:p>
    <w:p w14:paraId="78DC553E" w14:textId="63AB0DEF" w:rsidR="00ED7C2C" w:rsidRPr="00ED7C2C" w:rsidRDefault="006332DD" w:rsidP="002B2FD9">
      <w:pPr>
        <w:pStyle w:val="Body"/>
        <w:ind w:left="-284"/>
      </w:pPr>
      <w:r>
        <w:rPr>
          <w:noProof/>
          <w:lang w:eastAsia="en-AU"/>
        </w:rPr>
        <w:drawing>
          <wp:inline distT="0" distB="0" distL="0" distR="0" wp14:anchorId="34428442" wp14:editId="1F75B283">
            <wp:extent cx="9534939" cy="3902712"/>
            <wp:effectExtent l="0" t="0" r="3175" b="0"/>
            <wp:docPr id="195" name="Picture 195" descr="Figure showing the assessment process for gynaecology surgery as described in the 'Preoperative assessment quality'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Figure showing the assessment process for gynaecology surgery as described in the 'Preoperative assessment quality' section. "/>
                    <pic:cNvPicPr/>
                  </pic:nvPicPr>
                  <pic:blipFill>
                    <a:blip r:embed="rId47"/>
                    <a:stretch>
                      <a:fillRect/>
                    </a:stretch>
                  </pic:blipFill>
                  <pic:spPr>
                    <a:xfrm>
                      <a:off x="0" y="0"/>
                      <a:ext cx="9545980" cy="3907231"/>
                    </a:xfrm>
                    <a:prstGeom prst="rect">
                      <a:avLst/>
                    </a:prstGeom>
                  </pic:spPr>
                </pic:pic>
              </a:graphicData>
            </a:graphic>
          </wp:inline>
        </w:drawing>
      </w:r>
    </w:p>
    <w:p w14:paraId="02966B2B" w14:textId="0BF6A388" w:rsidR="00ED7C2C" w:rsidRDefault="00ED7C2C">
      <w:pPr>
        <w:spacing w:after="0" w:line="240" w:lineRule="auto"/>
        <w:rPr>
          <w:rFonts w:eastAsia="Times"/>
        </w:rPr>
      </w:pPr>
      <w:r>
        <w:br w:type="page"/>
      </w:r>
    </w:p>
    <w:p w14:paraId="610F1D10" w14:textId="77E1FDF2" w:rsidR="00ED7C2C" w:rsidRPr="00902453" w:rsidRDefault="006332DD" w:rsidP="002B2FD9">
      <w:pPr>
        <w:pStyle w:val="Figurecaption"/>
      </w:pPr>
      <w:r>
        <w:lastRenderedPageBreak/>
        <w:t>Figure 11:</w:t>
      </w:r>
      <w:r w:rsidR="00ED7C2C" w:rsidRPr="00902453">
        <w:t xml:space="preserve"> Quality of assessment process for major gastrointestinal surgery</w:t>
      </w:r>
    </w:p>
    <w:p w14:paraId="374A128F" w14:textId="53C82AB8" w:rsidR="00ED7C2C" w:rsidRPr="001B4D81" w:rsidRDefault="006332DD" w:rsidP="00ED7C2C">
      <w:pPr>
        <w:pStyle w:val="Body"/>
      </w:pPr>
      <w:r>
        <w:rPr>
          <w:noProof/>
          <w:lang w:eastAsia="en-AU"/>
        </w:rPr>
        <w:drawing>
          <wp:inline distT="0" distB="0" distL="0" distR="0" wp14:anchorId="40499692" wp14:editId="123DE472">
            <wp:extent cx="9238615" cy="3773805"/>
            <wp:effectExtent l="0" t="0" r="0" b="0"/>
            <wp:docPr id="196" name="Picture 196" descr="Figure showing the assessment process for major gastrointestinal surgery as described in the 'Preoperative assessment quality'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Figure showing the assessment process for major gastrointestinal surgery as described in the 'Preoperative assessment quality' section. "/>
                    <pic:cNvPicPr/>
                  </pic:nvPicPr>
                  <pic:blipFill>
                    <a:blip r:embed="rId48"/>
                    <a:stretch>
                      <a:fillRect/>
                    </a:stretch>
                  </pic:blipFill>
                  <pic:spPr>
                    <a:xfrm>
                      <a:off x="0" y="0"/>
                      <a:ext cx="9238615" cy="3773805"/>
                    </a:xfrm>
                    <a:prstGeom prst="rect">
                      <a:avLst/>
                    </a:prstGeom>
                  </pic:spPr>
                </pic:pic>
              </a:graphicData>
            </a:graphic>
          </wp:inline>
        </w:drawing>
      </w:r>
    </w:p>
    <w:p w14:paraId="0FEC521B" w14:textId="55C1CDDB" w:rsidR="00ED7C2C" w:rsidRDefault="00ED7C2C">
      <w:pPr>
        <w:spacing w:after="0" w:line="240" w:lineRule="auto"/>
        <w:rPr>
          <w:rFonts w:eastAsia="Times"/>
        </w:rPr>
      </w:pPr>
      <w:r>
        <w:br w:type="page"/>
      </w:r>
    </w:p>
    <w:p w14:paraId="2FCFB880" w14:textId="5E00A1A2" w:rsidR="00ED7C2C" w:rsidRPr="001B4D81" w:rsidRDefault="006332DD" w:rsidP="002B2FD9">
      <w:pPr>
        <w:pStyle w:val="Figurecaption"/>
      </w:pPr>
      <w:r>
        <w:lastRenderedPageBreak/>
        <w:t>Figure 12:</w:t>
      </w:r>
      <w:r w:rsidR="00ED7C2C" w:rsidRPr="001B4D81">
        <w:t xml:space="preserve"> Quality of assessment process for </w:t>
      </w:r>
      <w:r w:rsidR="00ED7C2C" w:rsidRPr="0038378B">
        <w:t>cardiothoracic</w:t>
      </w:r>
      <w:r w:rsidR="00ED7C2C" w:rsidRPr="001B4D81">
        <w:t xml:space="preserve"> surgery</w:t>
      </w:r>
    </w:p>
    <w:p w14:paraId="07031D49" w14:textId="39715BDD" w:rsidR="00ED7C2C" w:rsidRPr="00ED7C2C" w:rsidRDefault="006332DD" w:rsidP="002B2FD9">
      <w:pPr>
        <w:pStyle w:val="Body"/>
        <w:ind w:left="-284"/>
      </w:pPr>
      <w:r>
        <w:rPr>
          <w:noProof/>
          <w:lang w:eastAsia="en-AU"/>
        </w:rPr>
        <w:drawing>
          <wp:inline distT="0" distB="0" distL="0" distR="0" wp14:anchorId="5FB324DE" wp14:editId="134848B3">
            <wp:extent cx="9583626" cy="3810000"/>
            <wp:effectExtent l="0" t="0" r="5080" b="0"/>
            <wp:docPr id="197" name="Picture 197" descr="Figure showing the assessment process for cardiothoracic surgery as described in the 'Preoperative assessment quality'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Figure showing the assessment process for cardiothoracic surgery as described in the 'Preoperative assessment quality' section. "/>
                    <pic:cNvPicPr/>
                  </pic:nvPicPr>
                  <pic:blipFill>
                    <a:blip r:embed="rId49"/>
                    <a:stretch>
                      <a:fillRect/>
                    </a:stretch>
                  </pic:blipFill>
                  <pic:spPr>
                    <a:xfrm>
                      <a:off x="0" y="0"/>
                      <a:ext cx="9589282" cy="3812249"/>
                    </a:xfrm>
                    <a:prstGeom prst="rect">
                      <a:avLst/>
                    </a:prstGeom>
                  </pic:spPr>
                </pic:pic>
              </a:graphicData>
            </a:graphic>
          </wp:inline>
        </w:drawing>
      </w:r>
    </w:p>
    <w:p w14:paraId="11F596E0" w14:textId="19B652E2" w:rsidR="00ED7C2C" w:rsidRPr="00ED7C2C" w:rsidRDefault="00ED7C2C" w:rsidP="00ED7C2C">
      <w:pPr>
        <w:pStyle w:val="Body"/>
      </w:pPr>
      <w:r w:rsidRPr="00ED7C2C">
        <w:br w:type="page"/>
      </w:r>
    </w:p>
    <w:p w14:paraId="43FBDE11" w14:textId="77777777" w:rsidR="00245F23" w:rsidRPr="00ED7C2C" w:rsidRDefault="00245F23" w:rsidP="00ED7C2C">
      <w:pPr>
        <w:pStyle w:val="Body"/>
        <w:sectPr w:rsidR="00245F23" w:rsidRPr="00ED7C2C" w:rsidSect="002B2FD9">
          <w:headerReference w:type="even" r:id="rId50"/>
          <w:footerReference w:type="even" r:id="rId51"/>
          <w:footerReference w:type="default" r:id="rId52"/>
          <w:pgSz w:w="16817" w:h="11901" w:orient="landscape" w:code="9"/>
          <w:pgMar w:top="1304" w:right="1134" w:bottom="1304" w:left="1134" w:header="680" w:footer="851" w:gutter="0"/>
          <w:cols w:space="340"/>
          <w:titlePg/>
          <w:docGrid w:linePitch="360"/>
        </w:sectPr>
      </w:pPr>
    </w:p>
    <w:p w14:paraId="32A6C919" w14:textId="77777777" w:rsidR="00ED76BB" w:rsidRPr="008843F0" w:rsidRDefault="00ED76BB" w:rsidP="00ED76BB">
      <w:pPr>
        <w:pStyle w:val="Heading3"/>
      </w:pPr>
      <w:bookmarkStart w:id="75" w:name="_Toc72314128"/>
      <w:r w:rsidRPr="008843F0">
        <w:lastRenderedPageBreak/>
        <w:t xml:space="preserve">Preoperative </w:t>
      </w:r>
      <w:r w:rsidRPr="00DF1B38">
        <w:t>anaemia</w:t>
      </w:r>
      <w:r w:rsidRPr="008843F0">
        <w:t>: summary</w:t>
      </w:r>
      <w:bookmarkEnd w:id="75"/>
    </w:p>
    <w:p w14:paraId="437D8BA3" w14:textId="4CDE00FB" w:rsidR="00ED76BB" w:rsidRPr="008843F0" w:rsidRDefault="00ED76BB" w:rsidP="00ED76BB">
      <w:pPr>
        <w:pStyle w:val="Body"/>
      </w:pPr>
      <w:r w:rsidRPr="008843F0">
        <w:t>Overall, 291 (19 per cent) patients attending for elective surgical procedures in the groups audited did not have any reported preoperative screening for anaemia.</w:t>
      </w:r>
    </w:p>
    <w:p w14:paraId="4262D7F6" w14:textId="5D927DE8" w:rsidR="00ED76BB" w:rsidRPr="008843F0" w:rsidRDefault="00ED76BB" w:rsidP="00ED76BB">
      <w:pPr>
        <w:pStyle w:val="Body"/>
      </w:pPr>
      <w:r w:rsidRPr="008843F0">
        <w:t>A small number (53) of patients who were documented as screened had their testing on the day prior to surgery</w:t>
      </w:r>
      <w:r w:rsidR="002D6FF2">
        <w:t>.</w:t>
      </w:r>
      <w:r w:rsidRPr="008843F0">
        <w:t xml:space="preserve"> </w:t>
      </w:r>
      <w:r w:rsidR="002D6FF2">
        <w:t>This</w:t>
      </w:r>
      <w:r w:rsidRPr="008843F0">
        <w:t xml:space="preserve"> did not allow time for appropriate </w:t>
      </w:r>
      <w:r w:rsidR="002D6FF2" w:rsidRPr="008843F0">
        <w:t>follow</w:t>
      </w:r>
      <w:r w:rsidR="002D6FF2">
        <w:t>-</w:t>
      </w:r>
      <w:r w:rsidRPr="008843F0">
        <w:t>up investigations or treatment.</w:t>
      </w:r>
    </w:p>
    <w:p w14:paraId="6503D9D9" w14:textId="434E74A1" w:rsidR="00ED76BB" w:rsidRPr="008843F0" w:rsidRDefault="00ED76BB" w:rsidP="00ED76BB">
      <w:pPr>
        <w:pStyle w:val="Body"/>
      </w:pPr>
      <w:r w:rsidRPr="008843F0">
        <w:t xml:space="preserve">Of the groups in the audit, the gynaecology group had fewer patients documented as having preoperative assessment (70 per cent compared </w:t>
      </w:r>
      <w:r w:rsidR="002D6FF2">
        <w:t>with</w:t>
      </w:r>
      <w:r w:rsidR="002D6FF2" w:rsidRPr="008843F0">
        <w:t xml:space="preserve"> </w:t>
      </w:r>
      <w:r w:rsidRPr="008843F0">
        <w:t>83</w:t>
      </w:r>
      <w:r w:rsidR="002D6FF2">
        <w:t>–</w:t>
      </w:r>
      <w:r w:rsidRPr="008843F0">
        <w:t xml:space="preserve">85 per cent in the other groups). </w:t>
      </w:r>
      <w:r w:rsidR="002D6FF2">
        <w:t>These patients often have</w:t>
      </w:r>
      <w:r w:rsidR="002D6FF2" w:rsidRPr="008843F0">
        <w:t xml:space="preserve"> </w:t>
      </w:r>
      <w:r w:rsidRPr="008843F0">
        <w:t>ongoing blood loss</w:t>
      </w:r>
      <w:r w:rsidR="002D6FF2">
        <w:t>. They</w:t>
      </w:r>
      <w:r w:rsidRPr="008843F0">
        <w:t xml:space="preserve"> may benefit from assessment and the addition of supplements, such as iron, prior to surgery.</w:t>
      </w:r>
    </w:p>
    <w:p w14:paraId="2C5EE1F0" w14:textId="43CD5A9A" w:rsidR="002E6E41" w:rsidRDefault="00ED76BB" w:rsidP="00ED76BB">
      <w:pPr>
        <w:pStyle w:val="Body"/>
      </w:pPr>
      <w:r w:rsidRPr="008843F0">
        <w:t xml:space="preserve">While most patients had a documented FBE (1,198, 96 per cent), other tests that might assist in assessing anaemia and its cause were less frequently completed. </w:t>
      </w:r>
      <w:r w:rsidR="002E6E41">
        <w:t xml:space="preserve">For example: </w:t>
      </w:r>
    </w:p>
    <w:p w14:paraId="6CBF5E45" w14:textId="473D19DA" w:rsidR="002E6E41" w:rsidRDefault="002E6E41" w:rsidP="002B2FD9">
      <w:pPr>
        <w:pStyle w:val="Bullet1"/>
      </w:pPr>
      <w:r>
        <w:t>l</w:t>
      </w:r>
      <w:r w:rsidR="00ED76BB" w:rsidRPr="008843F0">
        <w:t xml:space="preserve">ess than half the patients (588, 47 per cent) had a ferritin </w:t>
      </w:r>
      <w:r>
        <w:t>test</w:t>
      </w:r>
    </w:p>
    <w:p w14:paraId="369DDDE5" w14:textId="0E15A1C1" w:rsidR="002E6E41" w:rsidRDefault="00ED76BB" w:rsidP="002B2FD9">
      <w:pPr>
        <w:pStyle w:val="Bullet1"/>
      </w:pPr>
      <w:r w:rsidRPr="008843F0">
        <w:t xml:space="preserve">343 (27 per cent) </w:t>
      </w:r>
      <w:r w:rsidR="002E6E41">
        <w:t xml:space="preserve">had a </w:t>
      </w:r>
      <w:r w:rsidRPr="008843F0">
        <w:t>CRP</w:t>
      </w:r>
      <w:r w:rsidR="002E6E41">
        <w:t xml:space="preserve"> test</w:t>
      </w:r>
    </w:p>
    <w:p w14:paraId="4A6F4271" w14:textId="77777777" w:rsidR="002E6E41" w:rsidRDefault="00ED76BB" w:rsidP="002B2FD9">
      <w:pPr>
        <w:pStyle w:val="Bullet1"/>
      </w:pPr>
      <w:r w:rsidRPr="008843F0">
        <w:t xml:space="preserve">880 (70 per cent) had renal function tests. </w:t>
      </w:r>
    </w:p>
    <w:p w14:paraId="5FC93FBC" w14:textId="75B22809" w:rsidR="00ED76BB" w:rsidRPr="008843F0" w:rsidRDefault="00ED76BB" w:rsidP="002B2FD9">
      <w:pPr>
        <w:pStyle w:val="Bodyafterbullets"/>
      </w:pPr>
      <w:r w:rsidRPr="008843F0">
        <w:t xml:space="preserve">Simply knowing </w:t>
      </w:r>
      <w:r w:rsidR="002E6E41">
        <w:t>a</w:t>
      </w:r>
      <w:r w:rsidR="002E6E41" w:rsidRPr="008843F0">
        <w:t xml:space="preserve"> </w:t>
      </w:r>
      <w:r w:rsidRPr="008843F0">
        <w:t xml:space="preserve">patient is </w:t>
      </w:r>
      <w:r w:rsidRPr="0038378B">
        <w:t>anaemic</w:t>
      </w:r>
      <w:r w:rsidRPr="008843F0">
        <w:t xml:space="preserve"> in the preoperative assessment does not help to determine the cause and best treatment</w:t>
      </w:r>
      <w:r w:rsidR="002E6E41">
        <w:t>.</w:t>
      </w:r>
      <w:r w:rsidR="002E6E41" w:rsidRPr="008843F0">
        <w:t xml:space="preserve"> </w:t>
      </w:r>
      <w:r w:rsidR="002E6E41">
        <w:t>It</w:t>
      </w:r>
      <w:r w:rsidR="002E6E41" w:rsidRPr="008843F0">
        <w:t xml:space="preserve"> </w:t>
      </w:r>
      <w:r w:rsidRPr="008843F0">
        <w:t>may</w:t>
      </w:r>
      <w:r w:rsidR="002E6E41">
        <w:t xml:space="preserve"> also</w:t>
      </w:r>
      <w:r w:rsidRPr="008843F0">
        <w:t xml:space="preserve"> lead to transfusion </w:t>
      </w:r>
      <w:r w:rsidR="002E6E41">
        <w:t>before other more appropriate management strategies have been considered.</w:t>
      </w:r>
      <w:r w:rsidRPr="008843F0">
        <w:t xml:space="preserve"> </w:t>
      </w:r>
      <w:r w:rsidR="002E6E41">
        <w:t>This is why it is vital to perform</w:t>
      </w:r>
      <w:r w:rsidRPr="008843F0">
        <w:t xml:space="preserve"> other pathology testing.</w:t>
      </w:r>
    </w:p>
    <w:p w14:paraId="579ED118" w14:textId="3FF41EA0" w:rsidR="002E6E41" w:rsidRDefault="00ED76BB" w:rsidP="00ED76BB">
      <w:pPr>
        <w:pStyle w:val="Body"/>
      </w:pPr>
      <w:r w:rsidRPr="008843F0">
        <w:t xml:space="preserve">Documented treatment showed </w:t>
      </w:r>
      <w:r w:rsidR="002E6E41">
        <w:t>5</w:t>
      </w:r>
      <w:r w:rsidR="002E6E41" w:rsidRPr="008843F0">
        <w:t xml:space="preserve"> </w:t>
      </w:r>
      <w:r w:rsidRPr="008843F0">
        <w:t xml:space="preserve">(5 per cent) patients </w:t>
      </w:r>
      <w:r w:rsidR="002E6E41">
        <w:t xml:space="preserve">tested more </w:t>
      </w:r>
      <w:r w:rsidR="002E6E41" w:rsidRPr="00B1105F">
        <w:t>tha</w:t>
      </w:r>
      <w:r w:rsidR="00B1105F" w:rsidRPr="00B1105F">
        <w:t>n</w:t>
      </w:r>
      <w:r w:rsidRPr="00B1105F">
        <w:t xml:space="preserve"> 4 weeks</w:t>
      </w:r>
      <w:r w:rsidRPr="008843F0">
        <w:t xml:space="preserve"> </w:t>
      </w:r>
      <w:r w:rsidR="002E6E41">
        <w:t>before</w:t>
      </w:r>
      <w:r w:rsidR="002E6E41" w:rsidRPr="008843F0">
        <w:t xml:space="preserve"> </w:t>
      </w:r>
      <w:r w:rsidRPr="008843F0">
        <w:t xml:space="preserve">surgery were given a transfusion, and 8 (6 per cent) patients with less than 4 weeks to surgery also received </w:t>
      </w:r>
      <w:r w:rsidR="005157DF" w:rsidRPr="008843F0">
        <w:t>an</w:t>
      </w:r>
      <w:r w:rsidRPr="008843F0">
        <w:t xml:space="preserve"> RBC transfusion. </w:t>
      </w:r>
    </w:p>
    <w:p w14:paraId="469EEA56" w14:textId="7D7AC8EE" w:rsidR="00ED76BB" w:rsidRPr="008843F0" w:rsidRDefault="00ED76BB" w:rsidP="00ED76BB">
      <w:pPr>
        <w:pStyle w:val="Body"/>
      </w:pPr>
      <w:r w:rsidRPr="008843F0">
        <w:t>We are unable to determine the appropriateness of these transfusions</w:t>
      </w:r>
      <w:r w:rsidR="002E6E41">
        <w:t>.</w:t>
      </w:r>
      <w:r w:rsidR="002E6E41" w:rsidRPr="008843F0">
        <w:t xml:space="preserve"> </w:t>
      </w:r>
      <w:r w:rsidR="002E6E41">
        <w:t>I</w:t>
      </w:r>
      <w:r w:rsidR="002E6E41" w:rsidRPr="008843F0">
        <w:t xml:space="preserve">n </w:t>
      </w:r>
      <w:r w:rsidRPr="008843F0">
        <w:t>patients with symptomatic anaemia</w:t>
      </w:r>
      <w:r w:rsidR="002E6E41">
        <w:t>,</w:t>
      </w:r>
      <w:r w:rsidRPr="008843F0">
        <w:t xml:space="preserve"> transfusion may be appropriate. However, for </w:t>
      </w:r>
      <w:r w:rsidR="002E6E41">
        <w:t>8</w:t>
      </w:r>
      <w:r w:rsidR="002E6E41" w:rsidRPr="008843F0">
        <w:t xml:space="preserve"> </w:t>
      </w:r>
      <w:r w:rsidRPr="008843F0">
        <w:t>(62 per cent) of those transfused, this was the only treatment they received.</w:t>
      </w:r>
    </w:p>
    <w:p w14:paraId="650719A8" w14:textId="08B72952" w:rsidR="002E6E41" w:rsidRDefault="00ED76BB" w:rsidP="00ED76BB">
      <w:pPr>
        <w:pStyle w:val="Body"/>
      </w:pPr>
      <w:r w:rsidRPr="008843F0">
        <w:t xml:space="preserve">Health services recognised </w:t>
      </w:r>
      <w:r w:rsidR="002E6E41">
        <w:t xml:space="preserve">only </w:t>
      </w:r>
      <w:r w:rsidRPr="008843F0">
        <w:t>a very small proportion of patients (96, 8 per cent) as anaemic based on Module 2 guidelines</w:t>
      </w:r>
      <w:r w:rsidR="002E6E41">
        <w:t>.</w:t>
      </w:r>
      <w:r w:rsidR="002E6E41" w:rsidRPr="008843F0">
        <w:t xml:space="preserve"> </w:t>
      </w:r>
      <w:r w:rsidR="002E6E41">
        <w:t>Despite this,</w:t>
      </w:r>
      <w:r w:rsidR="002E6E41" w:rsidRPr="008843F0">
        <w:t xml:space="preserve"> </w:t>
      </w:r>
      <w:r w:rsidRPr="008843F0">
        <w:t>an additional 20 per cent of all patients</w:t>
      </w:r>
      <w:r w:rsidRPr="008843F0" w:rsidDel="00413CF4">
        <w:t xml:space="preserve"> </w:t>
      </w:r>
      <w:r w:rsidRPr="008843F0">
        <w:t xml:space="preserve">(248) should have been recognised and managed to reduce risk. </w:t>
      </w:r>
    </w:p>
    <w:p w14:paraId="5990B351" w14:textId="3CE5AE1E" w:rsidR="00ED76BB" w:rsidRPr="008843F0" w:rsidRDefault="00ED76BB" w:rsidP="00ED76BB">
      <w:pPr>
        <w:pStyle w:val="Body"/>
      </w:pPr>
      <w:r w:rsidRPr="008843F0">
        <w:t xml:space="preserve">Hb and ferritin treatment thresholds </w:t>
      </w:r>
      <w:r w:rsidR="00024EE2">
        <w:t xml:space="preserve">may differ </w:t>
      </w:r>
      <w:r w:rsidRPr="008843F0">
        <w:t xml:space="preserve">(Tables </w:t>
      </w:r>
      <w:r w:rsidR="002E6E41">
        <w:t>6–8</w:t>
      </w:r>
      <w:r w:rsidR="002E6E41" w:rsidRPr="008843F0">
        <w:t>)</w:t>
      </w:r>
      <w:r w:rsidR="002E6E41">
        <w:t>.</w:t>
      </w:r>
      <w:r w:rsidR="002E6E41" w:rsidRPr="008843F0">
        <w:t xml:space="preserve"> </w:t>
      </w:r>
      <w:r w:rsidR="002E6E41">
        <w:t>H</w:t>
      </w:r>
      <w:r w:rsidR="002E6E41" w:rsidRPr="008843F0">
        <w:t>owever</w:t>
      </w:r>
      <w:r w:rsidR="002E6E41">
        <w:t>,</w:t>
      </w:r>
      <w:r w:rsidR="002E6E41" w:rsidRPr="008843F0">
        <w:t xml:space="preserve"> </w:t>
      </w:r>
      <w:r w:rsidRPr="008843F0">
        <w:t>in the preoperative setting</w:t>
      </w:r>
      <w:r w:rsidR="002E6E41">
        <w:t>,</w:t>
      </w:r>
      <w:r w:rsidRPr="008843F0">
        <w:t xml:space="preserve"> patients should be fit for surgery</w:t>
      </w:r>
      <w:r w:rsidR="00024EE2">
        <w:t>,</w:t>
      </w:r>
      <w:r w:rsidRPr="008843F0">
        <w:t xml:space="preserve"> and many patients were not provided the opportunity to improve their Hb and/or iron prior to surgery.</w:t>
      </w:r>
    </w:p>
    <w:p w14:paraId="3CDA12C3" w14:textId="77777777" w:rsidR="00024EE2" w:rsidRDefault="00ED76BB" w:rsidP="00ED76BB">
      <w:pPr>
        <w:pStyle w:val="Body"/>
      </w:pPr>
      <w:r w:rsidRPr="008843F0">
        <w:t xml:space="preserve">Even where treatment of anaemia or iron deficiency was undertaken (n = 68), evaluation of the effect of that treatment only occurred in 48 patients (71 per cent), with 15 (22 per cent) showing resolution of anaemia or iron deficiency. </w:t>
      </w:r>
    </w:p>
    <w:p w14:paraId="1F3C0E9B" w14:textId="3723BC67" w:rsidR="00ED76BB" w:rsidRPr="008843F0" w:rsidRDefault="00ED76BB" w:rsidP="00ED76BB">
      <w:pPr>
        <w:pStyle w:val="Body"/>
      </w:pPr>
      <w:r w:rsidRPr="008843F0">
        <w:t>For those found to be iron deplete</w:t>
      </w:r>
      <w:r w:rsidR="00024EE2">
        <w:t xml:space="preserve"> but </w:t>
      </w:r>
      <w:r w:rsidRPr="008843F0">
        <w:t>without anaemia, 13 were treated, with 6 (46 per cent) re</w:t>
      </w:r>
      <w:r w:rsidR="00024EE2">
        <w:t>-</w:t>
      </w:r>
      <w:r w:rsidRPr="008843F0">
        <w:t xml:space="preserve">evaluated and 3 (23 per cent) found to have resolution of iron reserves. </w:t>
      </w:r>
    </w:p>
    <w:p w14:paraId="63E19651" w14:textId="70FF8A04" w:rsidR="00024EE2" w:rsidRDefault="00ED76BB" w:rsidP="00ED76BB">
      <w:pPr>
        <w:pStyle w:val="Body"/>
      </w:pPr>
      <w:r w:rsidRPr="008843F0">
        <w:t xml:space="preserve">This leaves many patients attending for major surgical procedures still at risk of anaemia and potentially transfusion in the intra and postoperative periods (Figures </w:t>
      </w:r>
      <w:r w:rsidR="00024EE2">
        <w:t>8–12</w:t>
      </w:r>
      <w:r w:rsidRPr="008843F0">
        <w:t xml:space="preserve">). </w:t>
      </w:r>
    </w:p>
    <w:p w14:paraId="5E092487" w14:textId="10CB5752" w:rsidR="00ED76BB" w:rsidRDefault="00ED76BB" w:rsidP="00ED76BB">
      <w:pPr>
        <w:pStyle w:val="Body"/>
      </w:pPr>
      <w:r w:rsidRPr="008843F0">
        <w:t>This highlights that health services have much work to do to make PBM a routine part of the preoperative care for patients.</w:t>
      </w:r>
    </w:p>
    <w:p w14:paraId="3A5EA1A7" w14:textId="6BA0BA5F" w:rsidR="00ED76BB" w:rsidRDefault="00ED76BB">
      <w:pPr>
        <w:spacing w:after="0" w:line="240" w:lineRule="auto"/>
        <w:rPr>
          <w:rFonts w:eastAsia="Times"/>
        </w:rPr>
      </w:pPr>
      <w:r>
        <w:br w:type="page"/>
      </w:r>
    </w:p>
    <w:p w14:paraId="7BA16419" w14:textId="77777777" w:rsidR="00ED76BB" w:rsidRPr="008843F0" w:rsidRDefault="00ED76BB" w:rsidP="00ED76BB">
      <w:pPr>
        <w:pStyle w:val="Heading2"/>
      </w:pPr>
      <w:bookmarkStart w:id="76" w:name="_Toc72314129"/>
      <w:bookmarkStart w:id="77" w:name="_Toc78958789"/>
      <w:r w:rsidRPr="008843F0">
        <w:lastRenderedPageBreak/>
        <w:t>Intraoperative interventions</w:t>
      </w:r>
      <w:bookmarkEnd w:id="76"/>
      <w:bookmarkEnd w:id="77"/>
    </w:p>
    <w:p w14:paraId="7989FDED" w14:textId="48AE6C18" w:rsidR="00ED76BB" w:rsidRDefault="00ED76BB" w:rsidP="00ED76BB">
      <w:pPr>
        <w:pStyle w:val="Body"/>
      </w:pPr>
      <w:r w:rsidRPr="008843F0">
        <w:t xml:space="preserve">For the </w:t>
      </w:r>
      <w:r w:rsidRPr="008843F0">
        <w:rPr>
          <w:b/>
        </w:rPr>
        <w:t>purposes of this audit,</w:t>
      </w:r>
      <w:r w:rsidRPr="008843F0">
        <w:t xml:space="preserve"> quality intraoperative patient blood management (minimise blood loss) was based on Module 2 recommendations and </w:t>
      </w:r>
      <w:r w:rsidRPr="00DF1B38">
        <w:t>practice</w:t>
      </w:r>
      <w:r w:rsidRPr="008843F0">
        <w:t xml:space="preserve"> points (Appendix 6) and measured as defined </w:t>
      </w:r>
      <w:r w:rsidR="00024EE2">
        <w:t>in Table 17.</w:t>
      </w:r>
    </w:p>
    <w:p w14:paraId="503845A7" w14:textId="041C05A1" w:rsidR="00024EE2" w:rsidRPr="008843F0" w:rsidRDefault="00024EE2" w:rsidP="002B2FD9">
      <w:pPr>
        <w:pStyle w:val="Tablecaption"/>
      </w:pPr>
      <w:r>
        <w:t>Table 1</w:t>
      </w:r>
      <w:r w:rsidR="006F4FEC">
        <w:t>7</w:t>
      </w:r>
      <w:r>
        <w:t xml:space="preserve">: Module 2 recommendations </w:t>
      </w:r>
      <w:r w:rsidRPr="0038378B">
        <w:t>and</w:t>
      </w:r>
      <w:r>
        <w:t xml:space="preserve"> measures</w:t>
      </w:r>
      <w:r w:rsidR="00211F83">
        <w:t xml:space="preserve"> for intraoperative interventions</w:t>
      </w:r>
    </w:p>
    <w:tbl>
      <w:tblPr>
        <w:tblStyle w:val="TableGrid5"/>
        <w:tblW w:w="0" w:type="auto"/>
        <w:tblLook w:val="04A0" w:firstRow="1" w:lastRow="0" w:firstColumn="1" w:lastColumn="0" w:noHBand="0" w:noVBand="1"/>
      </w:tblPr>
      <w:tblGrid>
        <w:gridCol w:w="1823"/>
        <w:gridCol w:w="4005"/>
        <w:gridCol w:w="3352"/>
      </w:tblGrid>
      <w:tr w:rsidR="00ED76BB" w:rsidRPr="008843F0" w14:paraId="613FB26D" w14:textId="77777777" w:rsidTr="002B2FD9">
        <w:tc>
          <w:tcPr>
            <w:tcW w:w="1823" w:type="dxa"/>
          </w:tcPr>
          <w:p w14:paraId="3DDF6E33" w14:textId="77777777" w:rsidR="00ED76BB" w:rsidRPr="00DF1B38" w:rsidRDefault="00ED76BB" w:rsidP="003C2836">
            <w:pPr>
              <w:pStyle w:val="Tablecolhead"/>
            </w:pPr>
            <w:r w:rsidRPr="00DF1B38">
              <w:t>Process</w:t>
            </w:r>
          </w:p>
        </w:tc>
        <w:tc>
          <w:tcPr>
            <w:tcW w:w="4005" w:type="dxa"/>
          </w:tcPr>
          <w:p w14:paraId="3F93732B" w14:textId="77777777" w:rsidR="00ED76BB" w:rsidRPr="00DF1B38" w:rsidRDefault="00ED76BB" w:rsidP="003C2836">
            <w:pPr>
              <w:pStyle w:val="Tablecolhead"/>
            </w:pPr>
            <w:r w:rsidRPr="00DF1B38">
              <w:t>Description</w:t>
            </w:r>
          </w:p>
        </w:tc>
        <w:tc>
          <w:tcPr>
            <w:tcW w:w="3352" w:type="dxa"/>
          </w:tcPr>
          <w:p w14:paraId="16B60DE4" w14:textId="77777777" w:rsidR="00ED76BB" w:rsidRPr="00DF1B38" w:rsidRDefault="00ED76BB" w:rsidP="003C2836">
            <w:pPr>
              <w:pStyle w:val="Tablecolhead"/>
            </w:pPr>
            <w:r w:rsidRPr="00DF1B38">
              <w:t>Measure</w:t>
            </w:r>
          </w:p>
        </w:tc>
      </w:tr>
      <w:tr w:rsidR="00ED76BB" w:rsidRPr="008843F0" w14:paraId="01659A6F" w14:textId="77777777" w:rsidTr="002B2FD9">
        <w:tc>
          <w:tcPr>
            <w:tcW w:w="1823" w:type="dxa"/>
          </w:tcPr>
          <w:p w14:paraId="63ACEE31" w14:textId="77777777" w:rsidR="00ED76BB" w:rsidRPr="00DF1B38" w:rsidRDefault="00ED76BB" w:rsidP="003C2836">
            <w:pPr>
              <w:pStyle w:val="Tabletext"/>
            </w:pPr>
            <w:r w:rsidRPr="00DF1B38">
              <w:t>Blood conservation strategies</w:t>
            </w:r>
          </w:p>
        </w:tc>
        <w:tc>
          <w:tcPr>
            <w:tcW w:w="4005" w:type="dxa"/>
          </w:tcPr>
          <w:p w14:paraId="7C3AAB88" w14:textId="632FA485" w:rsidR="00ED76BB" w:rsidRPr="00DF1B38" w:rsidRDefault="00ED76BB" w:rsidP="003C2836">
            <w:pPr>
              <w:pStyle w:val="Tabletext"/>
            </w:pPr>
            <w:r w:rsidRPr="00DF1B38">
              <w:t>In patients undergoing surgery, prevent hypothermia</w:t>
            </w:r>
            <w:r w:rsidR="00024EE2">
              <w:t xml:space="preserve"> and consider d</w:t>
            </w:r>
            <w:r w:rsidRPr="00DF1B38">
              <w:t>eliberate induced hypotension, as well as acute normovolemic haemodilution</w:t>
            </w:r>
            <w:r w:rsidR="00024EE2">
              <w:t>.</w:t>
            </w:r>
          </w:p>
          <w:p w14:paraId="71D38986" w14:textId="77777777" w:rsidR="00ED76BB" w:rsidRPr="00DF1B38" w:rsidRDefault="00ED76BB" w:rsidP="003C2836">
            <w:pPr>
              <w:pStyle w:val="Tabletext"/>
            </w:pPr>
          </w:p>
          <w:p w14:paraId="5B4FC31A" w14:textId="77777777" w:rsidR="00ED76BB" w:rsidRPr="00DF1B38" w:rsidRDefault="00ED76BB" w:rsidP="003C2836">
            <w:pPr>
              <w:pStyle w:val="Tabletext"/>
            </w:pPr>
            <w:r w:rsidRPr="00DF1B38">
              <w:t>Module 2: R12, R13, R14</w:t>
            </w:r>
          </w:p>
        </w:tc>
        <w:tc>
          <w:tcPr>
            <w:tcW w:w="3352" w:type="dxa"/>
          </w:tcPr>
          <w:p w14:paraId="1DFCAC2A" w14:textId="145C007C" w:rsidR="00ED76BB" w:rsidRPr="00DF1B38" w:rsidRDefault="00ED76BB" w:rsidP="003C2836">
            <w:pPr>
              <w:pStyle w:val="Tabletext"/>
            </w:pPr>
            <w:r w:rsidRPr="00DF1B38">
              <w:t>Blood conservation strategies documented. Please note: some strategies may not be routinely documented in medical notes.</w:t>
            </w:r>
          </w:p>
        </w:tc>
      </w:tr>
      <w:tr w:rsidR="00ED76BB" w:rsidRPr="008843F0" w14:paraId="166B20A2" w14:textId="77777777" w:rsidTr="002B2FD9">
        <w:tc>
          <w:tcPr>
            <w:tcW w:w="1823" w:type="dxa"/>
          </w:tcPr>
          <w:p w14:paraId="31E23944" w14:textId="0A43582B" w:rsidR="00ED76BB" w:rsidRPr="00DF1B38" w:rsidRDefault="00024EE2" w:rsidP="003C2836">
            <w:pPr>
              <w:pStyle w:val="Tabletext"/>
            </w:pPr>
            <w:r w:rsidRPr="00DF1B38">
              <w:t>Blood conservation strategies</w:t>
            </w:r>
          </w:p>
        </w:tc>
        <w:tc>
          <w:tcPr>
            <w:tcW w:w="4005" w:type="dxa"/>
          </w:tcPr>
          <w:p w14:paraId="4EBBAE3C" w14:textId="4B30C7FB" w:rsidR="00ED76BB" w:rsidRPr="00DF1B38" w:rsidRDefault="00ED76BB" w:rsidP="003C2836">
            <w:pPr>
              <w:pStyle w:val="Tabletext"/>
            </w:pPr>
            <w:r w:rsidRPr="00DF1B38">
              <w:t>In patients undergoing cardiac surgery</w:t>
            </w:r>
            <w:r w:rsidR="00024EE2">
              <w:t>, consider</w:t>
            </w:r>
            <w:r w:rsidRPr="00DF1B38">
              <w:t xml:space="preserve"> the use of TEG or other </w:t>
            </w:r>
            <w:r w:rsidR="00024EE2" w:rsidRPr="00DF1B38">
              <w:t>near</w:t>
            </w:r>
            <w:r w:rsidR="00024EE2">
              <w:t>-</w:t>
            </w:r>
            <w:r w:rsidRPr="00DF1B38">
              <w:t>patient testing</w:t>
            </w:r>
            <w:r w:rsidR="00024EE2">
              <w:t>.</w:t>
            </w:r>
          </w:p>
          <w:p w14:paraId="1118128C" w14:textId="77777777" w:rsidR="00ED76BB" w:rsidRPr="00DF1B38" w:rsidRDefault="00ED76BB" w:rsidP="003C2836">
            <w:pPr>
              <w:pStyle w:val="Tabletext"/>
            </w:pPr>
            <w:r w:rsidRPr="00DF1B38">
              <w:t>Module 2: R16</w:t>
            </w:r>
          </w:p>
        </w:tc>
        <w:tc>
          <w:tcPr>
            <w:tcW w:w="3352" w:type="dxa"/>
          </w:tcPr>
          <w:p w14:paraId="638C3F74" w14:textId="2974C060" w:rsidR="00ED76BB" w:rsidRPr="00DF1B38" w:rsidRDefault="00ED76BB" w:rsidP="003C2836">
            <w:pPr>
              <w:pStyle w:val="Tabletext"/>
            </w:pPr>
            <w:r w:rsidRPr="00DF1B38">
              <w:t>TEG recorded as being used</w:t>
            </w:r>
            <w:r w:rsidR="00024EE2">
              <w:t>.</w:t>
            </w:r>
          </w:p>
        </w:tc>
      </w:tr>
      <w:tr w:rsidR="00ED76BB" w:rsidRPr="008843F0" w14:paraId="4BABB751" w14:textId="77777777" w:rsidTr="002B2FD9">
        <w:tc>
          <w:tcPr>
            <w:tcW w:w="1823" w:type="dxa"/>
          </w:tcPr>
          <w:p w14:paraId="26CF9203" w14:textId="549A32E6" w:rsidR="00ED76BB" w:rsidRPr="00DF1B38" w:rsidRDefault="00024EE2" w:rsidP="003C2836">
            <w:pPr>
              <w:pStyle w:val="Tabletext"/>
            </w:pPr>
            <w:r w:rsidRPr="00DF1B38">
              <w:t>Blood conservation strategies</w:t>
            </w:r>
          </w:p>
        </w:tc>
        <w:tc>
          <w:tcPr>
            <w:tcW w:w="4005" w:type="dxa"/>
          </w:tcPr>
          <w:p w14:paraId="0421488C" w14:textId="3DB98A3D" w:rsidR="00ED76BB" w:rsidRPr="00DF1B38" w:rsidRDefault="00ED76BB" w:rsidP="003C2836">
            <w:pPr>
              <w:pStyle w:val="Tabletext"/>
            </w:pPr>
            <w:r w:rsidRPr="00DF1B38">
              <w:t>Use of tranexamic acid (TXA) is recommended</w:t>
            </w:r>
            <w:r w:rsidR="00024EE2">
              <w:t>.</w:t>
            </w:r>
          </w:p>
          <w:p w14:paraId="0BE8D2F8" w14:textId="77777777" w:rsidR="00ED76BB" w:rsidRPr="00DF1B38" w:rsidRDefault="00ED76BB" w:rsidP="003C2836">
            <w:pPr>
              <w:pStyle w:val="Tabletext"/>
            </w:pPr>
            <w:r w:rsidRPr="00DF1B38">
              <w:t>Module 2: R17, R18</w:t>
            </w:r>
          </w:p>
        </w:tc>
        <w:tc>
          <w:tcPr>
            <w:tcW w:w="3352" w:type="dxa"/>
          </w:tcPr>
          <w:p w14:paraId="7DF218BB" w14:textId="2882D1DB" w:rsidR="00ED76BB" w:rsidRPr="00DF1B38" w:rsidRDefault="00ED76BB" w:rsidP="003C2836">
            <w:pPr>
              <w:pStyle w:val="Tabletext"/>
            </w:pPr>
            <w:r w:rsidRPr="00DF1B38">
              <w:t>TXA reported to be used</w:t>
            </w:r>
            <w:r w:rsidR="00024EE2">
              <w:t>.</w:t>
            </w:r>
            <w:r w:rsidRPr="00DF1B38">
              <w:t xml:space="preserve"> </w:t>
            </w:r>
          </w:p>
        </w:tc>
      </w:tr>
      <w:tr w:rsidR="00ED76BB" w:rsidRPr="008843F0" w14:paraId="6D6CE6EB" w14:textId="77777777" w:rsidTr="002B2FD9">
        <w:tc>
          <w:tcPr>
            <w:tcW w:w="1823" w:type="dxa"/>
          </w:tcPr>
          <w:p w14:paraId="15A48229" w14:textId="77777777" w:rsidR="00ED76BB" w:rsidRPr="00DF1B38" w:rsidRDefault="00ED76BB" w:rsidP="003C2836">
            <w:pPr>
              <w:pStyle w:val="Tabletext"/>
            </w:pPr>
            <w:r w:rsidRPr="00DF1B38">
              <w:t>Cell salvage</w:t>
            </w:r>
          </w:p>
        </w:tc>
        <w:tc>
          <w:tcPr>
            <w:tcW w:w="4005" w:type="dxa"/>
          </w:tcPr>
          <w:p w14:paraId="6322094D" w14:textId="77777777" w:rsidR="00ED76BB" w:rsidRPr="00DF1B38" w:rsidRDefault="00ED76BB" w:rsidP="003C2836">
            <w:pPr>
              <w:pStyle w:val="Tabletext"/>
            </w:pPr>
            <w:r w:rsidRPr="00DF1B38">
              <w:t>In patients undergoing surgery in which substantial blood loss is anticipated, intraoperative cell salvage is recommended.</w:t>
            </w:r>
          </w:p>
          <w:p w14:paraId="2BCBC7D5" w14:textId="77777777" w:rsidR="00ED76BB" w:rsidRPr="00DF1B38" w:rsidRDefault="00ED76BB" w:rsidP="003C2836">
            <w:pPr>
              <w:pStyle w:val="Tabletext"/>
            </w:pPr>
            <w:r w:rsidRPr="00DF1B38">
              <w:t>Module 2: R15</w:t>
            </w:r>
          </w:p>
        </w:tc>
        <w:tc>
          <w:tcPr>
            <w:tcW w:w="3352" w:type="dxa"/>
          </w:tcPr>
          <w:p w14:paraId="43BE0FB2" w14:textId="11F90B2C" w:rsidR="00ED76BB" w:rsidRPr="00DF1B38" w:rsidRDefault="00ED76BB" w:rsidP="003C2836">
            <w:pPr>
              <w:pStyle w:val="Tabletext"/>
            </w:pPr>
            <w:r w:rsidRPr="00DF1B38">
              <w:t>Cell salvage reported to be used</w:t>
            </w:r>
            <w:r w:rsidR="00024EE2">
              <w:t>.</w:t>
            </w:r>
          </w:p>
        </w:tc>
      </w:tr>
    </w:tbl>
    <w:p w14:paraId="015FFF00" w14:textId="7C2C37FD" w:rsidR="00024EE2" w:rsidRDefault="00ED76BB" w:rsidP="00ED76BB">
      <w:pPr>
        <w:pStyle w:val="Bodyaftertablefigure"/>
      </w:pPr>
      <w:r w:rsidRPr="008843F0">
        <w:t>Patients who are anaemic on the day of surgery are more likely to need an allogeneic red blood cell transfusion than those who have a Hb concentration within normal limits</w:t>
      </w:r>
      <w:r w:rsidR="00024EE2">
        <w:t>.</w:t>
      </w:r>
    </w:p>
    <w:p w14:paraId="05E3BB9D" w14:textId="63279205" w:rsidR="00ED76BB" w:rsidRPr="008843F0" w:rsidRDefault="00024EE2" w:rsidP="00ED76BB">
      <w:pPr>
        <w:pStyle w:val="Bodyaftertablefigure"/>
      </w:pPr>
      <w:r>
        <w:t>Table 18</w:t>
      </w:r>
      <w:r w:rsidR="00ED76BB" w:rsidRPr="008843F0">
        <w:t xml:space="preserve"> demonstrates that less </w:t>
      </w:r>
      <w:r w:rsidR="00ED76BB" w:rsidRPr="00DF1B38">
        <w:t>than</w:t>
      </w:r>
      <w:r w:rsidR="00ED76BB" w:rsidRPr="008843F0">
        <w:t xml:space="preserve"> half the patients in the audit population had a Hb taken on the day of surgery. Of the patients who did have Hb taken, 188 (</w:t>
      </w:r>
      <w:r w:rsidR="00260A02">
        <w:t>28</w:t>
      </w:r>
      <w:r w:rsidR="00ED76BB" w:rsidRPr="008843F0">
        <w:t xml:space="preserve"> per cent) were anaemic as defined by Module 2, exposing them to an increased risk of morbidity and mortality.</w:t>
      </w:r>
    </w:p>
    <w:p w14:paraId="0CA11B6E" w14:textId="57F83D29" w:rsidR="00ED76BB" w:rsidRPr="00DF1B38" w:rsidRDefault="00024EE2" w:rsidP="002B2FD9">
      <w:pPr>
        <w:pStyle w:val="Tablecaption"/>
      </w:pPr>
      <w:r>
        <w:t>Table 1</w:t>
      </w:r>
      <w:r w:rsidR="006F4FEC">
        <w:t>8</w:t>
      </w:r>
      <w:r>
        <w:t>:</w:t>
      </w:r>
      <w:r w:rsidR="00ED76BB" w:rsidRPr="008843F0">
        <w:t xml:space="preserve"> Day of surgery (DoS) haemoglobin results by surgery type</w:t>
      </w:r>
    </w:p>
    <w:tbl>
      <w:tblPr>
        <w:tblStyle w:val="TableGrid5"/>
        <w:tblW w:w="0" w:type="auto"/>
        <w:tblLook w:val="04A0" w:firstRow="1" w:lastRow="0" w:firstColumn="1" w:lastColumn="0" w:noHBand="0" w:noVBand="1"/>
      </w:tblPr>
      <w:tblGrid>
        <w:gridCol w:w="2696"/>
        <w:gridCol w:w="1606"/>
        <w:gridCol w:w="1637"/>
        <w:gridCol w:w="1597"/>
        <w:gridCol w:w="1416"/>
      </w:tblGrid>
      <w:tr w:rsidR="00ED76BB" w:rsidRPr="008843F0" w14:paraId="6B1F48DE" w14:textId="77777777" w:rsidTr="002B2FD9">
        <w:tc>
          <w:tcPr>
            <w:tcW w:w="2696" w:type="dxa"/>
            <w:vAlign w:val="center"/>
          </w:tcPr>
          <w:p w14:paraId="1BA5F094" w14:textId="77777777" w:rsidR="00ED76BB" w:rsidRPr="00DF1B38" w:rsidRDefault="00ED76BB" w:rsidP="003C2836">
            <w:pPr>
              <w:pStyle w:val="Tablecolhead"/>
            </w:pPr>
            <w:bookmarkStart w:id="78" w:name="_Hlk64286981"/>
            <w:r w:rsidRPr="00DF1B38">
              <w:t>Surgery</w:t>
            </w:r>
          </w:p>
        </w:tc>
        <w:tc>
          <w:tcPr>
            <w:tcW w:w="1606" w:type="dxa"/>
            <w:vAlign w:val="center"/>
          </w:tcPr>
          <w:p w14:paraId="480B1849" w14:textId="694F34EB" w:rsidR="00ED76BB" w:rsidRPr="00DF1B38" w:rsidRDefault="004C0533" w:rsidP="003C2836">
            <w:pPr>
              <w:pStyle w:val="Tablecolhead"/>
            </w:pPr>
            <w:r>
              <w:t>Number</w:t>
            </w:r>
            <w:r w:rsidR="00AE1BB2" w:rsidRPr="00DF1B38">
              <w:t xml:space="preserve"> </w:t>
            </w:r>
            <w:r w:rsidR="00ED76BB" w:rsidRPr="00DF1B38">
              <w:t>of all patients</w:t>
            </w:r>
          </w:p>
        </w:tc>
        <w:tc>
          <w:tcPr>
            <w:tcW w:w="1637" w:type="dxa"/>
            <w:vAlign w:val="center"/>
          </w:tcPr>
          <w:p w14:paraId="6CAF7D09" w14:textId="1EAE1236" w:rsidR="00ED76BB" w:rsidRPr="00DF1B38" w:rsidRDefault="004C0533" w:rsidP="003C2836">
            <w:pPr>
              <w:pStyle w:val="Tablecolhead"/>
            </w:pPr>
            <w:r>
              <w:t>Number</w:t>
            </w:r>
            <w:r w:rsidR="00AE1BB2" w:rsidRPr="00DF1B38">
              <w:t xml:space="preserve"> </w:t>
            </w:r>
            <w:r w:rsidR="00ED76BB" w:rsidRPr="00DF1B38">
              <w:t>of patients with DoS Hb (%)</w:t>
            </w:r>
          </w:p>
        </w:tc>
        <w:tc>
          <w:tcPr>
            <w:tcW w:w="1597" w:type="dxa"/>
            <w:vAlign w:val="center"/>
          </w:tcPr>
          <w:p w14:paraId="235CBE47" w14:textId="77777777" w:rsidR="00ED76BB" w:rsidRPr="00DF1B38" w:rsidRDefault="00ED76BB" w:rsidP="003C2836">
            <w:pPr>
              <w:pStyle w:val="Tablecolhead"/>
            </w:pPr>
            <w:r w:rsidRPr="00DF1B38">
              <w:t>Hb results (g/L)</w:t>
            </w:r>
            <w:r w:rsidRPr="00DF1B38">
              <w:br/>
              <w:t>average (range)</w:t>
            </w:r>
          </w:p>
        </w:tc>
        <w:tc>
          <w:tcPr>
            <w:tcW w:w="1416" w:type="dxa"/>
          </w:tcPr>
          <w:p w14:paraId="37FC74F2" w14:textId="16FD583E" w:rsidR="00ED76BB" w:rsidRPr="00B1105F" w:rsidRDefault="004C0533" w:rsidP="003C2836">
            <w:pPr>
              <w:pStyle w:val="Tablecolhead"/>
            </w:pPr>
            <w:r w:rsidRPr="00B1105F">
              <w:t>Number</w:t>
            </w:r>
            <w:r w:rsidR="00AE1BB2" w:rsidRPr="00B1105F">
              <w:t xml:space="preserve"> </w:t>
            </w:r>
            <w:r w:rsidR="00ED76BB" w:rsidRPr="00B1105F">
              <w:t>of patients with DoS Hb with anaemia (%)</w:t>
            </w:r>
          </w:p>
        </w:tc>
      </w:tr>
      <w:tr w:rsidR="00ED76BB" w:rsidRPr="008843F0" w14:paraId="2FE66A23" w14:textId="77777777" w:rsidTr="002B2FD9">
        <w:tc>
          <w:tcPr>
            <w:tcW w:w="2696" w:type="dxa"/>
          </w:tcPr>
          <w:p w14:paraId="2A3B6E80" w14:textId="77777777" w:rsidR="00ED76BB" w:rsidRPr="00DF1B38" w:rsidRDefault="00ED76BB" w:rsidP="003C2836">
            <w:pPr>
              <w:pStyle w:val="Tabletext"/>
            </w:pPr>
            <w:r w:rsidRPr="00DF1B38">
              <w:t>Orthopaedics</w:t>
            </w:r>
          </w:p>
        </w:tc>
        <w:tc>
          <w:tcPr>
            <w:tcW w:w="1606" w:type="dxa"/>
          </w:tcPr>
          <w:p w14:paraId="450AF619" w14:textId="77777777" w:rsidR="00ED76BB" w:rsidRPr="00DF1B38" w:rsidRDefault="00ED76BB" w:rsidP="002B2FD9">
            <w:pPr>
              <w:pStyle w:val="Tabletext"/>
              <w:jc w:val="right"/>
            </w:pPr>
            <w:r w:rsidRPr="00DF1B38">
              <w:t>772</w:t>
            </w:r>
          </w:p>
        </w:tc>
        <w:tc>
          <w:tcPr>
            <w:tcW w:w="1637" w:type="dxa"/>
          </w:tcPr>
          <w:p w14:paraId="508FEF81" w14:textId="77777777" w:rsidR="00ED76BB" w:rsidRPr="00DF1B38" w:rsidRDefault="00ED76BB" w:rsidP="002B2FD9">
            <w:pPr>
              <w:pStyle w:val="Tabletext"/>
              <w:jc w:val="right"/>
            </w:pPr>
            <w:r w:rsidRPr="00DF1B38">
              <w:t>282 (37%)</w:t>
            </w:r>
          </w:p>
        </w:tc>
        <w:tc>
          <w:tcPr>
            <w:tcW w:w="1597" w:type="dxa"/>
          </w:tcPr>
          <w:p w14:paraId="3CE3FA36" w14:textId="7704741F" w:rsidR="00ED76BB" w:rsidRPr="00DF1B38" w:rsidRDefault="00ED76BB" w:rsidP="002B2FD9">
            <w:pPr>
              <w:pStyle w:val="Tabletext"/>
              <w:jc w:val="right"/>
            </w:pPr>
            <w:r w:rsidRPr="00DF1B38">
              <w:t>135 (82–171)</w:t>
            </w:r>
          </w:p>
        </w:tc>
        <w:tc>
          <w:tcPr>
            <w:tcW w:w="1416" w:type="dxa"/>
          </w:tcPr>
          <w:p w14:paraId="1102B500" w14:textId="6FC81BA7" w:rsidR="00ED76BB" w:rsidRPr="00B1105F" w:rsidRDefault="00ED76BB" w:rsidP="002B2FD9">
            <w:pPr>
              <w:pStyle w:val="Tabletext"/>
              <w:jc w:val="right"/>
            </w:pPr>
            <w:r w:rsidRPr="00B1105F">
              <w:t>62 (</w:t>
            </w:r>
            <w:r w:rsidR="00B1105F" w:rsidRPr="00B1105F">
              <w:t>22</w:t>
            </w:r>
            <w:r w:rsidRPr="00B1105F">
              <w:t>%)</w:t>
            </w:r>
          </w:p>
        </w:tc>
      </w:tr>
      <w:tr w:rsidR="00ED76BB" w:rsidRPr="008843F0" w14:paraId="56B6C6A0" w14:textId="77777777" w:rsidTr="002B2FD9">
        <w:tc>
          <w:tcPr>
            <w:tcW w:w="2696" w:type="dxa"/>
          </w:tcPr>
          <w:p w14:paraId="35828FD7" w14:textId="77777777" w:rsidR="00ED76BB" w:rsidRPr="00DF1B38" w:rsidRDefault="00ED76BB" w:rsidP="003C2836">
            <w:pPr>
              <w:pStyle w:val="Tabletext"/>
            </w:pPr>
            <w:r w:rsidRPr="00DF1B38">
              <w:t>Gynaecology</w:t>
            </w:r>
          </w:p>
        </w:tc>
        <w:tc>
          <w:tcPr>
            <w:tcW w:w="1606" w:type="dxa"/>
          </w:tcPr>
          <w:p w14:paraId="6CD4FDC0" w14:textId="77777777" w:rsidR="00ED76BB" w:rsidRPr="00DF1B38" w:rsidRDefault="00ED76BB" w:rsidP="002B2FD9">
            <w:pPr>
              <w:pStyle w:val="Tabletext"/>
              <w:jc w:val="right"/>
            </w:pPr>
            <w:r w:rsidRPr="00DF1B38">
              <w:t>343</w:t>
            </w:r>
          </w:p>
        </w:tc>
        <w:tc>
          <w:tcPr>
            <w:tcW w:w="1637" w:type="dxa"/>
          </w:tcPr>
          <w:p w14:paraId="42179600" w14:textId="77777777" w:rsidR="00ED76BB" w:rsidRPr="00DF1B38" w:rsidRDefault="00ED76BB" w:rsidP="002B2FD9">
            <w:pPr>
              <w:pStyle w:val="Tabletext"/>
              <w:jc w:val="right"/>
            </w:pPr>
            <w:r w:rsidRPr="00DF1B38">
              <w:t>160 (47%)</w:t>
            </w:r>
          </w:p>
        </w:tc>
        <w:tc>
          <w:tcPr>
            <w:tcW w:w="1597" w:type="dxa"/>
          </w:tcPr>
          <w:p w14:paraId="1DE26388" w14:textId="57C6C4F0" w:rsidR="00ED76BB" w:rsidRPr="00DF1B38" w:rsidRDefault="00ED76BB" w:rsidP="002B2FD9">
            <w:pPr>
              <w:pStyle w:val="Tabletext"/>
              <w:jc w:val="right"/>
            </w:pPr>
            <w:r w:rsidRPr="00DF1B38">
              <w:t>128 (46–173)</w:t>
            </w:r>
          </w:p>
        </w:tc>
        <w:tc>
          <w:tcPr>
            <w:tcW w:w="1416" w:type="dxa"/>
          </w:tcPr>
          <w:p w14:paraId="1111109B" w14:textId="2D1424C6" w:rsidR="00ED76BB" w:rsidRPr="00B1105F" w:rsidRDefault="00ED76BB" w:rsidP="002B2FD9">
            <w:pPr>
              <w:pStyle w:val="Tabletext"/>
              <w:jc w:val="right"/>
            </w:pPr>
            <w:r w:rsidRPr="00B1105F">
              <w:t>36 (</w:t>
            </w:r>
            <w:r w:rsidR="00B1105F" w:rsidRPr="00B1105F">
              <w:t>23</w:t>
            </w:r>
            <w:r w:rsidRPr="00B1105F">
              <w:t>%)</w:t>
            </w:r>
          </w:p>
        </w:tc>
      </w:tr>
      <w:tr w:rsidR="00ED76BB" w:rsidRPr="008843F0" w14:paraId="1EDC731A" w14:textId="77777777" w:rsidTr="002B2FD9">
        <w:tc>
          <w:tcPr>
            <w:tcW w:w="2696" w:type="dxa"/>
          </w:tcPr>
          <w:p w14:paraId="3CEECA6E" w14:textId="77777777" w:rsidR="00ED76BB" w:rsidRPr="00DF1B38" w:rsidRDefault="00ED76BB" w:rsidP="003C2836">
            <w:pPr>
              <w:pStyle w:val="Tabletext"/>
            </w:pPr>
            <w:r w:rsidRPr="00DF1B38">
              <w:t>Major gastrointestinal</w:t>
            </w:r>
          </w:p>
        </w:tc>
        <w:tc>
          <w:tcPr>
            <w:tcW w:w="1606" w:type="dxa"/>
          </w:tcPr>
          <w:p w14:paraId="2FD8C3CA" w14:textId="77777777" w:rsidR="00ED76BB" w:rsidRPr="00DF1B38" w:rsidRDefault="00ED76BB" w:rsidP="002B2FD9">
            <w:pPr>
              <w:pStyle w:val="Tabletext"/>
              <w:jc w:val="right"/>
            </w:pPr>
            <w:r w:rsidRPr="00DF1B38">
              <w:t>296</w:t>
            </w:r>
          </w:p>
        </w:tc>
        <w:tc>
          <w:tcPr>
            <w:tcW w:w="1637" w:type="dxa"/>
          </w:tcPr>
          <w:p w14:paraId="29DBF074" w14:textId="77777777" w:rsidR="00ED76BB" w:rsidRPr="00DF1B38" w:rsidRDefault="00ED76BB" w:rsidP="002B2FD9">
            <w:pPr>
              <w:pStyle w:val="Tabletext"/>
              <w:jc w:val="right"/>
            </w:pPr>
            <w:r w:rsidRPr="00DF1B38">
              <w:t>168 (57%)</w:t>
            </w:r>
          </w:p>
        </w:tc>
        <w:tc>
          <w:tcPr>
            <w:tcW w:w="1597" w:type="dxa"/>
          </w:tcPr>
          <w:p w14:paraId="75A46456" w14:textId="23203D53" w:rsidR="00ED76BB" w:rsidRPr="00DF1B38" w:rsidRDefault="00ED76BB" w:rsidP="002B2FD9">
            <w:pPr>
              <w:pStyle w:val="Tabletext"/>
              <w:jc w:val="right"/>
            </w:pPr>
            <w:r w:rsidRPr="00DF1B38">
              <w:t>125 (50–178)</w:t>
            </w:r>
          </w:p>
        </w:tc>
        <w:tc>
          <w:tcPr>
            <w:tcW w:w="1416" w:type="dxa"/>
          </w:tcPr>
          <w:p w14:paraId="3EAA1B0C" w14:textId="687FAF15" w:rsidR="00ED76BB" w:rsidRPr="00B1105F" w:rsidRDefault="00ED76BB" w:rsidP="002B2FD9">
            <w:pPr>
              <w:pStyle w:val="Tabletext"/>
              <w:jc w:val="right"/>
            </w:pPr>
            <w:r w:rsidRPr="00B1105F">
              <w:t>71 (4</w:t>
            </w:r>
            <w:r w:rsidR="00B1105F" w:rsidRPr="00B1105F">
              <w:t>2</w:t>
            </w:r>
            <w:r w:rsidRPr="00B1105F">
              <w:t>%)</w:t>
            </w:r>
          </w:p>
        </w:tc>
      </w:tr>
      <w:tr w:rsidR="00ED76BB" w:rsidRPr="008843F0" w14:paraId="5FCDE5E6" w14:textId="77777777" w:rsidTr="002B2FD9">
        <w:tc>
          <w:tcPr>
            <w:tcW w:w="2696" w:type="dxa"/>
          </w:tcPr>
          <w:p w14:paraId="0A387AD3" w14:textId="77777777" w:rsidR="00ED76BB" w:rsidRPr="00DF1B38" w:rsidRDefault="00ED76BB" w:rsidP="003C2836">
            <w:pPr>
              <w:pStyle w:val="Tabletext"/>
            </w:pPr>
            <w:r w:rsidRPr="00DF1B38">
              <w:t>Cardiothoracic</w:t>
            </w:r>
          </w:p>
        </w:tc>
        <w:tc>
          <w:tcPr>
            <w:tcW w:w="1606" w:type="dxa"/>
          </w:tcPr>
          <w:p w14:paraId="33CCA3FB" w14:textId="77777777" w:rsidR="00ED76BB" w:rsidRPr="00DF1B38" w:rsidRDefault="00ED76BB" w:rsidP="002B2FD9">
            <w:pPr>
              <w:pStyle w:val="Tabletext"/>
              <w:jc w:val="right"/>
            </w:pPr>
            <w:r w:rsidRPr="00DF1B38">
              <w:t>130</w:t>
            </w:r>
          </w:p>
        </w:tc>
        <w:tc>
          <w:tcPr>
            <w:tcW w:w="1637" w:type="dxa"/>
          </w:tcPr>
          <w:p w14:paraId="4CBB97EB" w14:textId="77777777" w:rsidR="00ED76BB" w:rsidRPr="00DF1B38" w:rsidRDefault="00ED76BB" w:rsidP="002B2FD9">
            <w:pPr>
              <w:pStyle w:val="Tabletext"/>
              <w:jc w:val="right"/>
            </w:pPr>
            <w:r w:rsidRPr="00DF1B38">
              <w:t>71 (55%)</w:t>
            </w:r>
          </w:p>
        </w:tc>
        <w:tc>
          <w:tcPr>
            <w:tcW w:w="1597" w:type="dxa"/>
          </w:tcPr>
          <w:p w14:paraId="53BFF400" w14:textId="151BF3C8" w:rsidR="00ED76BB" w:rsidRPr="00DF1B38" w:rsidRDefault="00ED76BB" w:rsidP="002B2FD9">
            <w:pPr>
              <w:pStyle w:val="Tabletext"/>
              <w:jc w:val="right"/>
            </w:pPr>
            <w:r w:rsidRPr="00DF1B38">
              <w:t>134 (89–173)</w:t>
            </w:r>
          </w:p>
        </w:tc>
        <w:tc>
          <w:tcPr>
            <w:tcW w:w="1416" w:type="dxa"/>
          </w:tcPr>
          <w:p w14:paraId="060097D8" w14:textId="6E4A3C70" w:rsidR="00ED76BB" w:rsidRPr="00B1105F" w:rsidRDefault="00ED76BB" w:rsidP="002B2FD9">
            <w:pPr>
              <w:pStyle w:val="Tabletext"/>
              <w:jc w:val="right"/>
            </w:pPr>
            <w:r w:rsidRPr="00B1105F">
              <w:t>19 (</w:t>
            </w:r>
            <w:r w:rsidR="00B1105F" w:rsidRPr="00B1105F">
              <w:t>27</w:t>
            </w:r>
            <w:r w:rsidRPr="00B1105F">
              <w:t>%)</w:t>
            </w:r>
          </w:p>
        </w:tc>
      </w:tr>
      <w:tr w:rsidR="00ED76BB" w:rsidRPr="008843F0" w14:paraId="1ADB8D91" w14:textId="77777777" w:rsidTr="002B2FD9">
        <w:tc>
          <w:tcPr>
            <w:tcW w:w="2696" w:type="dxa"/>
          </w:tcPr>
          <w:p w14:paraId="78F99DBD" w14:textId="77777777" w:rsidR="00ED76BB" w:rsidRPr="00DF1B38" w:rsidRDefault="00ED76BB" w:rsidP="003C2836">
            <w:pPr>
              <w:pStyle w:val="Tabletext"/>
              <w:rPr>
                <w:b/>
                <w:bCs/>
              </w:rPr>
            </w:pPr>
            <w:r w:rsidRPr="00DF1B38">
              <w:rPr>
                <w:b/>
                <w:bCs/>
              </w:rPr>
              <w:t>Total (all surgical types)</w:t>
            </w:r>
          </w:p>
        </w:tc>
        <w:tc>
          <w:tcPr>
            <w:tcW w:w="1606" w:type="dxa"/>
          </w:tcPr>
          <w:p w14:paraId="1B255F29" w14:textId="77777777" w:rsidR="00ED76BB" w:rsidRPr="00DF1B38" w:rsidRDefault="00ED76BB" w:rsidP="002B2FD9">
            <w:pPr>
              <w:pStyle w:val="Tabletext"/>
              <w:jc w:val="right"/>
              <w:rPr>
                <w:b/>
                <w:bCs/>
              </w:rPr>
            </w:pPr>
            <w:r w:rsidRPr="00DF1B38">
              <w:rPr>
                <w:b/>
                <w:bCs/>
              </w:rPr>
              <w:t>1541</w:t>
            </w:r>
          </w:p>
        </w:tc>
        <w:tc>
          <w:tcPr>
            <w:tcW w:w="1637" w:type="dxa"/>
          </w:tcPr>
          <w:p w14:paraId="03C07958" w14:textId="77777777" w:rsidR="00ED76BB" w:rsidRPr="00DF1B38" w:rsidRDefault="00ED76BB" w:rsidP="002B2FD9">
            <w:pPr>
              <w:pStyle w:val="Tabletext"/>
              <w:jc w:val="right"/>
              <w:rPr>
                <w:b/>
                <w:bCs/>
              </w:rPr>
            </w:pPr>
            <w:r w:rsidRPr="00DF1B38">
              <w:rPr>
                <w:b/>
                <w:bCs/>
              </w:rPr>
              <w:t>681 (44%)</w:t>
            </w:r>
          </w:p>
        </w:tc>
        <w:tc>
          <w:tcPr>
            <w:tcW w:w="1597" w:type="dxa"/>
          </w:tcPr>
          <w:p w14:paraId="09FBE975" w14:textId="6C63F5FA" w:rsidR="00ED76BB" w:rsidRPr="00DF1B38" w:rsidRDefault="00ED76BB" w:rsidP="002B2FD9">
            <w:pPr>
              <w:pStyle w:val="Tabletext"/>
              <w:jc w:val="right"/>
              <w:rPr>
                <w:b/>
                <w:bCs/>
              </w:rPr>
            </w:pPr>
            <w:r w:rsidRPr="00DF1B38">
              <w:rPr>
                <w:b/>
                <w:bCs/>
              </w:rPr>
              <w:t>131 (46–178)</w:t>
            </w:r>
          </w:p>
        </w:tc>
        <w:tc>
          <w:tcPr>
            <w:tcW w:w="1416" w:type="dxa"/>
          </w:tcPr>
          <w:p w14:paraId="2037E1BB" w14:textId="3B8B836B" w:rsidR="00ED76BB" w:rsidRPr="00B1105F" w:rsidRDefault="00ED76BB" w:rsidP="002B2FD9">
            <w:pPr>
              <w:pStyle w:val="Tabletext"/>
              <w:jc w:val="right"/>
              <w:rPr>
                <w:b/>
                <w:bCs/>
              </w:rPr>
            </w:pPr>
            <w:r w:rsidRPr="00B1105F">
              <w:rPr>
                <w:b/>
                <w:bCs/>
              </w:rPr>
              <w:t>188 (</w:t>
            </w:r>
            <w:r w:rsidR="00260A02" w:rsidRPr="00B1105F">
              <w:rPr>
                <w:b/>
                <w:bCs/>
              </w:rPr>
              <w:t>28</w:t>
            </w:r>
            <w:r w:rsidRPr="00B1105F">
              <w:rPr>
                <w:b/>
                <w:bCs/>
              </w:rPr>
              <w:t>%)</w:t>
            </w:r>
          </w:p>
        </w:tc>
      </w:tr>
    </w:tbl>
    <w:bookmarkEnd w:id="78"/>
    <w:p w14:paraId="73D2A3DA" w14:textId="77777777" w:rsidR="00ED76BB" w:rsidRPr="00DF1B38" w:rsidRDefault="00ED76BB" w:rsidP="00ED76BB">
      <w:pPr>
        <w:pStyle w:val="Heading3"/>
      </w:pPr>
      <w:r w:rsidRPr="008843F0">
        <w:lastRenderedPageBreak/>
        <w:t>Intraoperative blood loss</w:t>
      </w:r>
    </w:p>
    <w:p w14:paraId="74EC2992" w14:textId="29A0446B" w:rsidR="00AE1BB2" w:rsidRDefault="00AE1BB2" w:rsidP="00ED76BB">
      <w:pPr>
        <w:pStyle w:val="Body"/>
      </w:pPr>
      <w:r w:rsidRPr="008843F0">
        <w:t>Estimat</w:t>
      </w:r>
      <w:r>
        <w:t>ing</w:t>
      </w:r>
      <w:r w:rsidR="00ED76BB" w:rsidRPr="008843F0">
        <w:t xml:space="preserve"> intraoperative blood loss is an important factor in the decision to transfuse.</w:t>
      </w:r>
    </w:p>
    <w:p w14:paraId="53118724" w14:textId="3D7E4846" w:rsidR="00AE1BB2" w:rsidRDefault="00AE1BB2" w:rsidP="002B2FD9">
      <w:pPr>
        <w:pStyle w:val="Body"/>
      </w:pPr>
      <w:r>
        <w:t>Table 1</w:t>
      </w:r>
      <w:r w:rsidR="006F4FEC">
        <w:t>9</w:t>
      </w:r>
      <w:r w:rsidR="00ED76BB" w:rsidRPr="008843F0">
        <w:t xml:space="preserve"> shows that only 575 (37 per cent) of patients in this audit had intraoperative blood loss documented/reported.</w:t>
      </w:r>
      <w:bookmarkStart w:id="79" w:name="_Ref67406480"/>
    </w:p>
    <w:bookmarkEnd w:id="79"/>
    <w:p w14:paraId="7437D78E" w14:textId="384DEF52" w:rsidR="00ED76BB" w:rsidRPr="008843F0" w:rsidRDefault="00AE1BB2" w:rsidP="002B2FD9">
      <w:pPr>
        <w:pStyle w:val="Tablecaption"/>
      </w:pPr>
      <w:r>
        <w:t>Table 1</w:t>
      </w:r>
      <w:r w:rsidR="006F4FEC">
        <w:t>9</w:t>
      </w:r>
      <w:r>
        <w:t>:</w:t>
      </w:r>
      <w:r w:rsidR="00ED76BB" w:rsidRPr="008843F0">
        <w:t xml:space="preserve"> Estimated </w:t>
      </w:r>
      <w:r w:rsidR="00ED76BB" w:rsidRPr="00DF1B38">
        <w:t>intraoperative</w:t>
      </w:r>
      <w:r w:rsidR="00ED76BB" w:rsidRPr="008843F0">
        <w:t xml:space="preserve"> </w:t>
      </w:r>
      <w:r w:rsidR="00ED76BB" w:rsidRPr="0038378B">
        <w:t>blood</w:t>
      </w:r>
      <w:r w:rsidR="00ED76BB" w:rsidRPr="008843F0">
        <w:t xml:space="preserve"> loss by surgery type</w:t>
      </w:r>
    </w:p>
    <w:tbl>
      <w:tblPr>
        <w:tblStyle w:val="TableGrid5"/>
        <w:tblW w:w="0" w:type="auto"/>
        <w:tblLook w:val="04A0" w:firstRow="1" w:lastRow="0" w:firstColumn="1" w:lastColumn="0" w:noHBand="0" w:noVBand="1"/>
      </w:tblPr>
      <w:tblGrid>
        <w:gridCol w:w="2697"/>
        <w:gridCol w:w="2021"/>
        <w:gridCol w:w="2117"/>
        <w:gridCol w:w="2117"/>
      </w:tblGrid>
      <w:tr w:rsidR="00ED76BB" w:rsidRPr="008843F0" w14:paraId="08872ABC" w14:textId="77777777" w:rsidTr="002B2FD9">
        <w:tc>
          <w:tcPr>
            <w:tcW w:w="2697" w:type="dxa"/>
            <w:vAlign w:val="center"/>
          </w:tcPr>
          <w:p w14:paraId="1D555B4C" w14:textId="77777777" w:rsidR="00ED76BB" w:rsidRPr="00DF1B38" w:rsidRDefault="00ED76BB" w:rsidP="003C2836">
            <w:pPr>
              <w:pStyle w:val="Tablecolhead"/>
            </w:pPr>
            <w:r w:rsidRPr="00DF1B38">
              <w:t>Surgery</w:t>
            </w:r>
          </w:p>
        </w:tc>
        <w:tc>
          <w:tcPr>
            <w:tcW w:w="2021" w:type="dxa"/>
            <w:vAlign w:val="center"/>
          </w:tcPr>
          <w:p w14:paraId="6E9C3E0F" w14:textId="77777777" w:rsidR="00ED76BB" w:rsidRPr="00DF1B38" w:rsidRDefault="00ED76BB" w:rsidP="003C2836">
            <w:pPr>
              <w:pStyle w:val="Tablecolhead"/>
            </w:pPr>
            <w:r w:rsidRPr="00DF1B38">
              <w:t>Number of all patients</w:t>
            </w:r>
          </w:p>
        </w:tc>
        <w:tc>
          <w:tcPr>
            <w:tcW w:w="2117" w:type="dxa"/>
            <w:vAlign w:val="center"/>
          </w:tcPr>
          <w:p w14:paraId="7B05C247" w14:textId="77777777" w:rsidR="00ED76BB" w:rsidRPr="00DF1B38" w:rsidRDefault="00ED76BB" w:rsidP="003C2836">
            <w:pPr>
              <w:pStyle w:val="Tablecolhead"/>
            </w:pPr>
            <w:r w:rsidRPr="00DF1B38">
              <w:t>Number of patients with reported intraoperative blood loss (%)</w:t>
            </w:r>
          </w:p>
        </w:tc>
        <w:tc>
          <w:tcPr>
            <w:tcW w:w="2117" w:type="dxa"/>
            <w:vAlign w:val="center"/>
          </w:tcPr>
          <w:p w14:paraId="26FB0F50" w14:textId="77777777" w:rsidR="00ED76BB" w:rsidRPr="00DF1B38" w:rsidRDefault="00ED76BB" w:rsidP="003C2836">
            <w:pPr>
              <w:pStyle w:val="Tablecolhead"/>
            </w:pPr>
            <w:r w:rsidRPr="00DF1B38">
              <w:t>Intraoperative blood loss volume (mL)</w:t>
            </w:r>
            <w:r w:rsidRPr="00DF1B38">
              <w:br/>
              <w:t>average, (range)</w:t>
            </w:r>
          </w:p>
        </w:tc>
      </w:tr>
      <w:tr w:rsidR="00ED76BB" w:rsidRPr="008843F0" w14:paraId="58B64AC8" w14:textId="77777777" w:rsidTr="002B2FD9">
        <w:tc>
          <w:tcPr>
            <w:tcW w:w="2697" w:type="dxa"/>
          </w:tcPr>
          <w:p w14:paraId="447F2A64" w14:textId="77777777" w:rsidR="00ED76BB" w:rsidRPr="00DF1B38" w:rsidRDefault="00ED76BB" w:rsidP="003C2836">
            <w:pPr>
              <w:pStyle w:val="Tabletext"/>
            </w:pPr>
            <w:r w:rsidRPr="00DF1B38">
              <w:t>Orthopaedics</w:t>
            </w:r>
          </w:p>
        </w:tc>
        <w:tc>
          <w:tcPr>
            <w:tcW w:w="2021" w:type="dxa"/>
          </w:tcPr>
          <w:p w14:paraId="5D8A0BBA" w14:textId="77777777" w:rsidR="00ED76BB" w:rsidRPr="00DF1B38" w:rsidRDefault="00ED76BB" w:rsidP="002B2FD9">
            <w:pPr>
              <w:pStyle w:val="Tabletext"/>
              <w:jc w:val="right"/>
            </w:pPr>
            <w:r w:rsidRPr="00DF1B38">
              <w:t>772</w:t>
            </w:r>
          </w:p>
        </w:tc>
        <w:tc>
          <w:tcPr>
            <w:tcW w:w="2117" w:type="dxa"/>
          </w:tcPr>
          <w:p w14:paraId="13F0D0C4" w14:textId="77777777" w:rsidR="00ED76BB" w:rsidRPr="00DF1B38" w:rsidRDefault="00ED76BB" w:rsidP="002B2FD9">
            <w:pPr>
              <w:pStyle w:val="Tabletext"/>
              <w:jc w:val="right"/>
            </w:pPr>
            <w:r w:rsidRPr="00DF1B38">
              <w:t>216 (28%)</w:t>
            </w:r>
          </w:p>
        </w:tc>
        <w:tc>
          <w:tcPr>
            <w:tcW w:w="2117" w:type="dxa"/>
          </w:tcPr>
          <w:p w14:paraId="18859BCA" w14:textId="3F08058E" w:rsidR="00ED76BB" w:rsidRPr="00DF1B38" w:rsidRDefault="00ED76BB" w:rsidP="002B2FD9">
            <w:pPr>
              <w:pStyle w:val="Tabletext"/>
              <w:jc w:val="right"/>
            </w:pPr>
            <w:r w:rsidRPr="00DF1B38">
              <w:t>363 (10–2</w:t>
            </w:r>
            <w:r w:rsidR="00AE1BB2">
              <w:t>,</w:t>
            </w:r>
            <w:r w:rsidRPr="00DF1B38">
              <w:t>000)</w:t>
            </w:r>
          </w:p>
        </w:tc>
      </w:tr>
      <w:tr w:rsidR="00ED76BB" w:rsidRPr="008843F0" w14:paraId="15FE3D08" w14:textId="77777777" w:rsidTr="002B2FD9">
        <w:tc>
          <w:tcPr>
            <w:tcW w:w="2697" w:type="dxa"/>
          </w:tcPr>
          <w:p w14:paraId="645FAF8C" w14:textId="77777777" w:rsidR="00ED76BB" w:rsidRPr="00DF1B38" w:rsidRDefault="00ED76BB" w:rsidP="003C2836">
            <w:pPr>
              <w:pStyle w:val="Tabletext"/>
            </w:pPr>
            <w:r w:rsidRPr="00DF1B38">
              <w:t>Gynaecology</w:t>
            </w:r>
          </w:p>
        </w:tc>
        <w:tc>
          <w:tcPr>
            <w:tcW w:w="2021" w:type="dxa"/>
          </w:tcPr>
          <w:p w14:paraId="45DE8658" w14:textId="77777777" w:rsidR="00ED76BB" w:rsidRPr="00DF1B38" w:rsidRDefault="00ED76BB" w:rsidP="002B2FD9">
            <w:pPr>
              <w:pStyle w:val="Tabletext"/>
              <w:jc w:val="right"/>
            </w:pPr>
            <w:r w:rsidRPr="00DF1B38">
              <w:t>343</w:t>
            </w:r>
          </w:p>
        </w:tc>
        <w:tc>
          <w:tcPr>
            <w:tcW w:w="2117" w:type="dxa"/>
          </w:tcPr>
          <w:p w14:paraId="04D4BACF" w14:textId="77777777" w:rsidR="00ED76BB" w:rsidRPr="00DF1B38" w:rsidRDefault="00ED76BB" w:rsidP="002B2FD9">
            <w:pPr>
              <w:pStyle w:val="Tabletext"/>
              <w:jc w:val="right"/>
            </w:pPr>
            <w:r w:rsidRPr="00DF1B38">
              <w:t>246 (72%)</w:t>
            </w:r>
          </w:p>
        </w:tc>
        <w:tc>
          <w:tcPr>
            <w:tcW w:w="2117" w:type="dxa"/>
          </w:tcPr>
          <w:p w14:paraId="700F4CB2" w14:textId="2C6E855F" w:rsidR="00ED76BB" w:rsidRPr="00DF1B38" w:rsidRDefault="00ED76BB" w:rsidP="002B2FD9">
            <w:pPr>
              <w:pStyle w:val="Tabletext"/>
              <w:jc w:val="right"/>
            </w:pPr>
            <w:r w:rsidRPr="00DF1B38">
              <w:t>252 (10–1</w:t>
            </w:r>
            <w:r w:rsidR="00AE1BB2">
              <w:t>,</w:t>
            </w:r>
            <w:r w:rsidRPr="00DF1B38">
              <w:t>600)</w:t>
            </w:r>
          </w:p>
        </w:tc>
      </w:tr>
      <w:tr w:rsidR="00ED76BB" w:rsidRPr="008843F0" w14:paraId="33B2DE8D" w14:textId="77777777" w:rsidTr="002B2FD9">
        <w:tc>
          <w:tcPr>
            <w:tcW w:w="2697" w:type="dxa"/>
          </w:tcPr>
          <w:p w14:paraId="557812D4" w14:textId="77777777" w:rsidR="00ED76BB" w:rsidRPr="00DF1B38" w:rsidRDefault="00ED76BB" w:rsidP="003C2836">
            <w:pPr>
              <w:pStyle w:val="Tabletext"/>
            </w:pPr>
            <w:r w:rsidRPr="00DF1B38">
              <w:t>Major gastrointestinal</w:t>
            </w:r>
          </w:p>
        </w:tc>
        <w:tc>
          <w:tcPr>
            <w:tcW w:w="2021" w:type="dxa"/>
          </w:tcPr>
          <w:p w14:paraId="7A772E52" w14:textId="77777777" w:rsidR="00ED76BB" w:rsidRPr="00DF1B38" w:rsidRDefault="00ED76BB" w:rsidP="002B2FD9">
            <w:pPr>
              <w:pStyle w:val="Tabletext"/>
              <w:jc w:val="right"/>
            </w:pPr>
            <w:r w:rsidRPr="00DF1B38">
              <w:t>296</w:t>
            </w:r>
          </w:p>
        </w:tc>
        <w:tc>
          <w:tcPr>
            <w:tcW w:w="2117" w:type="dxa"/>
          </w:tcPr>
          <w:p w14:paraId="493901CA" w14:textId="77777777" w:rsidR="00ED76BB" w:rsidRPr="00DF1B38" w:rsidRDefault="00ED76BB" w:rsidP="002B2FD9">
            <w:pPr>
              <w:pStyle w:val="Tabletext"/>
              <w:jc w:val="right"/>
            </w:pPr>
            <w:r w:rsidRPr="00DF1B38">
              <w:t>83 (28%)</w:t>
            </w:r>
          </w:p>
        </w:tc>
        <w:tc>
          <w:tcPr>
            <w:tcW w:w="2117" w:type="dxa"/>
          </w:tcPr>
          <w:p w14:paraId="2B0681EB" w14:textId="2FC7F263" w:rsidR="00ED76BB" w:rsidRPr="00DF1B38" w:rsidRDefault="00ED76BB" w:rsidP="002B2FD9">
            <w:pPr>
              <w:pStyle w:val="Tabletext"/>
              <w:jc w:val="right"/>
            </w:pPr>
            <w:r w:rsidRPr="00DF1B38">
              <w:t>521 (10–3</w:t>
            </w:r>
            <w:r w:rsidR="00AE1BB2">
              <w:t>,</w:t>
            </w:r>
            <w:r w:rsidRPr="00DF1B38">
              <w:t>500)</w:t>
            </w:r>
          </w:p>
        </w:tc>
      </w:tr>
      <w:tr w:rsidR="00ED76BB" w:rsidRPr="008843F0" w14:paraId="2429858D" w14:textId="77777777" w:rsidTr="002B2FD9">
        <w:tc>
          <w:tcPr>
            <w:tcW w:w="2697" w:type="dxa"/>
          </w:tcPr>
          <w:p w14:paraId="70109A51" w14:textId="77777777" w:rsidR="00ED76BB" w:rsidRPr="00DF1B38" w:rsidRDefault="00ED76BB" w:rsidP="003C2836">
            <w:pPr>
              <w:pStyle w:val="Tabletext"/>
            </w:pPr>
            <w:r w:rsidRPr="00DF1B38">
              <w:t>Cardiothoracic</w:t>
            </w:r>
          </w:p>
        </w:tc>
        <w:tc>
          <w:tcPr>
            <w:tcW w:w="2021" w:type="dxa"/>
          </w:tcPr>
          <w:p w14:paraId="47FD0020" w14:textId="77777777" w:rsidR="00ED76BB" w:rsidRPr="00DF1B38" w:rsidRDefault="00ED76BB" w:rsidP="002B2FD9">
            <w:pPr>
              <w:pStyle w:val="Tabletext"/>
              <w:jc w:val="right"/>
            </w:pPr>
            <w:r w:rsidRPr="00DF1B38">
              <w:t>130</w:t>
            </w:r>
          </w:p>
        </w:tc>
        <w:tc>
          <w:tcPr>
            <w:tcW w:w="2117" w:type="dxa"/>
          </w:tcPr>
          <w:p w14:paraId="4FFA9847" w14:textId="77777777" w:rsidR="00ED76BB" w:rsidRPr="00DF1B38" w:rsidRDefault="00ED76BB" w:rsidP="002B2FD9">
            <w:pPr>
              <w:pStyle w:val="Tabletext"/>
              <w:jc w:val="right"/>
            </w:pPr>
            <w:r w:rsidRPr="00DF1B38">
              <w:t>30 (23%)</w:t>
            </w:r>
          </w:p>
        </w:tc>
        <w:tc>
          <w:tcPr>
            <w:tcW w:w="2117" w:type="dxa"/>
          </w:tcPr>
          <w:p w14:paraId="5BB0AEAA" w14:textId="3B2F7B4F" w:rsidR="00ED76BB" w:rsidRPr="00DF1B38" w:rsidRDefault="00ED76BB" w:rsidP="002B2FD9">
            <w:pPr>
              <w:pStyle w:val="Tabletext"/>
              <w:jc w:val="right"/>
            </w:pPr>
            <w:r w:rsidRPr="00DF1B38">
              <w:t>481 (100–1</w:t>
            </w:r>
            <w:r w:rsidR="00AE1BB2">
              <w:t>,</w:t>
            </w:r>
            <w:r w:rsidRPr="00DF1B38">
              <w:t>500)</w:t>
            </w:r>
          </w:p>
        </w:tc>
      </w:tr>
      <w:tr w:rsidR="00ED76BB" w:rsidRPr="008843F0" w14:paraId="724896B3" w14:textId="77777777" w:rsidTr="002B2FD9">
        <w:tc>
          <w:tcPr>
            <w:tcW w:w="2697" w:type="dxa"/>
          </w:tcPr>
          <w:p w14:paraId="67F54B3C" w14:textId="77777777" w:rsidR="00ED76BB" w:rsidRPr="00DF1B38" w:rsidRDefault="00ED76BB" w:rsidP="003C2836">
            <w:pPr>
              <w:pStyle w:val="Tabletext"/>
              <w:rPr>
                <w:b/>
                <w:bCs/>
              </w:rPr>
            </w:pPr>
            <w:r w:rsidRPr="00DF1B38">
              <w:rPr>
                <w:b/>
                <w:bCs/>
              </w:rPr>
              <w:t xml:space="preserve">Total (all surgical types) </w:t>
            </w:r>
          </w:p>
        </w:tc>
        <w:tc>
          <w:tcPr>
            <w:tcW w:w="2021" w:type="dxa"/>
          </w:tcPr>
          <w:p w14:paraId="485434E8" w14:textId="77777777" w:rsidR="00ED76BB" w:rsidRPr="00DF1B38" w:rsidRDefault="00ED76BB" w:rsidP="002B2FD9">
            <w:pPr>
              <w:pStyle w:val="Tabletext"/>
              <w:jc w:val="right"/>
              <w:rPr>
                <w:b/>
                <w:bCs/>
              </w:rPr>
            </w:pPr>
            <w:r w:rsidRPr="00DF1B38">
              <w:rPr>
                <w:b/>
                <w:bCs/>
              </w:rPr>
              <w:t>1541</w:t>
            </w:r>
          </w:p>
        </w:tc>
        <w:tc>
          <w:tcPr>
            <w:tcW w:w="2117" w:type="dxa"/>
          </w:tcPr>
          <w:p w14:paraId="617E88A3" w14:textId="77777777" w:rsidR="00ED76BB" w:rsidRPr="00DF1B38" w:rsidRDefault="00ED76BB" w:rsidP="002B2FD9">
            <w:pPr>
              <w:pStyle w:val="Tabletext"/>
              <w:jc w:val="right"/>
              <w:rPr>
                <w:b/>
                <w:bCs/>
              </w:rPr>
            </w:pPr>
            <w:r w:rsidRPr="00DF1B38">
              <w:rPr>
                <w:b/>
                <w:bCs/>
              </w:rPr>
              <w:t>575 (37%)</w:t>
            </w:r>
          </w:p>
        </w:tc>
        <w:tc>
          <w:tcPr>
            <w:tcW w:w="2117" w:type="dxa"/>
          </w:tcPr>
          <w:p w14:paraId="4E4CC5AF" w14:textId="6672D845" w:rsidR="00ED76BB" w:rsidRPr="00DF1B38" w:rsidRDefault="00ED76BB" w:rsidP="002B2FD9">
            <w:pPr>
              <w:pStyle w:val="Tabletext"/>
              <w:jc w:val="right"/>
              <w:rPr>
                <w:b/>
                <w:bCs/>
              </w:rPr>
            </w:pPr>
            <w:r w:rsidRPr="00DF1B38">
              <w:rPr>
                <w:b/>
                <w:bCs/>
              </w:rPr>
              <w:t>344 (10–3</w:t>
            </w:r>
            <w:r w:rsidR="00AE1BB2">
              <w:rPr>
                <w:b/>
                <w:bCs/>
              </w:rPr>
              <w:t>,</w:t>
            </w:r>
            <w:r w:rsidRPr="00DF1B38">
              <w:rPr>
                <w:b/>
                <w:bCs/>
              </w:rPr>
              <w:t>500)</w:t>
            </w:r>
          </w:p>
        </w:tc>
      </w:tr>
    </w:tbl>
    <w:p w14:paraId="4CFAB90C" w14:textId="42C3E315" w:rsidR="00AE1BB2" w:rsidRDefault="00ED76BB" w:rsidP="0038378B">
      <w:pPr>
        <w:pStyle w:val="Bodyaftertablefigure"/>
      </w:pPr>
      <w:r w:rsidRPr="008843F0">
        <w:t xml:space="preserve">The </w:t>
      </w:r>
      <w:r w:rsidRPr="00DF1B38">
        <w:t>data</w:t>
      </w:r>
      <w:r w:rsidRPr="008843F0">
        <w:t xml:space="preserve"> provided for estimated intraoperative blood loss suggests variation in the way blood loss is determined and documented across health services.</w:t>
      </w:r>
      <w:r w:rsidR="00AE1BB2">
        <w:t xml:space="preserve"> The</w:t>
      </w:r>
      <w:r w:rsidRPr="008843F0">
        <w:t xml:space="preserve"> audit instructions did not include a description of where </w:t>
      </w:r>
      <w:r w:rsidR="00AE1BB2">
        <w:t>auditors could find documentation of blood loss</w:t>
      </w:r>
      <w:r w:rsidRPr="008843F0">
        <w:t xml:space="preserve">. </w:t>
      </w:r>
    </w:p>
    <w:p w14:paraId="38C84D92" w14:textId="5F4531B1" w:rsidR="00AE1BB2" w:rsidRDefault="00ED76BB" w:rsidP="00AE1BB2">
      <w:pPr>
        <w:pStyle w:val="Body"/>
      </w:pPr>
      <w:r w:rsidRPr="008843F0">
        <w:t xml:space="preserve">The surgical procedures included in the audit </w:t>
      </w:r>
      <w:r w:rsidR="00AE1BB2">
        <w:t>are all</w:t>
      </w:r>
      <w:r w:rsidRPr="008843F0">
        <w:t xml:space="preserve"> likely to result in a blood loss of 500</w:t>
      </w:r>
      <w:r w:rsidR="00AE1BB2">
        <w:t> </w:t>
      </w:r>
      <w:r w:rsidRPr="008843F0">
        <w:t>mL or more</w:t>
      </w:r>
      <w:r w:rsidR="00AE1BB2">
        <w:t>.</w:t>
      </w:r>
      <w:r w:rsidR="00AE1BB2" w:rsidRPr="008843F0">
        <w:t xml:space="preserve"> </w:t>
      </w:r>
      <w:r w:rsidR="00AE1BB2">
        <w:t xml:space="preserve">Blood loss should be </w:t>
      </w:r>
      <w:r w:rsidRPr="008843F0">
        <w:t xml:space="preserve">documented on anaesthetic charts or equivalent. </w:t>
      </w:r>
    </w:p>
    <w:p w14:paraId="444D8C74" w14:textId="7C90426B" w:rsidR="00AE1BB2" w:rsidRDefault="00ED76BB" w:rsidP="00AE1BB2">
      <w:pPr>
        <w:pStyle w:val="Body"/>
      </w:pPr>
      <w:r w:rsidRPr="008843F0">
        <w:t xml:space="preserve">The low percentage of documented blood loss </w:t>
      </w:r>
      <w:r w:rsidR="00AE1BB2">
        <w:t>may be due to the:</w:t>
      </w:r>
    </w:p>
    <w:p w14:paraId="1E4B54E8" w14:textId="21AE65AB" w:rsidR="00AE1BB2" w:rsidRPr="00AE1BB2" w:rsidRDefault="00ED76BB" w:rsidP="002B2FD9">
      <w:pPr>
        <w:pStyle w:val="Bullet1"/>
      </w:pPr>
      <w:r w:rsidRPr="0038378B">
        <w:t xml:space="preserve">difficulty </w:t>
      </w:r>
      <w:r w:rsidR="00AE1BB2" w:rsidRPr="00AE1BB2">
        <w:t xml:space="preserve">of theatre staff in </w:t>
      </w:r>
      <w:r w:rsidRPr="00AE1BB2">
        <w:t>documenting</w:t>
      </w:r>
      <w:r w:rsidR="00AE1BB2" w:rsidRPr="00AE1BB2">
        <w:t xml:space="preserve"> it</w:t>
      </w:r>
    </w:p>
    <w:p w14:paraId="4782FE85" w14:textId="2A28C33A" w:rsidR="00AE1BB2" w:rsidRPr="00AE1BB2" w:rsidRDefault="00ED76BB" w:rsidP="002B2FD9">
      <w:pPr>
        <w:pStyle w:val="Bullet1"/>
      </w:pPr>
      <w:r w:rsidRPr="00AE1BB2">
        <w:t>difficulty</w:t>
      </w:r>
      <w:r w:rsidR="00AE1BB2" w:rsidRPr="00AE1BB2">
        <w:t xml:space="preserve"> of</w:t>
      </w:r>
      <w:r w:rsidRPr="00AE1BB2">
        <w:t xml:space="preserve"> </w:t>
      </w:r>
      <w:r w:rsidR="00AE1BB2" w:rsidRPr="00AE1BB2">
        <w:t xml:space="preserve">auditors in </w:t>
      </w:r>
      <w:r w:rsidRPr="00AE1BB2">
        <w:t>finding the documentation</w:t>
      </w:r>
    </w:p>
    <w:p w14:paraId="65CA3FD8" w14:textId="4E15C6EC" w:rsidR="00ED76BB" w:rsidRPr="00AE1BB2" w:rsidRDefault="00ED76BB" w:rsidP="002B2FD9">
      <w:pPr>
        <w:pStyle w:val="Bullet1"/>
      </w:pPr>
      <w:r w:rsidRPr="00AE1BB2">
        <w:t xml:space="preserve">blood loss </w:t>
      </w:r>
      <w:r w:rsidR="00AE1BB2" w:rsidRPr="00AE1BB2">
        <w:t xml:space="preserve">being </w:t>
      </w:r>
      <w:r w:rsidRPr="00AE1BB2">
        <w:t>too low to warrant documenting.</w:t>
      </w:r>
    </w:p>
    <w:p w14:paraId="1B003430" w14:textId="77777777" w:rsidR="00ED76BB" w:rsidRPr="008843F0" w:rsidRDefault="00ED76BB" w:rsidP="002B2FD9">
      <w:pPr>
        <w:pStyle w:val="Bodyafterbullets"/>
      </w:pPr>
      <w:r w:rsidRPr="008843F0">
        <w:t xml:space="preserve">Documentation of </w:t>
      </w:r>
      <w:r w:rsidRPr="00DF1B38">
        <w:t>intraoperative</w:t>
      </w:r>
      <w:r w:rsidRPr="008843F0">
        <w:t xml:space="preserve"> blood loss (37 per cent) has </w:t>
      </w:r>
      <w:r w:rsidRPr="0038378B">
        <w:t>changed</w:t>
      </w:r>
      <w:r w:rsidRPr="008843F0">
        <w:t xml:space="preserve"> marginally since the 2015 audit, which showed 31 per cent of operative procedures audited with documented blood loss.</w:t>
      </w:r>
    </w:p>
    <w:p w14:paraId="71DECC6F" w14:textId="77777777" w:rsidR="00ED76BB" w:rsidRPr="00DF1B38" w:rsidRDefault="00ED76BB" w:rsidP="002B2FD9">
      <w:pPr>
        <w:pStyle w:val="Heading3"/>
      </w:pPr>
      <w:r w:rsidRPr="008843F0">
        <w:t>Intraoperative cell salvage</w:t>
      </w:r>
    </w:p>
    <w:p w14:paraId="0815B1FA" w14:textId="77777777" w:rsidR="00AE1BB2" w:rsidRDefault="00ED76BB" w:rsidP="00ED76BB">
      <w:pPr>
        <w:pStyle w:val="Body"/>
      </w:pPr>
      <w:r w:rsidRPr="008843F0">
        <w:t>For surgical procedures in which substantial blood loss is anticipated</w:t>
      </w:r>
      <w:r w:rsidR="00AE1BB2">
        <w:t>,</w:t>
      </w:r>
      <w:r w:rsidRPr="008843F0">
        <w:t xml:space="preserve"> intraoperative cell salvage is recommended (Module 2: R15). </w:t>
      </w:r>
    </w:p>
    <w:p w14:paraId="0B55A49B" w14:textId="347D34A3" w:rsidR="00ED76BB" w:rsidRPr="008843F0" w:rsidRDefault="00ED76BB" w:rsidP="00ED76BB">
      <w:pPr>
        <w:pStyle w:val="Body"/>
      </w:pPr>
      <w:r w:rsidRPr="008843F0">
        <w:t xml:space="preserve">Intraoperative cell </w:t>
      </w:r>
      <w:r w:rsidRPr="00DF1B38">
        <w:t>salvage</w:t>
      </w:r>
      <w:r w:rsidRPr="008843F0">
        <w:t xml:space="preserve"> can be an important component of a </w:t>
      </w:r>
      <w:r w:rsidR="00AE1BB2">
        <w:t>PBM</w:t>
      </w:r>
      <w:r w:rsidRPr="008843F0">
        <w:t xml:space="preserve"> program</w:t>
      </w:r>
      <w:r w:rsidR="00AE1BB2">
        <w:t>,</w:t>
      </w:r>
      <w:r w:rsidRPr="008843F0">
        <w:t xml:space="preserve"> as it is an autologous blood conservation measure that decreases net perioperative blood loss, maintains postoperative haemoglobin and reduces the requirements for allogeneic blood transfusion (NBA 2012 (1b)).</w:t>
      </w:r>
    </w:p>
    <w:p w14:paraId="4D8C99CD" w14:textId="6DCAB850" w:rsidR="00AE1BB2" w:rsidRDefault="00ED76BB" w:rsidP="00ED76BB">
      <w:pPr>
        <w:pStyle w:val="Body"/>
      </w:pPr>
      <w:r w:rsidRPr="008843F0">
        <w:t xml:space="preserve">Only </w:t>
      </w:r>
      <w:r w:rsidR="00AE1BB2">
        <w:t>9</w:t>
      </w:r>
      <w:r w:rsidR="00AE1BB2" w:rsidRPr="008843F0">
        <w:t xml:space="preserve"> </w:t>
      </w:r>
      <w:r w:rsidRPr="008843F0">
        <w:t xml:space="preserve">of 59 (15 per cent) health services reported using cell salvage on 52 (3 per cent) patients; of these 36 (69 per cent) patients received returned cell salvaged blood. This is only </w:t>
      </w:r>
      <w:r w:rsidR="00AE1BB2">
        <w:t>2</w:t>
      </w:r>
      <w:r w:rsidR="00AE1BB2" w:rsidRPr="008843F0">
        <w:t xml:space="preserve"> </w:t>
      </w:r>
      <w:r w:rsidRPr="008843F0">
        <w:t>per cent of all patients audited.</w:t>
      </w:r>
    </w:p>
    <w:p w14:paraId="6F987F89" w14:textId="0D1FB29C" w:rsidR="00ED76BB" w:rsidRPr="00DF1B38" w:rsidRDefault="00ED76BB" w:rsidP="00ED76BB">
      <w:pPr>
        <w:pStyle w:val="Body"/>
      </w:pPr>
      <w:r w:rsidRPr="008843F0">
        <w:t xml:space="preserve">Low collected volume was the reason most frequently cited for not </w:t>
      </w:r>
      <w:r w:rsidR="004427B0">
        <w:t>returning</w:t>
      </w:r>
      <w:r w:rsidR="004427B0" w:rsidRPr="008843F0">
        <w:t xml:space="preserve"> </w:t>
      </w:r>
      <w:r w:rsidRPr="008843F0">
        <w:t xml:space="preserve">the salvaged blood. </w:t>
      </w:r>
      <w:r w:rsidR="00AE1BB2">
        <w:t>The audit did not include q</w:t>
      </w:r>
      <w:r w:rsidRPr="008843F0">
        <w:t xml:space="preserve">uestions regarding the availability of cell salvage equipment and staff to operate </w:t>
      </w:r>
      <w:r w:rsidR="00AE1BB2">
        <w:t>it</w:t>
      </w:r>
      <w:r w:rsidRPr="00DF1B38">
        <w:t>.</w:t>
      </w:r>
    </w:p>
    <w:p w14:paraId="2071975F" w14:textId="554FDF84" w:rsidR="00AE1BB2" w:rsidRDefault="00ED76BB" w:rsidP="00ED76BB">
      <w:pPr>
        <w:pStyle w:val="Body"/>
      </w:pPr>
      <w:r w:rsidRPr="008843F0">
        <w:lastRenderedPageBreak/>
        <w:t xml:space="preserve">The reasons for not </w:t>
      </w:r>
      <w:r w:rsidRPr="00DF1B38">
        <w:t>undertaking</w:t>
      </w:r>
      <w:r w:rsidRPr="008843F0">
        <w:t xml:space="preserve"> cell salvage are unclear, </w:t>
      </w:r>
      <w:r w:rsidR="00971720">
        <w:t>but</w:t>
      </w:r>
      <w:r w:rsidR="00971720" w:rsidRPr="008843F0">
        <w:t xml:space="preserve"> </w:t>
      </w:r>
      <w:r w:rsidR="00971720">
        <w:t>they</w:t>
      </w:r>
      <w:r w:rsidR="00971720" w:rsidRPr="008843F0">
        <w:t xml:space="preserve"> </w:t>
      </w:r>
      <w:r w:rsidRPr="008843F0">
        <w:t>may be related to logistical and/or financial reasons.</w:t>
      </w:r>
    </w:p>
    <w:p w14:paraId="48619192" w14:textId="5C149D35" w:rsidR="00ED76BB" w:rsidRPr="00DF1B38" w:rsidRDefault="00ED76BB" w:rsidP="00ED76BB">
      <w:pPr>
        <w:pStyle w:val="Body"/>
      </w:pPr>
      <w:proofErr w:type="spellStart"/>
      <w:r w:rsidRPr="008843F0">
        <w:t>Roets</w:t>
      </w:r>
      <w:proofErr w:type="spellEnd"/>
      <w:r w:rsidRPr="008843F0">
        <w:t xml:space="preserve"> et</w:t>
      </w:r>
      <w:r w:rsidR="00AE1BB2">
        <w:t xml:space="preserve"> </w:t>
      </w:r>
      <w:r w:rsidRPr="008843F0">
        <w:t xml:space="preserve">al. (2019) report that the success of cell salvage relies on specialised equipment and techniques to collect, process, </w:t>
      </w:r>
      <w:proofErr w:type="spellStart"/>
      <w:r w:rsidRPr="008843F0">
        <w:t>anticoagulate</w:t>
      </w:r>
      <w:proofErr w:type="spellEnd"/>
      <w:r w:rsidRPr="008843F0">
        <w:t xml:space="preserve">, filter and reinfuse blood. </w:t>
      </w:r>
    </w:p>
    <w:p w14:paraId="621A6FF8" w14:textId="3181AFBE" w:rsidR="00ED76BB" w:rsidRPr="008843F0" w:rsidRDefault="004427B0" w:rsidP="002B2FD9">
      <w:pPr>
        <w:pStyle w:val="Tablecaption"/>
      </w:pPr>
      <w:r>
        <w:t xml:space="preserve">Table </w:t>
      </w:r>
      <w:r w:rsidR="006F4FEC">
        <w:t>20</w:t>
      </w:r>
      <w:r w:rsidR="00ED76BB" w:rsidRPr="008843F0">
        <w:t xml:space="preserve">: Use of intraoperative cell salvage by </w:t>
      </w:r>
      <w:r w:rsidR="00ED76BB" w:rsidRPr="00DF1B38">
        <w:t>surgery</w:t>
      </w:r>
      <w:r w:rsidR="00ED76BB" w:rsidRPr="008843F0">
        <w:t xml:space="preserve"> type</w:t>
      </w:r>
    </w:p>
    <w:tbl>
      <w:tblPr>
        <w:tblStyle w:val="TableGrid5"/>
        <w:tblW w:w="8959" w:type="dxa"/>
        <w:tblLook w:val="04A0" w:firstRow="1" w:lastRow="0" w:firstColumn="1" w:lastColumn="0" w:noHBand="0" w:noVBand="1"/>
      </w:tblPr>
      <w:tblGrid>
        <w:gridCol w:w="2697"/>
        <w:gridCol w:w="2169"/>
        <w:gridCol w:w="2100"/>
        <w:gridCol w:w="1993"/>
      </w:tblGrid>
      <w:tr w:rsidR="00ED76BB" w:rsidRPr="008843F0" w14:paraId="5B299646" w14:textId="77777777" w:rsidTr="002B2FD9">
        <w:trPr>
          <w:tblHeader/>
        </w:trPr>
        <w:tc>
          <w:tcPr>
            <w:tcW w:w="2697" w:type="dxa"/>
            <w:vAlign w:val="center"/>
          </w:tcPr>
          <w:p w14:paraId="2B466672" w14:textId="77777777" w:rsidR="00ED76BB" w:rsidRPr="008843F0" w:rsidRDefault="00ED76BB" w:rsidP="003C2836">
            <w:pPr>
              <w:pStyle w:val="Tablecolhead"/>
            </w:pPr>
            <w:r w:rsidRPr="008843F0">
              <w:rPr>
                <w:lang w:eastAsia="en-AU"/>
              </w:rPr>
              <w:t>Surgery</w:t>
            </w:r>
          </w:p>
        </w:tc>
        <w:tc>
          <w:tcPr>
            <w:tcW w:w="2169" w:type="dxa"/>
            <w:vAlign w:val="center"/>
          </w:tcPr>
          <w:p w14:paraId="46D4E5BA" w14:textId="77777777" w:rsidR="00ED76BB" w:rsidRPr="008843F0" w:rsidRDefault="00ED76BB" w:rsidP="003C2836">
            <w:pPr>
              <w:pStyle w:val="Tablecolhead"/>
            </w:pPr>
            <w:r w:rsidRPr="008843F0">
              <w:rPr>
                <w:lang w:eastAsia="en-AU"/>
              </w:rPr>
              <w:t>Number of patients using cell salvage intraoperatively (%)</w:t>
            </w:r>
          </w:p>
        </w:tc>
        <w:tc>
          <w:tcPr>
            <w:tcW w:w="2100" w:type="dxa"/>
          </w:tcPr>
          <w:p w14:paraId="707DE0E4" w14:textId="77777777" w:rsidR="00ED76BB" w:rsidRPr="008843F0" w:rsidRDefault="00ED76BB" w:rsidP="003C2836">
            <w:pPr>
              <w:pStyle w:val="Tablecolhead"/>
            </w:pPr>
            <w:r w:rsidRPr="008843F0">
              <w:rPr>
                <w:lang w:eastAsia="en-AU"/>
              </w:rPr>
              <w:t>Number of patients having cell salvage returned (%)</w:t>
            </w:r>
          </w:p>
        </w:tc>
        <w:tc>
          <w:tcPr>
            <w:tcW w:w="1993" w:type="dxa"/>
          </w:tcPr>
          <w:p w14:paraId="2829803E" w14:textId="77777777" w:rsidR="00ED76BB" w:rsidRPr="008843F0" w:rsidRDefault="00ED76BB" w:rsidP="003C2836">
            <w:pPr>
              <w:pStyle w:val="Tablecolhead"/>
            </w:pPr>
            <w:r w:rsidRPr="008843F0">
              <w:t>Volume (mL) returned</w:t>
            </w:r>
            <w:r w:rsidRPr="008843F0">
              <w:br/>
              <w:t>average (range)</w:t>
            </w:r>
          </w:p>
        </w:tc>
      </w:tr>
      <w:tr w:rsidR="00ED76BB" w:rsidRPr="008843F0" w14:paraId="00BA48B2" w14:textId="77777777" w:rsidTr="003C2836">
        <w:tc>
          <w:tcPr>
            <w:tcW w:w="2697" w:type="dxa"/>
          </w:tcPr>
          <w:p w14:paraId="6576EDC5" w14:textId="77777777" w:rsidR="00ED76BB" w:rsidRPr="00DF1B38" w:rsidRDefault="00ED76BB" w:rsidP="003C2836">
            <w:pPr>
              <w:pStyle w:val="Tabletext"/>
            </w:pPr>
            <w:r w:rsidRPr="00DF1B38">
              <w:t>Orthopaedics</w:t>
            </w:r>
          </w:p>
        </w:tc>
        <w:tc>
          <w:tcPr>
            <w:tcW w:w="2169" w:type="dxa"/>
          </w:tcPr>
          <w:p w14:paraId="1E8C7F73" w14:textId="4448A6F3" w:rsidR="00ED76BB" w:rsidRPr="00DF1B38" w:rsidRDefault="00ED76BB" w:rsidP="002B2FD9">
            <w:pPr>
              <w:pStyle w:val="Tabletext"/>
              <w:jc w:val="right"/>
            </w:pPr>
            <w:r w:rsidRPr="00DF1B38">
              <w:t>37 (5%)</w:t>
            </w:r>
          </w:p>
        </w:tc>
        <w:tc>
          <w:tcPr>
            <w:tcW w:w="2100" w:type="dxa"/>
          </w:tcPr>
          <w:p w14:paraId="0F02334D" w14:textId="77777777" w:rsidR="00ED76BB" w:rsidRPr="00DF1B38" w:rsidRDefault="00ED76BB" w:rsidP="002B2FD9">
            <w:pPr>
              <w:pStyle w:val="Tabletext"/>
              <w:jc w:val="right"/>
            </w:pPr>
            <w:r w:rsidRPr="00DF1B38">
              <w:t>31 (84%)</w:t>
            </w:r>
          </w:p>
        </w:tc>
        <w:tc>
          <w:tcPr>
            <w:tcW w:w="1993" w:type="dxa"/>
          </w:tcPr>
          <w:p w14:paraId="6276C040" w14:textId="46AD6020" w:rsidR="00ED76BB" w:rsidRPr="00DF1B38" w:rsidRDefault="00ED76BB" w:rsidP="002B2FD9">
            <w:pPr>
              <w:pStyle w:val="Tabletext"/>
              <w:jc w:val="right"/>
            </w:pPr>
            <w:r w:rsidRPr="00DF1B38">
              <w:t>262 (55–1</w:t>
            </w:r>
            <w:r w:rsidR="004427B0">
              <w:t>,</w:t>
            </w:r>
            <w:r w:rsidRPr="00DF1B38">
              <w:t>000)</w:t>
            </w:r>
          </w:p>
        </w:tc>
      </w:tr>
      <w:tr w:rsidR="00ED76BB" w:rsidRPr="008843F0" w14:paraId="28922C6A" w14:textId="77777777" w:rsidTr="003C2836">
        <w:tc>
          <w:tcPr>
            <w:tcW w:w="2697" w:type="dxa"/>
          </w:tcPr>
          <w:p w14:paraId="0583884B" w14:textId="77777777" w:rsidR="00ED76BB" w:rsidRPr="00DF1B38" w:rsidRDefault="00ED76BB" w:rsidP="003C2836">
            <w:pPr>
              <w:pStyle w:val="Tabletext"/>
            </w:pPr>
            <w:r w:rsidRPr="00DF1B38">
              <w:t>Gynaecology</w:t>
            </w:r>
          </w:p>
        </w:tc>
        <w:tc>
          <w:tcPr>
            <w:tcW w:w="2169" w:type="dxa"/>
          </w:tcPr>
          <w:p w14:paraId="22105E7F" w14:textId="77777777" w:rsidR="00ED76BB" w:rsidRPr="00DF1B38" w:rsidRDefault="00ED76BB" w:rsidP="002B2FD9">
            <w:pPr>
              <w:pStyle w:val="Tabletext"/>
              <w:jc w:val="right"/>
            </w:pPr>
            <w:r w:rsidRPr="00DF1B38">
              <w:t>-</w:t>
            </w:r>
          </w:p>
        </w:tc>
        <w:tc>
          <w:tcPr>
            <w:tcW w:w="2100" w:type="dxa"/>
          </w:tcPr>
          <w:p w14:paraId="6905E46A" w14:textId="77777777" w:rsidR="00ED76BB" w:rsidRPr="00DF1B38" w:rsidRDefault="00ED76BB" w:rsidP="002B2FD9">
            <w:pPr>
              <w:pStyle w:val="Tabletext"/>
              <w:jc w:val="right"/>
            </w:pPr>
            <w:r w:rsidRPr="00DF1B38">
              <w:t>-</w:t>
            </w:r>
          </w:p>
        </w:tc>
        <w:tc>
          <w:tcPr>
            <w:tcW w:w="1993" w:type="dxa"/>
          </w:tcPr>
          <w:p w14:paraId="2218B2DA" w14:textId="77777777" w:rsidR="00ED76BB" w:rsidRPr="00DF1B38" w:rsidRDefault="00ED76BB" w:rsidP="002B2FD9">
            <w:pPr>
              <w:pStyle w:val="Tabletext"/>
              <w:jc w:val="right"/>
            </w:pPr>
            <w:r w:rsidRPr="00DF1B38">
              <w:t>-</w:t>
            </w:r>
          </w:p>
        </w:tc>
      </w:tr>
      <w:tr w:rsidR="00ED76BB" w:rsidRPr="008843F0" w14:paraId="225EF69D" w14:textId="77777777" w:rsidTr="003C2836">
        <w:tc>
          <w:tcPr>
            <w:tcW w:w="2697" w:type="dxa"/>
          </w:tcPr>
          <w:p w14:paraId="0ABEA279" w14:textId="77777777" w:rsidR="00ED76BB" w:rsidRPr="00DF1B38" w:rsidRDefault="00ED76BB" w:rsidP="003C2836">
            <w:pPr>
              <w:pStyle w:val="Tabletext"/>
            </w:pPr>
            <w:r w:rsidRPr="00DF1B38">
              <w:t>Major gastrointestinal</w:t>
            </w:r>
          </w:p>
        </w:tc>
        <w:tc>
          <w:tcPr>
            <w:tcW w:w="2169" w:type="dxa"/>
          </w:tcPr>
          <w:p w14:paraId="4E6BA5C4" w14:textId="77777777" w:rsidR="00ED76BB" w:rsidRPr="00DF1B38" w:rsidRDefault="00ED76BB" w:rsidP="002B2FD9">
            <w:pPr>
              <w:pStyle w:val="Tabletext"/>
              <w:jc w:val="right"/>
            </w:pPr>
            <w:r w:rsidRPr="00DF1B38">
              <w:t>1 (0.3%)</w:t>
            </w:r>
          </w:p>
        </w:tc>
        <w:tc>
          <w:tcPr>
            <w:tcW w:w="2100" w:type="dxa"/>
          </w:tcPr>
          <w:p w14:paraId="12C337AF" w14:textId="77777777" w:rsidR="00ED76BB" w:rsidRPr="00DF1B38" w:rsidRDefault="00ED76BB" w:rsidP="002B2FD9">
            <w:pPr>
              <w:pStyle w:val="Tabletext"/>
              <w:jc w:val="right"/>
            </w:pPr>
            <w:r w:rsidRPr="00DF1B38">
              <w:t>-</w:t>
            </w:r>
          </w:p>
        </w:tc>
        <w:tc>
          <w:tcPr>
            <w:tcW w:w="1993" w:type="dxa"/>
          </w:tcPr>
          <w:p w14:paraId="663BE221" w14:textId="77777777" w:rsidR="00ED76BB" w:rsidRPr="00DF1B38" w:rsidRDefault="00ED76BB" w:rsidP="002B2FD9">
            <w:pPr>
              <w:pStyle w:val="Tabletext"/>
              <w:jc w:val="right"/>
            </w:pPr>
            <w:r w:rsidRPr="00DF1B38">
              <w:t>-</w:t>
            </w:r>
          </w:p>
        </w:tc>
      </w:tr>
      <w:tr w:rsidR="00ED76BB" w:rsidRPr="008843F0" w14:paraId="4390F550" w14:textId="77777777" w:rsidTr="003C2836">
        <w:tc>
          <w:tcPr>
            <w:tcW w:w="2697" w:type="dxa"/>
          </w:tcPr>
          <w:p w14:paraId="3027AAB8" w14:textId="77777777" w:rsidR="00ED76BB" w:rsidRPr="00DF1B38" w:rsidRDefault="00ED76BB" w:rsidP="003C2836">
            <w:pPr>
              <w:pStyle w:val="Tabletext"/>
            </w:pPr>
            <w:r w:rsidRPr="00DF1B38">
              <w:t>Cardiothoracic</w:t>
            </w:r>
          </w:p>
        </w:tc>
        <w:tc>
          <w:tcPr>
            <w:tcW w:w="2169" w:type="dxa"/>
          </w:tcPr>
          <w:p w14:paraId="7CCD2BD5" w14:textId="77777777" w:rsidR="00ED76BB" w:rsidRPr="00DF1B38" w:rsidRDefault="00ED76BB" w:rsidP="002B2FD9">
            <w:pPr>
              <w:pStyle w:val="Tabletext"/>
              <w:jc w:val="right"/>
            </w:pPr>
            <w:r w:rsidRPr="00DF1B38">
              <w:t>14 (11%)</w:t>
            </w:r>
          </w:p>
        </w:tc>
        <w:tc>
          <w:tcPr>
            <w:tcW w:w="2100" w:type="dxa"/>
          </w:tcPr>
          <w:p w14:paraId="66178629" w14:textId="77777777" w:rsidR="00ED76BB" w:rsidRPr="00DF1B38" w:rsidRDefault="00ED76BB" w:rsidP="002B2FD9">
            <w:pPr>
              <w:pStyle w:val="Tabletext"/>
              <w:jc w:val="right"/>
            </w:pPr>
            <w:r w:rsidRPr="00DF1B38">
              <w:t>5 (36%)</w:t>
            </w:r>
          </w:p>
        </w:tc>
        <w:tc>
          <w:tcPr>
            <w:tcW w:w="1993" w:type="dxa"/>
          </w:tcPr>
          <w:p w14:paraId="2F82AF6F" w14:textId="2C50E00D" w:rsidR="00ED76BB" w:rsidRPr="00DF1B38" w:rsidRDefault="00ED76BB" w:rsidP="002B2FD9">
            <w:pPr>
              <w:pStyle w:val="Tabletext"/>
              <w:jc w:val="right"/>
            </w:pPr>
            <w:r w:rsidRPr="00DF1B38">
              <w:t>628 (150–1</w:t>
            </w:r>
            <w:r w:rsidR="004427B0">
              <w:t>,</w:t>
            </w:r>
            <w:r w:rsidRPr="00DF1B38">
              <w:t>957)</w:t>
            </w:r>
          </w:p>
        </w:tc>
      </w:tr>
      <w:tr w:rsidR="00ED76BB" w:rsidRPr="008843F0" w14:paraId="5885BA8A" w14:textId="77777777" w:rsidTr="003C2836">
        <w:tc>
          <w:tcPr>
            <w:tcW w:w="2697" w:type="dxa"/>
          </w:tcPr>
          <w:p w14:paraId="2B1FDC8C" w14:textId="77777777" w:rsidR="00ED76BB" w:rsidRPr="00DF1B38" w:rsidRDefault="00ED76BB" w:rsidP="003C2836">
            <w:pPr>
              <w:pStyle w:val="Tabletext"/>
              <w:rPr>
                <w:b/>
                <w:bCs/>
              </w:rPr>
            </w:pPr>
            <w:r w:rsidRPr="00DF1B38">
              <w:rPr>
                <w:b/>
                <w:bCs/>
              </w:rPr>
              <w:t>Total (all surgical types)</w:t>
            </w:r>
          </w:p>
        </w:tc>
        <w:tc>
          <w:tcPr>
            <w:tcW w:w="2169" w:type="dxa"/>
          </w:tcPr>
          <w:p w14:paraId="005CC293" w14:textId="77777777" w:rsidR="00ED76BB" w:rsidRPr="00DF1B38" w:rsidRDefault="00ED76BB" w:rsidP="002B2FD9">
            <w:pPr>
              <w:pStyle w:val="Tabletext"/>
              <w:jc w:val="right"/>
              <w:rPr>
                <w:b/>
                <w:bCs/>
              </w:rPr>
            </w:pPr>
            <w:r w:rsidRPr="00DF1B38">
              <w:rPr>
                <w:b/>
                <w:bCs/>
              </w:rPr>
              <w:t>52 (3%)</w:t>
            </w:r>
          </w:p>
        </w:tc>
        <w:tc>
          <w:tcPr>
            <w:tcW w:w="2100" w:type="dxa"/>
          </w:tcPr>
          <w:p w14:paraId="01A14178" w14:textId="77777777" w:rsidR="00ED76BB" w:rsidRPr="00DF1B38" w:rsidRDefault="00ED76BB" w:rsidP="002B2FD9">
            <w:pPr>
              <w:pStyle w:val="Tabletext"/>
              <w:jc w:val="right"/>
              <w:rPr>
                <w:b/>
                <w:bCs/>
              </w:rPr>
            </w:pPr>
            <w:r w:rsidRPr="00DF1B38">
              <w:rPr>
                <w:b/>
                <w:bCs/>
              </w:rPr>
              <w:t>36 (69%)</w:t>
            </w:r>
          </w:p>
        </w:tc>
        <w:tc>
          <w:tcPr>
            <w:tcW w:w="1993" w:type="dxa"/>
          </w:tcPr>
          <w:p w14:paraId="225957B0" w14:textId="41431226" w:rsidR="00ED76BB" w:rsidRPr="00DF1B38" w:rsidRDefault="00ED76BB" w:rsidP="002B2FD9">
            <w:pPr>
              <w:pStyle w:val="Tabletext"/>
              <w:jc w:val="right"/>
              <w:rPr>
                <w:b/>
                <w:bCs/>
              </w:rPr>
            </w:pPr>
            <w:r w:rsidRPr="00DF1B38">
              <w:rPr>
                <w:b/>
                <w:bCs/>
              </w:rPr>
              <w:t>312 (55–1</w:t>
            </w:r>
            <w:r w:rsidR="004427B0">
              <w:rPr>
                <w:b/>
                <w:bCs/>
              </w:rPr>
              <w:t>,</w:t>
            </w:r>
            <w:r w:rsidRPr="00DF1B38">
              <w:rPr>
                <w:b/>
                <w:bCs/>
              </w:rPr>
              <w:t>957)</w:t>
            </w:r>
          </w:p>
        </w:tc>
      </w:tr>
    </w:tbl>
    <w:p w14:paraId="17AD4300" w14:textId="748D7722" w:rsidR="004427B0" w:rsidRDefault="00ED76BB" w:rsidP="004427B0">
      <w:pPr>
        <w:pStyle w:val="Bodyaftertablefigure"/>
      </w:pPr>
      <w:r w:rsidRPr="008843F0">
        <w:t xml:space="preserve">The United Kingdom (UK) Association of </w:t>
      </w:r>
      <w:r w:rsidRPr="0038378B">
        <w:t>Anaesthetists</w:t>
      </w:r>
      <w:r w:rsidRPr="008843F0">
        <w:t xml:space="preserve"> 2018 cell salvage guidelines (Klein et</w:t>
      </w:r>
      <w:r w:rsidR="004427B0">
        <w:t xml:space="preserve"> </w:t>
      </w:r>
      <w:r w:rsidRPr="008843F0">
        <w:t>al. 2018) state</w:t>
      </w:r>
      <w:r w:rsidR="00401F99">
        <w:t xml:space="preserve"> that</w:t>
      </w:r>
      <w:r w:rsidRPr="008843F0">
        <w:t xml:space="preserve"> the anaesthetist has responsibility in the area of PBM in general and in cell salvage in particular</w:t>
      </w:r>
      <w:r w:rsidR="004427B0">
        <w:t>:</w:t>
      </w:r>
    </w:p>
    <w:p w14:paraId="53D0EDD2" w14:textId="5BEA8F13" w:rsidR="004427B0" w:rsidRDefault="00ED76BB" w:rsidP="002B2FD9">
      <w:pPr>
        <w:pStyle w:val="Quotetext"/>
        <w:rPr>
          <w:lang w:eastAsia="en-AU"/>
        </w:rPr>
      </w:pPr>
      <w:r w:rsidRPr="008843F0">
        <w:rPr>
          <w:lang w:eastAsia="en-AU"/>
        </w:rPr>
        <w:t xml:space="preserve">During the perioperative care of a patient, the anaesthetist has a fundamental role in advocating PBM strategies. Cell salvage is a key </w:t>
      </w:r>
      <w:r w:rsidRPr="00DF1B38">
        <w:t>part</w:t>
      </w:r>
      <w:r w:rsidRPr="008843F0">
        <w:rPr>
          <w:lang w:eastAsia="en-AU"/>
        </w:rPr>
        <w:t xml:space="preserve"> of PBM and is a relatively simple and effective blood conservation technique that reduces the requirement for and amount of allogeneic blood transfusion and maintains postoperative haemoglobin concentration</w:t>
      </w:r>
      <w:r w:rsidR="00401F99">
        <w:rPr>
          <w:lang w:eastAsia="en-AU"/>
        </w:rPr>
        <w:t xml:space="preserve"> (Klein et al. 2018)</w:t>
      </w:r>
      <w:r w:rsidRPr="008843F0">
        <w:rPr>
          <w:lang w:eastAsia="en-AU"/>
        </w:rPr>
        <w:t>.</w:t>
      </w:r>
    </w:p>
    <w:p w14:paraId="126B5745" w14:textId="1E8F7D8E" w:rsidR="00105F80" w:rsidRDefault="00ED76BB" w:rsidP="002B2FD9">
      <w:pPr>
        <w:pStyle w:val="Body"/>
      </w:pPr>
      <w:r w:rsidRPr="008843F0">
        <w:t xml:space="preserve">The guidelines published by the Association of Anaesthetists UK 2018 recommends cell salvage in </w:t>
      </w:r>
      <w:r w:rsidRPr="0038378B">
        <w:t>cancer</w:t>
      </w:r>
      <w:r w:rsidRPr="008843F0">
        <w:t xml:space="preserve"> surgery and infected fields be considered on a case by case basis, with the patient’s consent. </w:t>
      </w:r>
    </w:p>
    <w:p w14:paraId="09FB4D2A" w14:textId="256E19C8" w:rsidR="00105F80" w:rsidRDefault="00ED76BB" w:rsidP="00105F80">
      <w:pPr>
        <w:pStyle w:val="Body"/>
      </w:pPr>
      <w:r w:rsidRPr="008843F0">
        <w:t xml:space="preserve">The 2018 guideline Appendix VI, ‘Use of intraoperative cell salvage in malignant disease’ states a number of published reports </w:t>
      </w:r>
      <w:r w:rsidR="00105F80">
        <w:t>find</w:t>
      </w:r>
      <w:r w:rsidRPr="008843F0">
        <w:t xml:space="preserve"> the use of intraoperative cell salvage in cancer surgery </w:t>
      </w:r>
      <w:r w:rsidR="00105F80">
        <w:t>is</w:t>
      </w:r>
      <w:r w:rsidR="00105F80" w:rsidRPr="008843F0">
        <w:t xml:space="preserve"> </w:t>
      </w:r>
      <w:r w:rsidRPr="008843F0">
        <w:t xml:space="preserve">not associated with early metastasis or a difference in biochemical recurrence. </w:t>
      </w:r>
    </w:p>
    <w:p w14:paraId="66ED1AFB" w14:textId="3239830F" w:rsidR="00105F80" w:rsidRDefault="00ED76BB" w:rsidP="00105F80">
      <w:pPr>
        <w:pStyle w:val="Body"/>
      </w:pPr>
      <w:r w:rsidRPr="008843F0">
        <w:t xml:space="preserve">It also states that some hospitals routinely use intraoperative cell salvage during cancer surgery. The use of cell salvage in these circumstances is consistent </w:t>
      </w:r>
      <w:r w:rsidR="00401F99">
        <w:t>with</w:t>
      </w:r>
      <w:r w:rsidR="00401F99" w:rsidRPr="008843F0">
        <w:t xml:space="preserve"> </w:t>
      </w:r>
      <w:r w:rsidRPr="008843F0">
        <w:t>the literature, although the</w:t>
      </w:r>
      <w:r w:rsidR="00E17191">
        <w:t xml:space="preserve"> </w:t>
      </w:r>
      <w:r w:rsidRPr="008843F0">
        <w:t>manufacturer</w:t>
      </w:r>
      <w:r w:rsidR="00E17191">
        <w:t>s</w:t>
      </w:r>
      <w:r w:rsidRPr="008843F0">
        <w:t xml:space="preserve"> consider these areas as contraindicated. </w:t>
      </w:r>
    </w:p>
    <w:p w14:paraId="1D658A26" w14:textId="64A8F589" w:rsidR="00105F80" w:rsidRDefault="00ED76BB" w:rsidP="00105F80">
      <w:pPr>
        <w:pStyle w:val="Body"/>
      </w:pPr>
      <w:r w:rsidRPr="008843F0">
        <w:t>The NBA guidance for the provision of intraoperative cell salvage (2014) supports the use of intraoperative cell salvage to reduce the need for allogeneic blood</w:t>
      </w:r>
      <w:r w:rsidR="00105F80">
        <w:t xml:space="preserve">. </w:t>
      </w:r>
    </w:p>
    <w:p w14:paraId="713F9CB0" w14:textId="248646A0" w:rsidR="00ED76BB" w:rsidRPr="008843F0" w:rsidRDefault="00105F80" w:rsidP="0038378B">
      <w:pPr>
        <w:pStyle w:val="Body"/>
      </w:pPr>
      <w:r>
        <w:t>H</w:t>
      </w:r>
      <w:r w:rsidR="00ED76BB" w:rsidRPr="008843F0">
        <w:t>owever</w:t>
      </w:r>
      <w:r>
        <w:t>,</w:t>
      </w:r>
      <w:r w:rsidR="00ED76BB" w:rsidRPr="008843F0">
        <w:t xml:space="preserve"> the companion guide states that it is not recommended when bowel content or infected material is present in the surgical field. This is based on a 2008 UK Cell Salvage Action Group </w:t>
      </w:r>
      <w:proofErr w:type="gramStart"/>
      <w:r w:rsidR="00401F99">
        <w:t>recommendation</w:t>
      </w:r>
      <w:r>
        <w:t>,</w:t>
      </w:r>
      <w:proofErr w:type="gramEnd"/>
      <w:r w:rsidR="00ED76BB" w:rsidRPr="008843F0">
        <w:t xml:space="preserve"> </w:t>
      </w:r>
      <w:r w:rsidR="00783832">
        <w:t xml:space="preserve">however it is </w:t>
      </w:r>
      <w:r>
        <w:t xml:space="preserve">now included in </w:t>
      </w:r>
      <w:r w:rsidR="00ED76BB" w:rsidRPr="008843F0">
        <w:t xml:space="preserve">newer guidelines. </w:t>
      </w:r>
    </w:p>
    <w:p w14:paraId="0D208285" w14:textId="77777777" w:rsidR="00105F80" w:rsidRDefault="00ED76BB" w:rsidP="00ED76BB">
      <w:pPr>
        <w:pStyle w:val="Body"/>
        <w:rPr>
          <w:lang w:eastAsia="en-AU"/>
        </w:rPr>
      </w:pPr>
      <w:r w:rsidRPr="008843F0">
        <w:rPr>
          <w:lang w:eastAsia="en-AU"/>
        </w:rPr>
        <w:t xml:space="preserve">Most studies of cell salvage in gynaecological surgery </w:t>
      </w:r>
      <w:r w:rsidRPr="00DF1B38">
        <w:t>revolve</w:t>
      </w:r>
      <w:r w:rsidRPr="008843F0">
        <w:rPr>
          <w:lang w:eastAsia="en-AU"/>
        </w:rPr>
        <w:t xml:space="preserve"> around its use in obstetric haemorrhage, and this was not included in the audit’s surgery types. </w:t>
      </w:r>
    </w:p>
    <w:p w14:paraId="4DE94E23" w14:textId="0B0E0716" w:rsidR="00401F99" w:rsidRDefault="00ED76BB" w:rsidP="00ED76BB">
      <w:pPr>
        <w:pStyle w:val="Body"/>
      </w:pPr>
      <w:r w:rsidRPr="008843F0">
        <w:rPr>
          <w:lang w:eastAsia="en-AU"/>
        </w:rPr>
        <w:t xml:space="preserve">Robson and Leung (2016) </w:t>
      </w:r>
      <w:r w:rsidR="00C66834">
        <w:rPr>
          <w:lang w:eastAsia="en-AU"/>
        </w:rPr>
        <w:t>state</w:t>
      </w:r>
      <w:r w:rsidRPr="008843F0">
        <w:rPr>
          <w:lang w:eastAsia="en-AU"/>
        </w:rPr>
        <w:t xml:space="preserve"> </w:t>
      </w:r>
      <w:r w:rsidRPr="008843F0">
        <w:t>the use of cell salvage in gynaecological settings should follow protocols associated with surgery in non-pregnant women</w:t>
      </w:r>
      <w:r w:rsidR="00401F99">
        <w:t xml:space="preserve">: </w:t>
      </w:r>
    </w:p>
    <w:p w14:paraId="10FE6B16" w14:textId="5B5CCA85" w:rsidR="00401F99" w:rsidRPr="0038378B" w:rsidRDefault="00ED76BB" w:rsidP="002B2FD9">
      <w:pPr>
        <w:pStyle w:val="Quotetext"/>
      </w:pPr>
      <w:r w:rsidRPr="003C2836">
        <w:t xml:space="preserve">A typical setting might be hysterectomy for a massive fibroid uterus, where heavy blood loss is anticipated. It is important to remember that associated bowel injury presents a risk of infection </w:t>
      </w:r>
      <w:r w:rsidRPr="003C2836">
        <w:lastRenderedPageBreak/>
        <w:t>and cell salvage should be commenced after decontami</w:t>
      </w:r>
      <w:r w:rsidRPr="00F9779F">
        <w:t>nation and with the use of antibiotic cover</w:t>
      </w:r>
      <w:r w:rsidR="00401F99" w:rsidRPr="00F9779F">
        <w:t xml:space="preserve"> </w:t>
      </w:r>
      <w:r w:rsidRPr="007377F8">
        <w:t xml:space="preserve">(Robson </w:t>
      </w:r>
      <w:r w:rsidR="00401F99">
        <w:t xml:space="preserve">and Leung </w:t>
      </w:r>
      <w:r w:rsidRPr="0038378B">
        <w:t xml:space="preserve">2016). </w:t>
      </w:r>
    </w:p>
    <w:p w14:paraId="306AFD15" w14:textId="5E69841E" w:rsidR="00ED76BB" w:rsidRPr="008843F0" w:rsidRDefault="00ED76BB" w:rsidP="00ED76BB">
      <w:pPr>
        <w:pStyle w:val="Body"/>
      </w:pPr>
      <w:r w:rsidRPr="008843F0">
        <w:t xml:space="preserve">None of the gynaecological surgery reported had cell salvage undertaken. </w:t>
      </w:r>
    </w:p>
    <w:p w14:paraId="6A922735" w14:textId="36D02C66" w:rsidR="00401F99" w:rsidRDefault="00ED76BB" w:rsidP="00ED76BB">
      <w:pPr>
        <w:pStyle w:val="Body"/>
      </w:pPr>
      <w:r w:rsidRPr="008843F0">
        <w:t>There are some absolute contraindications to intraoperative cell salvage, which include the presence of contraindicated fluids</w:t>
      </w:r>
      <w:r w:rsidR="00401F99">
        <w:t>. These include</w:t>
      </w:r>
      <w:r w:rsidRPr="008843F0">
        <w:t xml:space="preserve"> fluids that </w:t>
      </w:r>
      <w:r w:rsidRPr="00DF1B38">
        <w:t>could</w:t>
      </w:r>
      <w:r w:rsidRPr="008843F0">
        <w:t xml:space="preserve"> cause haemolysis of red blood cells, or solutions that would be toxic if administered IV (antibiotic irrigation, hydrogen peroxide, alcohol or povidone-iodine solutions). </w:t>
      </w:r>
    </w:p>
    <w:p w14:paraId="07BDEF86" w14:textId="26D8B3C0" w:rsidR="00401F99" w:rsidRDefault="00ED76BB" w:rsidP="00ED76BB">
      <w:pPr>
        <w:pStyle w:val="Body"/>
      </w:pPr>
      <w:r w:rsidRPr="008843F0">
        <w:t xml:space="preserve">Additionally, cell salvage cannot be used in situations where there is a mixture </w:t>
      </w:r>
      <w:r w:rsidR="00401F99">
        <w:t>of</w:t>
      </w:r>
      <w:r w:rsidR="00401F99" w:rsidRPr="008843F0">
        <w:t xml:space="preserve"> </w:t>
      </w:r>
      <w:r w:rsidRPr="008843F0">
        <w:t>haemostatic products (</w:t>
      </w:r>
      <w:r w:rsidR="00401F99">
        <w:t>such as</w:t>
      </w:r>
      <w:r w:rsidRPr="008843F0">
        <w:t xml:space="preserve"> topical thrombin, fibrin glue or microfibrillar bovine collagen-based products) or bone cement (</w:t>
      </w:r>
      <w:r w:rsidR="00401F99" w:rsidRPr="008843F0">
        <w:t>UpToDate</w:t>
      </w:r>
      <w:r w:rsidRPr="008843F0">
        <w:t xml:space="preserve"> 2019a). </w:t>
      </w:r>
    </w:p>
    <w:p w14:paraId="137BCCE6" w14:textId="14F5D30D" w:rsidR="00ED76BB" w:rsidRPr="008843F0" w:rsidRDefault="00C66834" w:rsidP="00ED76BB">
      <w:pPr>
        <w:pStyle w:val="Body"/>
      </w:pPr>
      <w:r>
        <w:t>It remains unclear</w:t>
      </w:r>
      <w:r w:rsidR="00401F99">
        <w:t xml:space="preserve">, however, </w:t>
      </w:r>
      <w:r>
        <w:t>why</w:t>
      </w:r>
      <w:r w:rsidR="00ED76BB" w:rsidRPr="008843F0">
        <w:t xml:space="preserve"> intraoperative cell salvage </w:t>
      </w:r>
      <w:r w:rsidR="00401F99">
        <w:t xml:space="preserve">was not </w:t>
      </w:r>
      <w:r>
        <w:t xml:space="preserve">reported to be </w:t>
      </w:r>
      <w:r w:rsidR="00401F99">
        <w:t>more widely used</w:t>
      </w:r>
      <w:r>
        <w:t xml:space="preserve"> during the audit</w:t>
      </w:r>
      <w:r w:rsidR="00401F99">
        <w:t>,</w:t>
      </w:r>
      <w:r w:rsidR="00ED76BB" w:rsidRPr="008843F0">
        <w:t xml:space="preserve"> given the </w:t>
      </w:r>
      <w:r w:rsidR="00401F99">
        <w:t>broad</w:t>
      </w:r>
      <w:r w:rsidR="00401F99" w:rsidRPr="008843F0">
        <w:t xml:space="preserve"> </w:t>
      </w:r>
      <w:r w:rsidR="00ED76BB" w:rsidRPr="008843F0">
        <w:t>acceptance of this process.</w:t>
      </w:r>
      <w:r w:rsidR="00ED76BB" w:rsidRPr="008843F0">
        <w:rPr>
          <w:highlight w:val="yellow"/>
        </w:rPr>
        <w:t xml:space="preserve"> </w:t>
      </w:r>
    </w:p>
    <w:p w14:paraId="0F7044DC" w14:textId="77777777" w:rsidR="00ED76BB" w:rsidRPr="008843F0" w:rsidRDefault="00ED76BB" w:rsidP="00ED76BB">
      <w:pPr>
        <w:pStyle w:val="Heading4"/>
      </w:pPr>
      <w:r w:rsidRPr="008843F0">
        <w:t xml:space="preserve">Blood conservation strategies </w:t>
      </w:r>
    </w:p>
    <w:p w14:paraId="014EF646" w14:textId="71D95014" w:rsidR="00C66834" w:rsidRDefault="00ED76BB" w:rsidP="00ED76BB">
      <w:pPr>
        <w:pStyle w:val="Body"/>
      </w:pPr>
      <w:r w:rsidRPr="008843F0">
        <w:t xml:space="preserve">Module </w:t>
      </w:r>
      <w:r w:rsidR="00C66834">
        <w:t>2 includes m</w:t>
      </w:r>
      <w:r w:rsidR="00C66834" w:rsidRPr="008843F0">
        <w:t xml:space="preserve">ultiple blood conservation strategies </w:t>
      </w:r>
      <w:r w:rsidRPr="008843F0">
        <w:t>as recommendations and practice points to assist in minimising blood loss during surgical procedure</w:t>
      </w:r>
      <w:r w:rsidR="00C66834">
        <w:t>s</w:t>
      </w:r>
      <w:r w:rsidRPr="008843F0">
        <w:t xml:space="preserve">. </w:t>
      </w:r>
    </w:p>
    <w:p w14:paraId="610E7354" w14:textId="357076BF" w:rsidR="00ED76BB" w:rsidRPr="008843F0" w:rsidRDefault="00ED76BB" w:rsidP="00ED76BB">
      <w:pPr>
        <w:pStyle w:val="Body"/>
      </w:pPr>
      <w:r w:rsidRPr="008843F0">
        <w:t xml:space="preserve">It is not known if all strategies are routinely documented in the medical record (anaesthetic chart) if implemented; however, they were included because </w:t>
      </w:r>
      <w:r w:rsidR="00C66834">
        <w:t>the audit sought</w:t>
      </w:r>
      <w:r w:rsidRPr="008843F0">
        <w:t xml:space="preserve"> to cover all components of the PBM guidelines.</w:t>
      </w:r>
    </w:p>
    <w:p w14:paraId="026B3B54" w14:textId="77777777" w:rsidR="00ED76BB" w:rsidRPr="008843F0" w:rsidRDefault="00ED76BB" w:rsidP="00ED76BB">
      <w:pPr>
        <w:pStyle w:val="Heading4"/>
      </w:pPr>
      <w:r w:rsidRPr="008843F0">
        <w:t xml:space="preserve">Deliberately induced hypotension </w:t>
      </w:r>
    </w:p>
    <w:p w14:paraId="66CFC8E0" w14:textId="28E00E3A" w:rsidR="00ED76BB" w:rsidRPr="00DF1B38" w:rsidRDefault="00ED76BB" w:rsidP="00ED76BB">
      <w:pPr>
        <w:pStyle w:val="Body"/>
      </w:pPr>
      <w:bookmarkStart w:id="80" w:name="_Hlk70326660"/>
      <w:r w:rsidRPr="00DF1B38">
        <w:t xml:space="preserve">Five per cent of the procedures audited reported using deliberately induced hypotension, with orthopaedic surgery reporting the highest rate (n = 66, 9 per cent) (Table </w:t>
      </w:r>
      <w:r w:rsidR="006F4FEC">
        <w:t>2</w:t>
      </w:r>
      <w:r w:rsidR="006F4FEC" w:rsidRPr="00DF1B38">
        <w:t>1</w:t>
      </w:r>
      <w:r w:rsidRPr="00DF1B38">
        <w:t xml:space="preserve">). </w:t>
      </w:r>
    </w:p>
    <w:p w14:paraId="276E42E2" w14:textId="77777777" w:rsidR="00C66834" w:rsidRDefault="00ED76BB" w:rsidP="00ED76BB">
      <w:pPr>
        <w:pStyle w:val="Body"/>
      </w:pPr>
      <w:r w:rsidRPr="00DF1B38">
        <w:t xml:space="preserve">Module 2 recommends the use of deliberately induced hypotension (grade C evidence only) for patients undergoing radical prostatectomy or major joint replacement. </w:t>
      </w:r>
    </w:p>
    <w:p w14:paraId="3A48DD3E" w14:textId="7C634A02" w:rsidR="00F81EF5" w:rsidRDefault="00ED76BB" w:rsidP="00ED76BB">
      <w:pPr>
        <w:pStyle w:val="Body"/>
      </w:pPr>
      <w:r w:rsidRPr="00DF1B38">
        <w:t>Studies, such as</w:t>
      </w:r>
      <w:r w:rsidR="00F81EF5">
        <w:t xml:space="preserve"> the meta-analysis by</w:t>
      </w:r>
      <w:r w:rsidRPr="00DF1B38">
        <w:t xml:space="preserve"> Jiang et al</w:t>
      </w:r>
      <w:r w:rsidR="00C66834">
        <w:t>.</w:t>
      </w:r>
      <w:r w:rsidRPr="00DF1B38">
        <w:t xml:space="preserve"> (2019) of deliberate hypotension in orthopaedic surgery</w:t>
      </w:r>
      <w:r w:rsidR="00C66834">
        <w:t xml:space="preserve">, have found </w:t>
      </w:r>
      <w:r w:rsidRPr="00DF1B38">
        <w:t xml:space="preserve">the occurrence of serious adverse events </w:t>
      </w:r>
      <w:r w:rsidR="00C66834">
        <w:t>is</w:t>
      </w:r>
      <w:r w:rsidR="00C66834" w:rsidRPr="00DF1B38">
        <w:t xml:space="preserve"> </w:t>
      </w:r>
      <w:r w:rsidRPr="00DF1B38">
        <w:t xml:space="preserve">rare, although few studies </w:t>
      </w:r>
      <w:r w:rsidR="00F81EF5">
        <w:t>examine</w:t>
      </w:r>
      <w:r w:rsidR="00F81EF5" w:rsidRPr="00DF1B38">
        <w:t xml:space="preserve"> </w:t>
      </w:r>
      <w:r w:rsidRPr="00DF1B38">
        <w:t xml:space="preserve">mortality and morbidity. </w:t>
      </w:r>
    </w:p>
    <w:p w14:paraId="4C5A1E88" w14:textId="74FF594F" w:rsidR="00ED76BB" w:rsidRPr="00DF1B38" w:rsidRDefault="00ED76BB" w:rsidP="00ED76BB">
      <w:pPr>
        <w:pStyle w:val="Body"/>
      </w:pPr>
      <w:proofErr w:type="spellStart"/>
      <w:r w:rsidRPr="00DF1B38">
        <w:t>Tegegne</w:t>
      </w:r>
      <w:proofErr w:type="spellEnd"/>
      <w:r w:rsidRPr="00DF1B38">
        <w:t xml:space="preserve"> et</w:t>
      </w:r>
      <w:r w:rsidR="00C66834">
        <w:t xml:space="preserve"> </w:t>
      </w:r>
      <w:r w:rsidRPr="00DF1B38">
        <w:t xml:space="preserve">al. (2021) </w:t>
      </w:r>
      <w:r w:rsidR="00F81EF5">
        <w:t>concurs</w:t>
      </w:r>
      <w:r w:rsidRPr="00DF1B38">
        <w:t xml:space="preserve"> with Jiang </w:t>
      </w:r>
      <w:r w:rsidR="00C66834">
        <w:t>et al. about</w:t>
      </w:r>
      <w:r w:rsidR="00C66834" w:rsidRPr="00DF1B38">
        <w:t xml:space="preserve"> </w:t>
      </w:r>
      <w:r w:rsidRPr="00DF1B38">
        <w:t>the rarity of serious adverse events</w:t>
      </w:r>
      <w:r w:rsidR="00F81EF5">
        <w:t>. They</w:t>
      </w:r>
      <w:r w:rsidRPr="00DF1B38">
        <w:t xml:space="preserve"> </w:t>
      </w:r>
      <w:r w:rsidR="00F81EF5">
        <w:t>conclude</w:t>
      </w:r>
      <w:r w:rsidRPr="00DF1B38">
        <w:t xml:space="preserve"> that deliberate hypotension can be </w:t>
      </w:r>
      <w:r w:rsidR="00F81EF5" w:rsidRPr="00DF1B38">
        <w:t>practi</w:t>
      </w:r>
      <w:r w:rsidR="00F81EF5">
        <w:t>s</w:t>
      </w:r>
      <w:r w:rsidR="00F81EF5" w:rsidRPr="00DF1B38">
        <w:t xml:space="preserve">ed </w:t>
      </w:r>
      <w:r w:rsidRPr="00DF1B38">
        <w:t xml:space="preserve">safely to limit intraoperative surgical site bleeding in </w:t>
      </w:r>
      <w:r w:rsidR="00F81EF5" w:rsidRPr="00DF1B38">
        <w:t>resource</w:t>
      </w:r>
      <w:r w:rsidR="00F81EF5">
        <w:t>-</w:t>
      </w:r>
      <w:r w:rsidRPr="00DF1B38">
        <w:t xml:space="preserve">limited areas. </w:t>
      </w:r>
      <w:r w:rsidR="00F81EF5">
        <w:t>They recommend c</w:t>
      </w:r>
      <w:r w:rsidRPr="00DF1B38">
        <w:t>aution</w:t>
      </w:r>
      <w:r w:rsidR="00F81EF5">
        <w:t xml:space="preserve">, </w:t>
      </w:r>
      <w:r w:rsidRPr="00DF1B38">
        <w:t>as there is a lack of clear guidance on physiological parameters</w:t>
      </w:r>
      <w:r w:rsidR="00F81EF5">
        <w:t>,</w:t>
      </w:r>
      <w:r w:rsidRPr="00DF1B38">
        <w:t xml:space="preserve"> standard monitoring </w:t>
      </w:r>
      <w:r w:rsidR="00F81EF5">
        <w:t xml:space="preserve">requirements </w:t>
      </w:r>
      <w:r w:rsidRPr="00DF1B38">
        <w:t xml:space="preserve">and the most appropriate medications to use. </w:t>
      </w:r>
    </w:p>
    <w:p w14:paraId="5CA3B7BC" w14:textId="67194592" w:rsidR="00F81EF5" w:rsidRDefault="00F81EF5" w:rsidP="00ED76BB">
      <w:pPr>
        <w:pStyle w:val="Body"/>
      </w:pPr>
      <w:r>
        <w:t>Providing</w:t>
      </w:r>
      <w:r w:rsidRPr="00DF1B38">
        <w:t xml:space="preserve"> </w:t>
      </w:r>
      <w:r w:rsidR="00ED76BB" w:rsidRPr="00DF1B38">
        <w:t xml:space="preserve">standardised guidelines </w:t>
      </w:r>
      <w:r>
        <w:t>for</w:t>
      </w:r>
      <w:r w:rsidR="00ED76BB" w:rsidRPr="00DF1B38">
        <w:t xml:space="preserve"> clinicians</w:t>
      </w:r>
      <w:r>
        <w:t xml:space="preserve"> using</w:t>
      </w:r>
      <w:r w:rsidR="00ED76BB" w:rsidRPr="00DF1B38">
        <w:t xml:space="preserve"> deliberately induced hypotension may improve safety and promote use</w:t>
      </w:r>
      <w:r>
        <w:t>,</w:t>
      </w:r>
      <w:r w:rsidR="00ED76BB" w:rsidRPr="00DF1B38">
        <w:t xml:space="preserve"> </w:t>
      </w:r>
      <w:r>
        <w:t>which could</w:t>
      </w:r>
      <w:r w:rsidRPr="00DF1B38">
        <w:t xml:space="preserve"> </w:t>
      </w:r>
      <w:r w:rsidR="00ED76BB" w:rsidRPr="00DF1B38">
        <w:t xml:space="preserve">reduce the need for RBC transfusion in selected patients. </w:t>
      </w:r>
    </w:p>
    <w:p w14:paraId="38521A21" w14:textId="56165389" w:rsidR="00ED76BB" w:rsidRPr="00DF1B38" w:rsidRDefault="00ED76BB" w:rsidP="00ED76BB">
      <w:pPr>
        <w:pStyle w:val="Body"/>
      </w:pPr>
      <w:r w:rsidRPr="00DF1B38">
        <w:t>Health services</w:t>
      </w:r>
      <w:r w:rsidR="00F81EF5">
        <w:t xml:space="preserve"> and </w:t>
      </w:r>
      <w:r w:rsidRPr="00DF1B38">
        <w:t xml:space="preserve">clinicians need to weigh up the benefits and risks and ensure there is a procedure in place </w:t>
      </w:r>
      <w:r w:rsidR="00F81EF5">
        <w:t xml:space="preserve">that </w:t>
      </w:r>
      <w:r w:rsidR="00F81EF5" w:rsidRPr="00DF1B38">
        <w:t>outlin</w:t>
      </w:r>
      <w:r w:rsidR="00F81EF5">
        <w:t>es when use may be suitable and for</w:t>
      </w:r>
      <w:r w:rsidR="00F81EF5" w:rsidRPr="00DF1B38">
        <w:t xml:space="preserve"> </w:t>
      </w:r>
      <w:r w:rsidRPr="00DF1B38">
        <w:t xml:space="preserve">which patients. </w:t>
      </w:r>
      <w:bookmarkEnd w:id="80"/>
    </w:p>
    <w:p w14:paraId="40C12BD8" w14:textId="77777777" w:rsidR="00ED76BB" w:rsidRPr="00DF1B38" w:rsidRDefault="00ED76BB" w:rsidP="00ED76BB">
      <w:pPr>
        <w:pStyle w:val="Heading4"/>
      </w:pPr>
      <w:r w:rsidRPr="008843F0">
        <w:t xml:space="preserve">Acute normovolemic haemodilution (ANH) </w:t>
      </w:r>
    </w:p>
    <w:p w14:paraId="3C182155" w14:textId="3EE64506" w:rsidR="00DC62A4" w:rsidRDefault="00ED76BB" w:rsidP="00ED76BB">
      <w:pPr>
        <w:pStyle w:val="Body"/>
      </w:pPr>
      <w:r w:rsidRPr="008843F0">
        <w:t>ANH (PBM</w:t>
      </w:r>
      <w:r w:rsidRPr="008843F0" w:rsidDel="0019543C">
        <w:t xml:space="preserve"> </w:t>
      </w:r>
      <w:r w:rsidRPr="008843F0">
        <w:t>guidelines</w:t>
      </w:r>
      <w:r w:rsidRPr="008843F0" w:rsidDel="0019543C">
        <w:t xml:space="preserve"> </w:t>
      </w:r>
      <w:r w:rsidRPr="008843F0">
        <w:t xml:space="preserve">grade C evidence) was used in 63 (4 per cent) patients (Table </w:t>
      </w:r>
      <w:r w:rsidR="005C3036">
        <w:t>2</w:t>
      </w:r>
      <w:r w:rsidR="005C3036" w:rsidRPr="008843F0">
        <w:t>1</w:t>
      </w:r>
      <w:r w:rsidRPr="008843F0">
        <w:t xml:space="preserve">). </w:t>
      </w:r>
    </w:p>
    <w:p w14:paraId="6141E270" w14:textId="22F2DF1B" w:rsidR="00DC62A4" w:rsidRDefault="00ED76BB" w:rsidP="00ED76BB">
      <w:pPr>
        <w:pStyle w:val="Body"/>
      </w:pPr>
      <w:r w:rsidRPr="008843F0">
        <w:t xml:space="preserve">There are few current studies that clarify the risks and benefits, although </w:t>
      </w:r>
      <w:proofErr w:type="spellStart"/>
      <w:r w:rsidRPr="008843F0">
        <w:t>Shander</w:t>
      </w:r>
      <w:proofErr w:type="spellEnd"/>
      <w:r w:rsidRPr="008843F0">
        <w:t xml:space="preserve"> (</w:t>
      </w:r>
      <w:r w:rsidR="00DC62A4" w:rsidRPr="00DF1B38">
        <w:t>UpToDate</w:t>
      </w:r>
      <w:r w:rsidRPr="00DF1B38">
        <w:t>,</w:t>
      </w:r>
      <w:r w:rsidRPr="008843F0">
        <w:t xml:space="preserve"> 2019b) states that the relative contraindications include patients with</w:t>
      </w:r>
      <w:r w:rsidR="00DC62A4">
        <w:t>:</w:t>
      </w:r>
    </w:p>
    <w:p w14:paraId="2E6B3B26" w14:textId="27611ED2" w:rsidR="00DC62A4" w:rsidRPr="00DC62A4" w:rsidRDefault="00ED76BB" w:rsidP="002B2FD9">
      <w:pPr>
        <w:pStyle w:val="Bullet1"/>
      </w:pPr>
      <w:r w:rsidRPr="0038378B">
        <w:t>impair</w:t>
      </w:r>
      <w:r w:rsidRPr="00DC62A4">
        <w:t>ed cardiac function who may have limited ability to increase cardiac output</w:t>
      </w:r>
    </w:p>
    <w:p w14:paraId="5BEB78DD" w14:textId="0B26450C" w:rsidR="00DC62A4" w:rsidRPr="00DC62A4" w:rsidRDefault="00ED76BB" w:rsidP="002B2FD9">
      <w:pPr>
        <w:pStyle w:val="Bullet1"/>
      </w:pPr>
      <w:r w:rsidRPr="00DC62A4">
        <w:t>impaired renal function with oliguria</w:t>
      </w:r>
    </w:p>
    <w:p w14:paraId="075E4A85" w14:textId="56339EC5" w:rsidR="00DC62A4" w:rsidRPr="00DC62A4" w:rsidRDefault="00ED76BB" w:rsidP="002B2FD9">
      <w:pPr>
        <w:pStyle w:val="Bullet1"/>
      </w:pPr>
      <w:r w:rsidRPr="00DC62A4">
        <w:lastRenderedPageBreak/>
        <w:t>baseline Hb &lt; 110</w:t>
      </w:r>
      <w:r w:rsidR="00DC62A4">
        <w:t> </w:t>
      </w:r>
      <w:r w:rsidRPr="0038378B">
        <w:t>g/L</w:t>
      </w:r>
    </w:p>
    <w:p w14:paraId="0FEDFADC" w14:textId="7312328F" w:rsidR="00DC62A4" w:rsidRPr="00DC62A4" w:rsidRDefault="00ED76BB" w:rsidP="002B2FD9">
      <w:pPr>
        <w:pStyle w:val="Bullet1"/>
      </w:pPr>
      <w:r w:rsidRPr="00DC62A4">
        <w:t>low concentrations of clotting factors or abnormal coagulation or platelet function</w:t>
      </w:r>
    </w:p>
    <w:p w14:paraId="7AA32DAE" w14:textId="1C2A857F" w:rsidR="00DC62A4" w:rsidRPr="00DC62A4" w:rsidRDefault="00ED76BB" w:rsidP="002B2FD9">
      <w:pPr>
        <w:pStyle w:val="Bullet1"/>
      </w:pPr>
      <w:r w:rsidRPr="00DC62A4">
        <w:t>inadequate vascular access</w:t>
      </w:r>
    </w:p>
    <w:p w14:paraId="4DBBDEBA" w14:textId="37BD77A1" w:rsidR="00ED76BB" w:rsidRPr="00DC62A4" w:rsidRDefault="00ED76BB" w:rsidP="002B2FD9">
      <w:pPr>
        <w:pStyle w:val="Bullet1"/>
      </w:pPr>
      <w:r w:rsidRPr="00DC62A4">
        <w:t xml:space="preserve">turnaround time for relevant blood tests of more than five to 30 minutes. </w:t>
      </w:r>
    </w:p>
    <w:p w14:paraId="44E17EBF" w14:textId="77777777" w:rsidR="00DC62A4" w:rsidRDefault="00ED76BB" w:rsidP="00DC62A4">
      <w:pPr>
        <w:pStyle w:val="Bodyafterbullets"/>
      </w:pPr>
      <w:r w:rsidRPr="008843F0">
        <w:t xml:space="preserve">This </w:t>
      </w:r>
      <w:r w:rsidRPr="00DF1B38">
        <w:t>technique</w:t>
      </w:r>
      <w:r w:rsidRPr="008843F0">
        <w:t xml:space="preserve"> can be considered for patients with normal preoperative Hb. </w:t>
      </w:r>
    </w:p>
    <w:p w14:paraId="08BA1F00" w14:textId="0D587DA8" w:rsidR="00DC62A4" w:rsidRDefault="00ED76BB" w:rsidP="002B2FD9">
      <w:pPr>
        <w:pStyle w:val="Body"/>
      </w:pPr>
      <w:r w:rsidRPr="008843F0">
        <w:t>As noted previously</w:t>
      </w:r>
      <w:r w:rsidR="00DC62A4">
        <w:t>,</w:t>
      </w:r>
      <w:r w:rsidRPr="008843F0">
        <w:t xml:space="preserve"> less than half of the patients in the audit had Hb </w:t>
      </w:r>
      <w:r w:rsidRPr="00933EA0">
        <w:t>documented</w:t>
      </w:r>
      <w:r w:rsidRPr="008843F0">
        <w:t xml:space="preserve"> on the day of surgery</w:t>
      </w:r>
      <w:r w:rsidR="00DC62A4">
        <w:t>.</w:t>
      </w:r>
      <w:r w:rsidRPr="008843F0">
        <w:t xml:space="preserve"> </w:t>
      </w:r>
      <w:r w:rsidR="00DC62A4">
        <w:t>O</w:t>
      </w:r>
      <w:r w:rsidRPr="008843F0">
        <w:t>f those 12 per cent (n = 188) were anaemic (</w:t>
      </w:r>
      <w:r w:rsidR="00DC62A4">
        <w:t>Table 18</w:t>
      </w:r>
      <w:r w:rsidRPr="008843F0">
        <w:t xml:space="preserve">). </w:t>
      </w:r>
    </w:p>
    <w:p w14:paraId="3B5C5692" w14:textId="2BD6F004" w:rsidR="00ED76BB" w:rsidRPr="008843F0" w:rsidRDefault="00DC62A4">
      <w:pPr>
        <w:pStyle w:val="Body"/>
      </w:pPr>
      <w:r>
        <w:t>This blood conservation technique requires p</w:t>
      </w:r>
      <w:r w:rsidR="00ED76BB" w:rsidRPr="008843F0">
        <w:t xml:space="preserve">reoperative anaemia </w:t>
      </w:r>
      <w:r w:rsidR="00ED76BB" w:rsidRPr="00933EA0">
        <w:t>assessment</w:t>
      </w:r>
      <w:r w:rsidR="00ED76BB" w:rsidRPr="008843F0">
        <w:t xml:space="preserve"> and management, as well as good clinical documentation to confirm a normal Hb</w:t>
      </w:r>
      <w:r>
        <w:t>.</w:t>
      </w:r>
      <w:r w:rsidR="00ED76BB" w:rsidRPr="008843F0">
        <w:t xml:space="preserve"> </w:t>
      </w:r>
    </w:p>
    <w:p w14:paraId="34D21DD0" w14:textId="77777777" w:rsidR="00DC62A4" w:rsidRDefault="00ED76BB" w:rsidP="00ED76BB">
      <w:pPr>
        <w:pStyle w:val="Body"/>
      </w:pPr>
      <w:r w:rsidRPr="00DF1B38">
        <w:t xml:space="preserve">Health services are required to have the correct equipment, bags, anticoagulant and appropriate storage conditions for this procedure to be undertaken safely. </w:t>
      </w:r>
    </w:p>
    <w:p w14:paraId="3D3442DC" w14:textId="6FC29D4C" w:rsidR="00DC62A4" w:rsidRDefault="00ED76BB" w:rsidP="00ED76BB">
      <w:pPr>
        <w:pStyle w:val="Body"/>
      </w:pPr>
      <w:r w:rsidRPr="00DF1B38">
        <w:t xml:space="preserve">If it is not a routine part of the intraoperative care, the equipment and expertise required to safely remove a unit of the patient’s blood and store it until completion of surgery may not be available. </w:t>
      </w:r>
    </w:p>
    <w:p w14:paraId="6071E013" w14:textId="7BCE8794" w:rsidR="00ED76BB" w:rsidRPr="00DF1B38" w:rsidRDefault="00ED76BB" w:rsidP="00ED76BB">
      <w:pPr>
        <w:pStyle w:val="Body"/>
      </w:pPr>
      <w:r w:rsidRPr="00DF1B38">
        <w:t xml:space="preserve">It is therefore not surprising that ANH was infrequently used in patients in this audit. </w:t>
      </w:r>
    </w:p>
    <w:p w14:paraId="0BAE2C38" w14:textId="18195044" w:rsidR="00ED76BB" w:rsidRPr="00DF1B38" w:rsidRDefault="00DC62A4" w:rsidP="00ED76BB">
      <w:pPr>
        <w:pStyle w:val="Body"/>
      </w:pPr>
      <w:r>
        <w:t>ANH</w:t>
      </w:r>
      <w:r w:rsidR="00ED76BB" w:rsidRPr="00DF1B38">
        <w:t xml:space="preserve"> should be considered early in the preoperative assessment process to enable the practice intraoperatively.</w:t>
      </w:r>
    </w:p>
    <w:p w14:paraId="33E328BA" w14:textId="278AB396" w:rsidR="00ED76BB" w:rsidRPr="00DF1B38" w:rsidRDefault="00DC62A4" w:rsidP="00ED76BB">
      <w:pPr>
        <w:pStyle w:val="Heading4"/>
      </w:pPr>
      <w:r w:rsidRPr="008843F0">
        <w:t>Near</w:t>
      </w:r>
      <w:r>
        <w:t>-</w:t>
      </w:r>
      <w:r w:rsidR="00ED76BB" w:rsidRPr="008843F0">
        <w:t>patient testing (</w:t>
      </w:r>
      <w:r>
        <w:t>such as</w:t>
      </w:r>
      <w:r w:rsidR="00ED76BB" w:rsidRPr="008843F0">
        <w:t xml:space="preserve"> TEG or ROTEM)</w:t>
      </w:r>
    </w:p>
    <w:p w14:paraId="26143DD7" w14:textId="6B3E8CF3" w:rsidR="00DC62A4" w:rsidRDefault="00DC62A4" w:rsidP="00ED76BB">
      <w:pPr>
        <w:pStyle w:val="Body"/>
      </w:pPr>
      <w:r w:rsidRPr="008843F0">
        <w:t>Near</w:t>
      </w:r>
      <w:r>
        <w:t>-</w:t>
      </w:r>
      <w:r w:rsidR="00ED76BB" w:rsidRPr="008843F0">
        <w:t>patient testing was not defined in the Blood Matters audit instructions</w:t>
      </w:r>
      <w:r>
        <w:t>.</w:t>
      </w:r>
      <w:r w:rsidRPr="008843F0">
        <w:t xml:space="preserve"> </w:t>
      </w:r>
      <w:r>
        <w:t>H</w:t>
      </w:r>
      <w:r w:rsidRPr="008843F0">
        <w:t>owever</w:t>
      </w:r>
      <w:r w:rsidR="00ED76BB" w:rsidRPr="008843F0">
        <w:t xml:space="preserve">, examples of viscoelastic testing types (TEG/ROTEM) were provided. </w:t>
      </w:r>
    </w:p>
    <w:p w14:paraId="2C9E2CE1" w14:textId="246F6F3A" w:rsidR="00ED76BB" w:rsidRPr="008843F0" w:rsidRDefault="00ED76BB" w:rsidP="00ED76BB">
      <w:pPr>
        <w:pStyle w:val="Body"/>
      </w:pPr>
      <w:r w:rsidRPr="008843F0">
        <w:t xml:space="preserve">The NBA systematic review </w:t>
      </w:r>
      <w:r w:rsidR="00DC62A4">
        <w:t>of</w:t>
      </w:r>
      <w:r w:rsidR="00DC62A4" w:rsidRPr="008843F0">
        <w:t xml:space="preserve"> </w:t>
      </w:r>
      <w:r w:rsidRPr="008843F0">
        <w:t xml:space="preserve">the guidelines found limited evidence for the effect of point-of-care testing other than </w:t>
      </w:r>
      <w:bookmarkStart w:id="81" w:name="_Hlk66447000"/>
      <w:r w:rsidRPr="008843F0">
        <w:t xml:space="preserve">thromboelastography </w:t>
      </w:r>
      <w:bookmarkEnd w:id="81"/>
      <w:r w:rsidRPr="008843F0">
        <w:t xml:space="preserve">(TEG), </w:t>
      </w:r>
      <w:r w:rsidR="00DC62A4">
        <w:t>which was</w:t>
      </w:r>
      <w:r w:rsidR="00DC62A4" w:rsidRPr="008843F0">
        <w:t xml:space="preserve"> </w:t>
      </w:r>
      <w:r w:rsidRPr="008843F0">
        <w:t xml:space="preserve">specifically most beneficial in cardiac surgery. </w:t>
      </w:r>
    </w:p>
    <w:p w14:paraId="3B04BA23" w14:textId="620ACBDA" w:rsidR="00DC62A4" w:rsidRDefault="00ED76BB" w:rsidP="00ED76BB">
      <w:pPr>
        <w:pStyle w:val="Body"/>
      </w:pPr>
      <w:r w:rsidRPr="008843F0">
        <w:t xml:space="preserve">Six of the 59 (10 per cent) health services identified </w:t>
      </w:r>
      <w:r w:rsidRPr="00DF1B38">
        <w:t>the</w:t>
      </w:r>
      <w:r w:rsidRPr="008843F0">
        <w:t xml:space="preserve"> use of </w:t>
      </w:r>
      <w:r w:rsidR="00DC62A4" w:rsidRPr="008843F0">
        <w:t>near</w:t>
      </w:r>
      <w:r w:rsidR="00DC62A4">
        <w:t>-</w:t>
      </w:r>
      <w:r w:rsidRPr="008843F0">
        <w:t xml:space="preserve">patient testing in 28 (2 per cent) patients. </w:t>
      </w:r>
    </w:p>
    <w:p w14:paraId="04E3EB36" w14:textId="533B447C" w:rsidR="00DC62A4" w:rsidRDefault="00ED76BB" w:rsidP="00ED76BB">
      <w:pPr>
        <w:pStyle w:val="Body"/>
      </w:pPr>
      <w:r w:rsidRPr="008843F0">
        <w:t xml:space="preserve">The </w:t>
      </w:r>
      <w:bookmarkStart w:id="82" w:name="_Hlk64302241"/>
      <w:r w:rsidRPr="008843F0">
        <w:t xml:space="preserve">low numbers may </w:t>
      </w:r>
      <w:r w:rsidR="00DC62A4">
        <w:t>reflect</w:t>
      </w:r>
      <w:r w:rsidRPr="008843F0">
        <w:t xml:space="preserve"> the expense and expertise required for such technologies. </w:t>
      </w:r>
    </w:p>
    <w:p w14:paraId="4B2C8E40" w14:textId="2AB9DE85" w:rsidR="00ED76BB" w:rsidRPr="008843F0" w:rsidRDefault="00ED76BB" w:rsidP="00ED76BB">
      <w:pPr>
        <w:pStyle w:val="Body"/>
      </w:pPr>
      <w:r w:rsidRPr="008843F0">
        <w:t xml:space="preserve">The main areas where viscoelastic testing was used in the audit population </w:t>
      </w:r>
      <w:r w:rsidR="00DC62A4">
        <w:t>were</w:t>
      </w:r>
      <w:r w:rsidR="00DC62A4" w:rsidRPr="008843F0">
        <w:t xml:space="preserve"> </w:t>
      </w:r>
      <w:r w:rsidRPr="008843F0">
        <w:t>cardiothoracic surgery for 10 (8 per cent) patients</w:t>
      </w:r>
      <w:r w:rsidR="00DC62A4">
        <w:t>,</w:t>
      </w:r>
      <w:r w:rsidRPr="008843F0">
        <w:t xml:space="preserve"> and then orthopaedic surgery for 10 (1 per cent) patients as shown in</w:t>
      </w:r>
      <w:r w:rsidR="00726913">
        <w:t xml:space="preserve"> Table 2</w:t>
      </w:r>
      <w:r w:rsidR="005C3036">
        <w:t>1</w:t>
      </w:r>
      <w:r w:rsidR="00726913">
        <w:t>.</w:t>
      </w:r>
    </w:p>
    <w:p w14:paraId="395BC8D3" w14:textId="77777777" w:rsidR="00726913" w:rsidRDefault="00ED76BB" w:rsidP="00ED76BB">
      <w:pPr>
        <w:pStyle w:val="Body"/>
      </w:pPr>
      <w:r w:rsidRPr="00DF1B38">
        <w:t xml:space="preserve">Viscoelastic testing can be used to both investigate disorders of haemostasis and guide blood product replacement without the use of additional </w:t>
      </w:r>
      <w:proofErr w:type="gramStart"/>
      <w:r w:rsidRPr="00DF1B38">
        <w:t>tests, and</w:t>
      </w:r>
      <w:proofErr w:type="gramEnd"/>
      <w:r w:rsidRPr="00DF1B38">
        <w:t xml:space="preserve"> can be performed in isolation (Sang Medicine 2021). </w:t>
      </w:r>
    </w:p>
    <w:p w14:paraId="075A1747" w14:textId="166B9C67" w:rsidR="00ED76BB" w:rsidRPr="008843F0" w:rsidRDefault="00ED76BB" w:rsidP="00ED76BB">
      <w:pPr>
        <w:pStyle w:val="Body"/>
      </w:pPr>
      <w:r w:rsidRPr="00DF1B38">
        <w:t>Where viscoelastic testing is used, the location and management of this testing equipment can vary from the operating suite to pathology laboratory, and hence documentation may</w:t>
      </w:r>
      <w:r w:rsidRPr="008843F0">
        <w:t xml:space="preserve"> also vary. </w:t>
      </w:r>
    </w:p>
    <w:bookmarkEnd w:id="82"/>
    <w:p w14:paraId="263BB318" w14:textId="77777777" w:rsidR="00ED76BB" w:rsidRPr="008843F0" w:rsidRDefault="00ED76BB" w:rsidP="00ED76BB">
      <w:pPr>
        <w:pStyle w:val="Heading4"/>
      </w:pPr>
      <w:r w:rsidRPr="008843F0">
        <w:t xml:space="preserve">Tranexamic acid (TXA) </w:t>
      </w:r>
    </w:p>
    <w:p w14:paraId="41827DF7" w14:textId="379A51FC" w:rsidR="00726913" w:rsidRDefault="00ED76BB" w:rsidP="00ED76BB">
      <w:pPr>
        <w:pStyle w:val="Body"/>
      </w:pPr>
      <w:r w:rsidRPr="008843F0">
        <w:t xml:space="preserve">Tranexamic acid (TXA) was used in 728 (47 per cent) of patients (Table </w:t>
      </w:r>
      <w:r w:rsidR="00726913">
        <w:t>2</w:t>
      </w:r>
      <w:r w:rsidR="005C3036">
        <w:t>1</w:t>
      </w:r>
      <w:r w:rsidRPr="008843F0">
        <w:t xml:space="preserve">). </w:t>
      </w:r>
    </w:p>
    <w:p w14:paraId="6A3E7E05" w14:textId="77777777" w:rsidR="00726913" w:rsidRDefault="00ED76BB" w:rsidP="00ED76BB">
      <w:pPr>
        <w:pStyle w:val="Body"/>
      </w:pPr>
      <w:r w:rsidRPr="008843F0">
        <w:t xml:space="preserve">This has become a well-established, safe and cost-effective means of minimising surgical bleeding, with few contraindications. </w:t>
      </w:r>
    </w:p>
    <w:p w14:paraId="480BB707" w14:textId="047E029E" w:rsidR="00726913" w:rsidRDefault="00ED76BB" w:rsidP="00ED76BB">
      <w:pPr>
        <w:pStyle w:val="Body"/>
      </w:pPr>
      <w:r w:rsidRPr="008843F0">
        <w:t>Houston et</w:t>
      </w:r>
      <w:r w:rsidR="00726913">
        <w:t xml:space="preserve"> </w:t>
      </w:r>
      <w:r w:rsidRPr="008843F0">
        <w:t>al</w:t>
      </w:r>
      <w:r w:rsidR="00726913">
        <w:t>.</w:t>
      </w:r>
      <w:r w:rsidRPr="008843F0">
        <w:t xml:space="preserve"> (2019) state that TXA is now routinely used as standard care in cardiac and orthopaedic surgery and in trauma</w:t>
      </w:r>
      <w:r w:rsidR="00726913">
        <w:t>,</w:t>
      </w:r>
      <w:r w:rsidRPr="008843F0">
        <w:t xml:space="preserve"> as it is inexpensive, widely available and has consistently shown to reduce </w:t>
      </w:r>
      <w:r w:rsidR="00726913">
        <w:t>RBC</w:t>
      </w:r>
      <w:r w:rsidRPr="008843F0">
        <w:t xml:space="preserve"> transfusion. </w:t>
      </w:r>
    </w:p>
    <w:p w14:paraId="5B527150" w14:textId="6EC85D1A" w:rsidR="00ED76BB" w:rsidRPr="008843F0" w:rsidRDefault="00ED76BB" w:rsidP="00ED76BB">
      <w:pPr>
        <w:pStyle w:val="Body"/>
      </w:pPr>
      <w:r w:rsidRPr="008843F0">
        <w:lastRenderedPageBreak/>
        <w:t>A number of studies demonstrate</w:t>
      </w:r>
      <w:r w:rsidR="00726913">
        <w:t xml:space="preserve"> </w:t>
      </w:r>
      <w:r w:rsidRPr="008843F0">
        <w:t xml:space="preserve">strong evidence </w:t>
      </w:r>
      <w:r w:rsidR="00726913">
        <w:t>for the safety of</w:t>
      </w:r>
      <w:r w:rsidR="00726913" w:rsidRPr="008843F0">
        <w:t xml:space="preserve"> </w:t>
      </w:r>
      <w:r w:rsidRPr="008843F0">
        <w:t xml:space="preserve">TXA and that the risk of thromboembolic events </w:t>
      </w:r>
      <w:r w:rsidR="00726913">
        <w:t>does</w:t>
      </w:r>
      <w:r w:rsidR="00726913" w:rsidRPr="008843F0">
        <w:t xml:space="preserve"> </w:t>
      </w:r>
      <w:r w:rsidRPr="008843F0">
        <w:t>not differ between the TXA and placebo groups (</w:t>
      </w:r>
      <w:proofErr w:type="spellStart"/>
      <w:r w:rsidRPr="008843F0">
        <w:t>Franchini</w:t>
      </w:r>
      <w:proofErr w:type="spellEnd"/>
      <w:r w:rsidRPr="008843F0">
        <w:t xml:space="preserve"> and </w:t>
      </w:r>
      <w:proofErr w:type="spellStart"/>
      <w:r w:rsidRPr="008843F0">
        <w:t>Mannuci</w:t>
      </w:r>
      <w:proofErr w:type="spellEnd"/>
      <w:r w:rsidRPr="008843F0">
        <w:t xml:space="preserve"> 2020). </w:t>
      </w:r>
    </w:p>
    <w:p w14:paraId="04D202DA" w14:textId="77777777" w:rsidR="00ED76BB" w:rsidRPr="00DF1B38" w:rsidRDefault="00ED76BB" w:rsidP="00ED76BB">
      <w:pPr>
        <w:pStyle w:val="Heading4"/>
      </w:pPr>
      <w:r w:rsidRPr="008843F0">
        <w:t xml:space="preserve">Prevention of hypothermia </w:t>
      </w:r>
    </w:p>
    <w:p w14:paraId="4BA368ED" w14:textId="759F12EF" w:rsidR="00726913" w:rsidRDefault="00ED76BB" w:rsidP="00ED76BB">
      <w:pPr>
        <w:pStyle w:val="Body"/>
      </w:pPr>
      <w:r w:rsidRPr="008843F0">
        <w:t>Prevention of hypothermia is the strategy most frequently reported to minimise surgical blood loss</w:t>
      </w:r>
      <w:r w:rsidR="00726913">
        <w:t>,</w:t>
      </w:r>
      <w:r w:rsidRPr="008843F0">
        <w:t xml:space="preserve"> with 1</w:t>
      </w:r>
      <w:r w:rsidR="00726913">
        <w:t>,</w:t>
      </w:r>
      <w:r w:rsidRPr="008843F0">
        <w:t xml:space="preserve">034 (67 per cent) patients </w:t>
      </w:r>
      <w:r w:rsidR="00726913">
        <w:t>(Table 2</w:t>
      </w:r>
      <w:r w:rsidR="005C3036">
        <w:t>1</w:t>
      </w:r>
      <w:r w:rsidR="00726913">
        <w:t>).</w:t>
      </w:r>
    </w:p>
    <w:p w14:paraId="0AC84510" w14:textId="6FF6D035" w:rsidR="00726913" w:rsidRDefault="00ED76BB" w:rsidP="00ED76BB">
      <w:pPr>
        <w:pStyle w:val="Body"/>
      </w:pPr>
      <w:r w:rsidRPr="008843F0">
        <w:t xml:space="preserve">The </w:t>
      </w:r>
      <w:bookmarkStart w:id="83" w:name="_Hlk66442010"/>
      <w:r w:rsidRPr="00DF1B38">
        <w:t>Australian</w:t>
      </w:r>
      <w:r w:rsidRPr="008843F0">
        <w:t xml:space="preserve"> College of </w:t>
      </w:r>
      <w:proofErr w:type="spellStart"/>
      <w:r w:rsidRPr="008843F0">
        <w:t>Perianaesthesia</w:t>
      </w:r>
      <w:proofErr w:type="spellEnd"/>
      <w:r w:rsidRPr="008843F0">
        <w:t xml:space="preserve"> Nurses (ACPAN) </w:t>
      </w:r>
      <w:bookmarkEnd w:id="83"/>
      <w:r w:rsidRPr="008843F0">
        <w:t>has a guideline related to the prevention and management of inadvertent perioperative hypothermia in adults</w:t>
      </w:r>
      <w:r w:rsidR="00971720">
        <w:t>. H</w:t>
      </w:r>
      <w:r w:rsidR="00971720" w:rsidRPr="008843F0">
        <w:t>owever</w:t>
      </w:r>
      <w:r w:rsidR="00971720">
        <w:t>,</w:t>
      </w:r>
      <w:r w:rsidR="00971720" w:rsidRPr="008843F0">
        <w:t xml:space="preserve"> </w:t>
      </w:r>
      <w:r w:rsidRPr="008843F0">
        <w:t xml:space="preserve">this is not related to minimising blood loss specifically. </w:t>
      </w:r>
    </w:p>
    <w:p w14:paraId="362625B0" w14:textId="75EBAA53" w:rsidR="00726913" w:rsidRDefault="00ED76BB" w:rsidP="00ED76BB">
      <w:pPr>
        <w:pStyle w:val="Body"/>
      </w:pPr>
      <w:r w:rsidRPr="008843F0">
        <w:t xml:space="preserve">The Blood Matters audit did not define hypothermia, </w:t>
      </w:r>
      <w:r w:rsidR="00726913">
        <w:t>but</w:t>
      </w:r>
      <w:r w:rsidR="00726913" w:rsidRPr="008843F0">
        <w:t xml:space="preserve"> </w:t>
      </w:r>
      <w:r w:rsidRPr="008843F0">
        <w:t>the ACPAN guideline defines hypothermia as a patient core temperature of less than 36.0</w:t>
      </w:r>
      <w:r w:rsidRPr="008843F0">
        <w:rPr>
          <w:rFonts w:cs="Arial"/>
        </w:rPr>
        <w:t>°</w:t>
      </w:r>
      <w:r w:rsidRPr="008843F0">
        <w:t>C.</w:t>
      </w:r>
      <w:r w:rsidR="00783832">
        <w:t xml:space="preserve"> </w:t>
      </w:r>
      <w:r w:rsidRPr="008843F0">
        <w:t xml:space="preserve">Active warming would not be employed unless the patient’s core temperature was below the specified temperature range. </w:t>
      </w:r>
    </w:p>
    <w:p w14:paraId="07C4112F" w14:textId="6E525F35" w:rsidR="00ED76BB" w:rsidRPr="008843F0" w:rsidRDefault="00ED76BB" w:rsidP="00ED76BB">
      <w:pPr>
        <w:pStyle w:val="Body"/>
      </w:pPr>
      <w:r w:rsidRPr="008843F0">
        <w:t xml:space="preserve">The audit did not specify what prevention of hypothermia </w:t>
      </w:r>
      <w:proofErr w:type="gramStart"/>
      <w:r w:rsidRPr="008843F0">
        <w:t>entailed,</w:t>
      </w:r>
      <w:proofErr w:type="gramEnd"/>
      <w:r w:rsidRPr="008843F0">
        <w:t xml:space="preserve"> therefore some management techniques may have been used, but </w:t>
      </w:r>
      <w:r w:rsidR="00726913">
        <w:t xml:space="preserve">were </w:t>
      </w:r>
      <w:r w:rsidRPr="008843F0">
        <w:t>not documented or identified as such.</w:t>
      </w:r>
    </w:p>
    <w:p w14:paraId="07D3DD18" w14:textId="407CFE23" w:rsidR="00ED76BB" w:rsidRPr="008843F0" w:rsidRDefault="00ED76BB" w:rsidP="002B2FD9">
      <w:pPr>
        <w:pStyle w:val="Figurecaption"/>
      </w:pPr>
      <w:bookmarkStart w:id="84" w:name="_Ref67408591"/>
      <w:r w:rsidRPr="008843F0">
        <w:t xml:space="preserve">Table </w:t>
      </w:r>
      <w:bookmarkEnd w:id="84"/>
      <w:r w:rsidR="006F4FEC">
        <w:t>21:</w:t>
      </w:r>
      <w:r w:rsidRPr="008843F0">
        <w:t xml:space="preserve"> Blood conservation strategies documented as utilised intraoperatively by surgery type</w:t>
      </w:r>
    </w:p>
    <w:tbl>
      <w:tblPr>
        <w:tblStyle w:val="TableGrid5"/>
        <w:tblW w:w="0" w:type="auto"/>
        <w:tblLook w:val="04A0" w:firstRow="1" w:lastRow="0" w:firstColumn="1" w:lastColumn="0" w:noHBand="0" w:noVBand="1"/>
      </w:tblPr>
      <w:tblGrid>
        <w:gridCol w:w="2696"/>
        <w:gridCol w:w="1477"/>
        <w:gridCol w:w="1465"/>
        <w:gridCol w:w="1062"/>
        <w:gridCol w:w="1078"/>
        <w:gridCol w:w="1196"/>
      </w:tblGrid>
      <w:tr w:rsidR="00ED76BB" w:rsidRPr="008843F0" w14:paraId="28B1A4D1" w14:textId="77777777" w:rsidTr="002B2FD9">
        <w:tc>
          <w:tcPr>
            <w:tcW w:w="2696" w:type="dxa"/>
            <w:vAlign w:val="center"/>
          </w:tcPr>
          <w:p w14:paraId="65D58ADA" w14:textId="77777777" w:rsidR="00ED76BB" w:rsidRPr="00DF1B38" w:rsidRDefault="00ED76BB" w:rsidP="003C2836">
            <w:pPr>
              <w:pStyle w:val="Tablecolhead"/>
            </w:pPr>
            <w:r w:rsidRPr="00DF1B38">
              <w:t>Surgery</w:t>
            </w:r>
          </w:p>
        </w:tc>
        <w:tc>
          <w:tcPr>
            <w:tcW w:w="1466" w:type="dxa"/>
            <w:vAlign w:val="center"/>
          </w:tcPr>
          <w:p w14:paraId="4C3CC2AF" w14:textId="77777777" w:rsidR="00ED76BB" w:rsidRPr="00DF1B38" w:rsidRDefault="00ED76BB" w:rsidP="003C2836">
            <w:pPr>
              <w:pStyle w:val="Tablecolhead"/>
            </w:pPr>
            <w:r w:rsidRPr="00DF1B38">
              <w:t>Prevention of hypothermia</w:t>
            </w:r>
          </w:p>
        </w:tc>
        <w:tc>
          <w:tcPr>
            <w:tcW w:w="1454" w:type="dxa"/>
            <w:vAlign w:val="center"/>
          </w:tcPr>
          <w:p w14:paraId="52058638" w14:textId="77777777" w:rsidR="00ED76BB" w:rsidRPr="00DF1B38" w:rsidRDefault="00ED76BB" w:rsidP="003C2836">
            <w:pPr>
              <w:pStyle w:val="Tablecolhead"/>
            </w:pPr>
            <w:r w:rsidRPr="00DF1B38">
              <w:t>Deliberate induced hypotension</w:t>
            </w:r>
          </w:p>
        </w:tc>
        <w:tc>
          <w:tcPr>
            <w:tcW w:w="1062" w:type="dxa"/>
            <w:vAlign w:val="center"/>
          </w:tcPr>
          <w:p w14:paraId="38FAF998" w14:textId="77777777" w:rsidR="00ED76BB" w:rsidRPr="00DF1B38" w:rsidRDefault="00ED76BB" w:rsidP="003C2836">
            <w:pPr>
              <w:pStyle w:val="Tablecolhead"/>
            </w:pPr>
            <w:r w:rsidRPr="00DF1B38">
              <w:t>Use of ANH</w:t>
            </w:r>
          </w:p>
        </w:tc>
        <w:tc>
          <w:tcPr>
            <w:tcW w:w="1078" w:type="dxa"/>
          </w:tcPr>
          <w:p w14:paraId="0F46219A" w14:textId="162E6D64" w:rsidR="00ED76BB" w:rsidRPr="00DF1B38" w:rsidRDefault="00DC62A4" w:rsidP="003C2836">
            <w:pPr>
              <w:pStyle w:val="Tablecolhead"/>
            </w:pPr>
            <w:r w:rsidRPr="00DF1B38">
              <w:t>Near</w:t>
            </w:r>
            <w:r>
              <w:t>-</w:t>
            </w:r>
            <w:r w:rsidR="00ED76BB" w:rsidRPr="00DF1B38">
              <w:t>patient testing</w:t>
            </w:r>
          </w:p>
        </w:tc>
        <w:tc>
          <w:tcPr>
            <w:tcW w:w="1196" w:type="dxa"/>
            <w:vAlign w:val="center"/>
          </w:tcPr>
          <w:p w14:paraId="1083BB35" w14:textId="77777777" w:rsidR="00ED76BB" w:rsidRPr="00DF1B38" w:rsidRDefault="00ED76BB" w:rsidP="003C2836">
            <w:pPr>
              <w:pStyle w:val="Tablecolhead"/>
            </w:pPr>
            <w:r w:rsidRPr="00DF1B38">
              <w:t>Use of TXA</w:t>
            </w:r>
          </w:p>
        </w:tc>
      </w:tr>
      <w:tr w:rsidR="00ED76BB" w:rsidRPr="008843F0" w14:paraId="278E0337" w14:textId="77777777" w:rsidTr="002B2FD9">
        <w:tc>
          <w:tcPr>
            <w:tcW w:w="2696" w:type="dxa"/>
          </w:tcPr>
          <w:p w14:paraId="420CA11F" w14:textId="77777777" w:rsidR="00ED76BB" w:rsidRPr="00DF1B38" w:rsidRDefault="00ED76BB" w:rsidP="003C2836">
            <w:pPr>
              <w:pStyle w:val="Tabletext"/>
            </w:pPr>
            <w:r w:rsidRPr="00DF1B38">
              <w:t>Orthopaedics</w:t>
            </w:r>
          </w:p>
        </w:tc>
        <w:tc>
          <w:tcPr>
            <w:tcW w:w="1466" w:type="dxa"/>
          </w:tcPr>
          <w:p w14:paraId="798DE8C4" w14:textId="77777777" w:rsidR="00ED76BB" w:rsidRPr="00DF1B38" w:rsidRDefault="00ED76BB" w:rsidP="002B2FD9">
            <w:pPr>
              <w:pStyle w:val="Tabletext"/>
              <w:jc w:val="right"/>
            </w:pPr>
            <w:r w:rsidRPr="00DF1B38">
              <w:t>537 (70%)</w:t>
            </w:r>
          </w:p>
        </w:tc>
        <w:tc>
          <w:tcPr>
            <w:tcW w:w="1454" w:type="dxa"/>
          </w:tcPr>
          <w:p w14:paraId="5427A47B" w14:textId="77777777" w:rsidR="00ED76BB" w:rsidRPr="00DF1B38" w:rsidRDefault="00ED76BB" w:rsidP="002B2FD9">
            <w:pPr>
              <w:pStyle w:val="Tabletext"/>
              <w:jc w:val="right"/>
            </w:pPr>
            <w:r w:rsidRPr="00DF1B38">
              <w:t>66 (9%)</w:t>
            </w:r>
          </w:p>
        </w:tc>
        <w:tc>
          <w:tcPr>
            <w:tcW w:w="1062" w:type="dxa"/>
          </w:tcPr>
          <w:p w14:paraId="0FDDF780" w14:textId="77777777" w:rsidR="00ED76BB" w:rsidRPr="00DF1B38" w:rsidRDefault="00ED76BB" w:rsidP="002B2FD9">
            <w:pPr>
              <w:pStyle w:val="Tabletext"/>
              <w:jc w:val="right"/>
            </w:pPr>
            <w:r w:rsidRPr="00DF1B38">
              <w:t>17 (2%)</w:t>
            </w:r>
          </w:p>
        </w:tc>
        <w:tc>
          <w:tcPr>
            <w:tcW w:w="1078" w:type="dxa"/>
          </w:tcPr>
          <w:p w14:paraId="516CA3CB" w14:textId="77777777" w:rsidR="00ED76BB" w:rsidRPr="00DF1B38" w:rsidRDefault="00ED76BB" w:rsidP="002B2FD9">
            <w:pPr>
              <w:pStyle w:val="Tabletext"/>
              <w:jc w:val="right"/>
            </w:pPr>
            <w:r w:rsidRPr="00DF1B38">
              <w:t>10 (1%)</w:t>
            </w:r>
          </w:p>
        </w:tc>
        <w:tc>
          <w:tcPr>
            <w:tcW w:w="1196" w:type="dxa"/>
          </w:tcPr>
          <w:p w14:paraId="4FD488B9" w14:textId="77777777" w:rsidR="00ED76BB" w:rsidRPr="00DF1B38" w:rsidRDefault="00ED76BB" w:rsidP="002B2FD9">
            <w:pPr>
              <w:pStyle w:val="Tabletext"/>
              <w:jc w:val="right"/>
            </w:pPr>
            <w:r w:rsidRPr="00DF1B38">
              <w:t>606 (78%)</w:t>
            </w:r>
          </w:p>
        </w:tc>
      </w:tr>
      <w:tr w:rsidR="00ED76BB" w:rsidRPr="008843F0" w14:paraId="50BB1A02" w14:textId="77777777" w:rsidTr="002B2FD9">
        <w:tc>
          <w:tcPr>
            <w:tcW w:w="2696" w:type="dxa"/>
          </w:tcPr>
          <w:p w14:paraId="0E1E1EF0" w14:textId="77777777" w:rsidR="00ED76BB" w:rsidRPr="00DF1B38" w:rsidRDefault="00ED76BB" w:rsidP="003C2836">
            <w:pPr>
              <w:pStyle w:val="Tabletext"/>
            </w:pPr>
            <w:r w:rsidRPr="00DF1B38">
              <w:t>Gynaecology</w:t>
            </w:r>
          </w:p>
        </w:tc>
        <w:tc>
          <w:tcPr>
            <w:tcW w:w="1466" w:type="dxa"/>
          </w:tcPr>
          <w:p w14:paraId="34959B61" w14:textId="77777777" w:rsidR="00ED76BB" w:rsidRPr="00DF1B38" w:rsidRDefault="00ED76BB" w:rsidP="002B2FD9">
            <w:pPr>
              <w:pStyle w:val="Tabletext"/>
              <w:jc w:val="right"/>
            </w:pPr>
            <w:r w:rsidRPr="00DF1B38">
              <w:t>227 (66%)</w:t>
            </w:r>
          </w:p>
        </w:tc>
        <w:tc>
          <w:tcPr>
            <w:tcW w:w="1454" w:type="dxa"/>
          </w:tcPr>
          <w:p w14:paraId="6A76A8EF" w14:textId="77777777" w:rsidR="00ED76BB" w:rsidRPr="00DF1B38" w:rsidRDefault="00ED76BB" w:rsidP="002B2FD9">
            <w:pPr>
              <w:pStyle w:val="Tabletext"/>
              <w:jc w:val="right"/>
            </w:pPr>
            <w:r w:rsidRPr="00DF1B38">
              <w:t>13 (4%)</w:t>
            </w:r>
          </w:p>
        </w:tc>
        <w:tc>
          <w:tcPr>
            <w:tcW w:w="1062" w:type="dxa"/>
          </w:tcPr>
          <w:p w14:paraId="653BCAB7" w14:textId="77777777" w:rsidR="00ED76BB" w:rsidRPr="00DF1B38" w:rsidRDefault="00ED76BB" w:rsidP="002B2FD9">
            <w:pPr>
              <w:pStyle w:val="Tabletext"/>
              <w:jc w:val="right"/>
            </w:pPr>
            <w:r w:rsidRPr="00DF1B38">
              <w:t>26 (8%)</w:t>
            </w:r>
          </w:p>
        </w:tc>
        <w:tc>
          <w:tcPr>
            <w:tcW w:w="1078" w:type="dxa"/>
          </w:tcPr>
          <w:p w14:paraId="41DCABEB" w14:textId="77777777" w:rsidR="00ED76BB" w:rsidRPr="00DF1B38" w:rsidRDefault="00ED76BB" w:rsidP="002B2FD9">
            <w:pPr>
              <w:pStyle w:val="Tabletext"/>
              <w:jc w:val="right"/>
            </w:pPr>
            <w:r w:rsidRPr="00DF1B38">
              <w:t>-</w:t>
            </w:r>
          </w:p>
        </w:tc>
        <w:tc>
          <w:tcPr>
            <w:tcW w:w="1196" w:type="dxa"/>
          </w:tcPr>
          <w:p w14:paraId="49BC1D41" w14:textId="77777777" w:rsidR="00ED76BB" w:rsidRPr="00DF1B38" w:rsidRDefault="00ED76BB" w:rsidP="002B2FD9">
            <w:pPr>
              <w:pStyle w:val="Tabletext"/>
              <w:jc w:val="right"/>
            </w:pPr>
            <w:r w:rsidRPr="00DF1B38">
              <w:t>24 (7%)</w:t>
            </w:r>
          </w:p>
        </w:tc>
      </w:tr>
      <w:tr w:rsidR="00ED76BB" w:rsidRPr="008843F0" w14:paraId="4F098B89" w14:textId="77777777" w:rsidTr="002B2FD9">
        <w:tc>
          <w:tcPr>
            <w:tcW w:w="2696" w:type="dxa"/>
          </w:tcPr>
          <w:p w14:paraId="34E19EEF" w14:textId="77777777" w:rsidR="00ED76BB" w:rsidRPr="00DF1B38" w:rsidRDefault="00ED76BB" w:rsidP="003C2836">
            <w:pPr>
              <w:pStyle w:val="Tabletext"/>
            </w:pPr>
            <w:r w:rsidRPr="00DF1B38">
              <w:t>Major gastrointestinal</w:t>
            </w:r>
          </w:p>
        </w:tc>
        <w:tc>
          <w:tcPr>
            <w:tcW w:w="1466" w:type="dxa"/>
          </w:tcPr>
          <w:p w14:paraId="4E9B195B" w14:textId="77777777" w:rsidR="00ED76BB" w:rsidRPr="00DF1B38" w:rsidRDefault="00ED76BB" w:rsidP="002B2FD9">
            <w:pPr>
              <w:pStyle w:val="Tabletext"/>
              <w:jc w:val="right"/>
            </w:pPr>
            <w:r w:rsidRPr="00DF1B38">
              <w:t>189 (64%)</w:t>
            </w:r>
          </w:p>
        </w:tc>
        <w:tc>
          <w:tcPr>
            <w:tcW w:w="1454" w:type="dxa"/>
          </w:tcPr>
          <w:p w14:paraId="2F288C6E" w14:textId="77777777" w:rsidR="00ED76BB" w:rsidRPr="00DF1B38" w:rsidRDefault="00ED76BB" w:rsidP="002B2FD9">
            <w:pPr>
              <w:pStyle w:val="Tabletext"/>
              <w:jc w:val="right"/>
            </w:pPr>
            <w:r w:rsidRPr="00DF1B38">
              <w:t>-</w:t>
            </w:r>
          </w:p>
        </w:tc>
        <w:tc>
          <w:tcPr>
            <w:tcW w:w="1062" w:type="dxa"/>
          </w:tcPr>
          <w:p w14:paraId="41A01FAB" w14:textId="77777777" w:rsidR="00ED76BB" w:rsidRPr="00DF1B38" w:rsidRDefault="00ED76BB" w:rsidP="002B2FD9">
            <w:pPr>
              <w:pStyle w:val="Tabletext"/>
              <w:jc w:val="right"/>
            </w:pPr>
            <w:r w:rsidRPr="00DF1B38">
              <w:t>19 (6%)</w:t>
            </w:r>
          </w:p>
        </w:tc>
        <w:tc>
          <w:tcPr>
            <w:tcW w:w="1078" w:type="dxa"/>
          </w:tcPr>
          <w:p w14:paraId="36EBB671" w14:textId="77777777" w:rsidR="00ED76BB" w:rsidRPr="00DF1B38" w:rsidRDefault="00ED76BB" w:rsidP="002B2FD9">
            <w:pPr>
              <w:pStyle w:val="Tabletext"/>
              <w:jc w:val="right"/>
            </w:pPr>
            <w:r w:rsidRPr="00DF1B38">
              <w:t>8 (3%)</w:t>
            </w:r>
          </w:p>
        </w:tc>
        <w:tc>
          <w:tcPr>
            <w:tcW w:w="1196" w:type="dxa"/>
          </w:tcPr>
          <w:p w14:paraId="0BC2E64B" w14:textId="77777777" w:rsidR="00ED76BB" w:rsidRPr="00DF1B38" w:rsidRDefault="00ED76BB" w:rsidP="002B2FD9">
            <w:pPr>
              <w:pStyle w:val="Tabletext"/>
              <w:jc w:val="right"/>
            </w:pPr>
            <w:r w:rsidRPr="00DF1B38">
              <w:t>-</w:t>
            </w:r>
          </w:p>
        </w:tc>
      </w:tr>
      <w:tr w:rsidR="00ED76BB" w:rsidRPr="008843F0" w14:paraId="64CE0B60" w14:textId="77777777" w:rsidTr="002B2FD9">
        <w:tc>
          <w:tcPr>
            <w:tcW w:w="2696" w:type="dxa"/>
          </w:tcPr>
          <w:p w14:paraId="3C3ADAC4" w14:textId="77777777" w:rsidR="00ED76BB" w:rsidRPr="00DF1B38" w:rsidRDefault="00ED76BB" w:rsidP="003C2836">
            <w:pPr>
              <w:pStyle w:val="Tabletext"/>
            </w:pPr>
            <w:r w:rsidRPr="00DF1B38">
              <w:t>Cardiothoracic</w:t>
            </w:r>
          </w:p>
        </w:tc>
        <w:tc>
          <w:tcPr>
            <w:tcW w:w="1466" w:type="dxa"/>
          </w:tcPr>
          <w:p w14:paraId="38E75C6F" w14:textId="77777777" w:rsidR="00ED76BB" w:rsidRPr="00DF1B38" w:rsidRDefault="00ED76BB" w:rsidP="002B2FD9">
            <w:pPr>
              <w:pStyle w:val="Tabletext"/>
              <w:jc w:val="right"/>
            </w:pPr>
            <w:r w:rsidRPr="00DF1B38">
              <w:t>81 (62%)</w:t>
            </w:r>
          </w:p>
        </w:tc>
        <w:tc>
          <w:tcPr>
            <w:tcW w:w="1454" w:type="dxa"/>
          </w:tcPr>
          <w:p w14:paraId="1ED1CFE4" w14:textId="77777777" w:rsidR="00ED76BB" w:rsidRPr="00DF1B38" w:rsidRDefault="00ED76BB" w:rsidP="002B2FD9">
            <w:pPr>
              <w:pStyle w:val="Tabletext"/>
              <w:jc w:val="right"/>
            </w:pPr>
            <w:r w:rsidRPr="00DF1B38">
              <w:t>-</w:t>
            </w:r>
          </w:p>
        </w:tc>
        <w:tc>
          <w:tcPr>
            <w:tcW w:w="1062" w:type="dxa"/>
          </w:tcPr>
          <w:p w14:paraId="72210ED4" w14:textId="77777777" w:rsidR="00ED76BB" w:rsidRPr="00DF1B38" w:rsidRDefault="00ED76BB" w:rsidP="002B2FD9">
            <w:pPr>
              <w:pStyle w:val="Tabletext"/>
              <w:jc w:val="right"/>
            </w:pPr>
            <w:r w:rsidRPr="00DF1B38">
              <w:t>1 (1%)</w:t>
            </w:r>
          </w:p>
        </w:tc>
        <w:tc>
          <w:tcPr>
            <w:tcW w:w="1078" w:type="dxa"/>
          </w:tcPr>
          <w:p w14:paraId="7942D346" w14:textId="77777777" w:rsidR="00ED76BB" w:rsidRPr="00DF1B38" w:rsidRDefault="00ED76BB" w:rsidP="002B2FD9">
            <w:pPr>
              <w:pStyle w:val="Tabletext"/>
              <w:jc w:val="right"/>
            </w:pPr>
            <w:r w:rsidRPr="00DF1B38">
              <w:t>10 (8%)</w:t>
            </w:r>
          </w:p>
        </w:tc>
        <w:tc>
          <w:tcPr>
            <w:tcW w:w="1196" w:type="dxa"/>
          </w:tcPr>
          <w:p w14:paraId="13B012CD" w14:textId="77777777" w:rsidR="00ED76BB" w:rsidRPr="00DF1B38" w:rsidRDefault="00ED76BB" w:rsidP="002B2FD9">
            <w:pPr>
              <w:pStyle w:val="Tabletext"/>
              <w:jc w:val="right"/>
            </w:pPr>
            <w:r w:rsidRPr="00DF1B38">
              <w:t>98 (75%)</w:t>
            </w:r>
          </w:p>
        </w:tc>
      </w:tr>
      <w:tr w:rsidR="00ED76BB" w:rsidRPr="008843F0" w14:paraId="761063E6" w14:textId="77777777" w:rsidTr="002B2FD9">
        <w:tc>
          <w:tcPr>
            <w:tcW w:w="2696" w:type="dxa"/>
          </w:tcPr>
          <w:p w14:paraId="4F9757F6" w14:textId="77777777" w:rsidR="00ED76BB" w:rsidRPr="00DF1B38" w:rsidRDefault="00ED76BB" w:rsidP="003C2836">
            <w:pPr>
              <w:pStyle w:val="Tabletext"/>
            </w:pPr>
            <w:r w:rsidRPr="00DF1B38">
              <w:t>Total (all surgical types)</w:t>
            </w:r>
          </w:p>
        </w:tc>
        <w:tc>
          <w:tcPr>
            <w:tcW w:w="1466" w:type="dxa"/>
          </w:tcPr>
          <w:p w14:paraId="7C165C65" w14:textId="77777777" w:rsidR="00ED76BB" w:rsidRPr="00DF1B38" w:rsidRDefault="00ED76BB" w:rsidP="002B2FD9">
            <w:pPr>
              <w:pStyle w:val="Tabletext"/>
              <w:jc w:val="right"/>
            </w:pPr>
            <w:r w:rsidRPr="00DF1B38">
              <w:t>1034 (67%)</w:t>
            </w:r>
          </w:p>
        </w:tc>
        <w:tc>
          <w:tcPr>
            <w:tcW w:w="1454" w:type="dxa"/>
          </w:tcPr>
          <w:p w14:paraId="00E37B57" w14:textId="77777777" w:rsidR="00ED76BB" w:rsidRPr="00DF1B38" w:rsidRDefault="00ED76BB" w:rsidP="002B2FD9">
            <w:pPr>
              <w:pStyle w:val="Tabletext"/>
              <w:jc w:val="right"/>
            </w:pPr>
            <w:r w:rsidRPr="00DF1B38">
              <w:t>79 (5%)</w:t>
            </w:r>
          </w:p>
        </w:tc>
        <w:tc>
          <w:tcPr>
            <w:tcW w:w="1062" w:type="dxa"/>
          </w:tcPr>
          <w:p w14:paraId="31FF7AC5" w14:textId="77777777" w:rsidR="00ED76BB" w:rsidRPr="00DF1B38" w:rsidRDefault="00ED76BB" w:rsidP="002B2FD9">
            <w:pPr>
              <w:pStyle w:val="Tabletext"/>
              <w:jc w:val="right"/>
            </w:pPr>
            <w:r w:rsidRPr="00DF1B38">
              <w:t>63 (4%)</w:t>
            </w:r>
          </w:p>
        </w:tc>
        <w:tc>
          <w:tcPr>
            <w:tcW w:w="1078" w:type="dxa"/>
          </w:tcPr>
          <w:p w14:paraId="311599F5" w14:textId="77777777" w:rsidR="00ED76BB" w:rsidRPr="00DF1B38" w:rsidRDefault="00ED76BB" w:rsidP="002B2FD9">
            <w:pPr>
              <w:pStyle w:val="Tabletext"/>
              <w:jc w:val="right"/>
            </w:pPr>
            <w:r w:rsidRPr="00DF1B38">
              <w:t>28 (2%)</w:t>
            </w:r>
          </w:p>
        </w:tc>
        <w:tc>
          <w:tcPr>
            <w:tcW w:w="1196" w:type="dxa"/>
          </w:tcPr>
          <w:p w14:paraId="24C00870" w14:textId="77777777" w:rsidR="00ED76BB" w:rsidRPr="00DF1B38" w:rsidRDefault="00ED76BB" w:rsidP="002B2FD9">
            <w:pPr>
              <w:pStyle w:val="Tabletext"/>
              <w:jc w:val="right"/>
            </w:pPr>
            <w:r w:rsidRPr="00DF1B38">
              <w:t>728 (47%)</w:t>
            </w:r>
          </w:p>
        </w:tc>
      </w:tr>
    </w:tbl>
    <w:p w14:paraId="6DD56161" w14:textId="0E2765A8" w:rsidR="00ED76BB" w:rsidRDefault="00ED76BB" w:rsidP="00ED76BB">
      <w:pPr>
        <w:pStyle w:val="Tablefigurenote"/>
        <w:rPr>
          <w:rFonts w:eastAsia="MS Gothic"/>
          <w:b/>
          <w:bCs/>
          <w:sz w:val="24"/>
          <w:szCs w:val="26"/>
        </w:rPr>
      </w:pPr>
      <w:r w:rsidRPr="008843F0">
        <w:rPr>
          <w:rFonts w:eastAsia="Times"/>
        </w:rPr>
        <w:t xml:space="preserve">Lack of documentation does not necessarily mean the strategy did not occur. Documentation </w:t>
      </w:r>
      <w:r w:rsidRPr="00DF1B38">
        <w:rPr>
          <w:rFonts w:eastAsia="Times"/>
        </w:rPr>
        <w:t>may</w:t>
      </w:r>
      <w:r w:rsidRPr="008843F0">
        <w:rPr>
          <w:rFonts w:eastAsia="Times"/>
        </w:rPr>
        <w:t xml:space="preserve"> not be evident to the auditor.</w:t>
      </w:r>
    </w:p>
    <w:p w14:paraId="2E05C159" w14:textId="77777777" w:rsidR="00ED76BB" w:rsidRPr="00DF1B38" w:rsidRDefault="00ED76BB" w:rsidP="00ED76BB">
      <w:pPr>
        <w:pStyle w:val="Heading4"/>
      </w:pPr>
      <w:r w:rsidRPr="008843F0">
        <w:t>Intraoperative red blood cell (RBC) transfusion</w:t>
      </w:r>
    </w:p>
    <w:p w14:paraId="2DD73798" w14:textId="77777777" w:rsidR="00ED76BB" w:rsidRPr="008843F0" w:rsidRDefault="00ED76BB" w:rsidP="00ED76BB">
      <w:pPr>
        <w:pStyle w:val="Body"/>
      </w:pPr>
      <w:r w:rsidRPr="008843F0">
        <w:t xml:space="preserve">The number of patients who received an intraoperative RBC </w:t>
      </w:r>
      <w:r w:rsidRPr="00DF1B38">
        <w:t>transfusion</w:t>
      </w:r>
      <w:r w:rsidRPr="008843F0">
        <w:t xml:space="preserve"> is very low at 29 (2 per cent). </w:t>
      </w:r>
    </w:p>
    <w:p w14:paraId="2336A581" w14:textId="187386B8" w:rsidR="00ED76BB" w:rsidRPr="008843F0" w:rsidRDefault="00ED76BB" w:rsidP="002B2FD9">
      <w:pPr>
        <w:pStyle w:val="Tablecaption"/>
      </w:pPr>
      <w:r w:rsidRPr="008843F0">
        <w:lastRenderedPageBreak/>
        <w:t xml:space="preserve">Table </w:t>
      </w:r>
      <w:r w:rsidR="00211F83">
        <w:t>2</w:t>
      </w:r>
      <w:r w:rsidR="006F4FEC">
        <w:t>2</w:t>
      </w:r>
      <w:r w:rsidRPr="008843F0">
        <w:t xml:space="preserve">: Number of intraoperative </w:t>
      </w:r>
      <w:r w:rsidRPr="00DF1B38">
        <w:t>red</w:t>
      </w:r>
      <w:r w:rsidRPr="008843F0">
        <w:t xml:space="preserve"> blood cell transfusions by surgery type</w:t>
      </w:r>
    </w:p>
    <w:tbl>
      <w:tblPr>
        <w:tblStyle w:val="TableGrid5"/>
        <w:tblW w:w="0" w:type="auto"/>
        <w:tblLayout w:type="fixed"/>
        <w:tblLook w:val="04A0" w:firstRow="1" w:lastRow="0" w:firstColumn="1" w:lastColumn="0" w:noHBand="0" w:noVBand="1"/>
      </w:tblPr>
      <w:tblGrid>
        <w:gridCol w:w="1314"/>
        <w:gridCol w:w="1123"/>
        <w:gridCol w:w="1124"/>
        <w:gridCol w:w="1124"/>
        <w:gridCol w:w="1123"/>
        <w:gridCol w:w="1124"/>
        <w:gridCol w:w="1124"/>
        <w:gridCol w:w="1124"/>
      </w:tblGrid>
      <w:tr w:rsidR="00ED76BB" w:rsidRPr="008843F0" w14:paraId="46230D5C" w14:textId="77777777" w:rsidTr="002B2FD9">
        <w:trPr>
          <w:tblHeader/>
        </w:trPr>
        <w:tc>
          <w:tcPr>
            <w:tcW w:w="1314" w:type="dxa"/>
          </w:tcPr>
          <w:p w14:paraId="02780C4D" w14:textId="77777777" w:rsidR="00ED76BB" w:rsidRPr="008843F0" w:rsidRDefault="00ED76BB" w:rsidP="002B2FD9">
            <w:pPr>
              <w:pStyle w:val="Tablecolhead"/>
              <w:keepNext/>
              <w:keepLines/>
            </w:pPr>
            <w:r w:rsidRPr="008843F0">
              <w:t>Surgery group</w:t>
            </w:r>
          </w:p>
        </w:tc>
        <w:tc>
          <w:tcPr>
            <w:tcW w:w="1123" w:type="dxa"/>
          </w:tcPr>
          <w:p w14:paraId="527C8F8F" w14:textId="23040C86" w:rsidR="00ED76BB" w:rsidRPr="008843F0" w:rsidRDefault="004C0533" w:rsidP="003C2836">
            <w:pPr>
              <w:pStyle w:val="Tablecolhead"/>
            </w:pPr>
            <w:r w:rsidRPr="008843F0">
              <w:t>N</w:t>
            </w:r>
            <w:r>
              <w:t>o.</w:t>
            </w:r>
            <w:r w:rsidRPr="008843F0">
              <w:t xml:space="preserve"> </w:t>
            </w:r>
            <w:r w:rsidR="00ED76BB" w:rsidRPr="008843F0">
              <w:t xml:space="preserve">of patients </w:t>
            </w:r>
            <w:proofErr w:type="spellStart"/>
            <w:r w:rsidR="00ED76BB" w:rsidRPr="008843F0">
              <w:t>receiv</w:t>
            </w:r>
            <w:r>
              <w:t>-</w:t>
            </w:r>
            <w:r w:rsidR="00ED76BB" w:rsidRPr="008843F0">
              <w:t>ing</w:t>
            </w:r>
            <w:proofErr w:type="spellEnd"/>
            <w:r w:rsidR="00ED76BB" w:rsidRPr="008843F0">
              <w:t xml:space="preserve"> </w:t>
            </w:r>
            <w:proofErr w:type="spellStart"/>
            <w:r w:rsidR="00ED76BB" w:rsidRPr="008843F0">
              <w:t>intraop</w:t>
            </w:r>
            <w:proofErr w:type="spellEnd"/>
            <w:r w:rsidR="00ED76BB" w:rsidRPr="008843F0">
              <w:t xml:space="preserve"> RBC </w:t>
            </w:r>
          </w:p>
        </w:tc>
        <w:tc>
          <w:tcPr>
            <w:tcW w:w="1124" w:type="dxa"/>
          </w:tcPr>
          <w:p w14:paraId="0F9C3387" w14:textId="6D6135B0" w:rsidR="00ED76BB" w:rsidRPr="008843F0" w:rsidRDefault="004C0533" w:rsidP="003C2836">
            <w:pPr>
              <w:pStyle w:val="Tablecolhead"/>
            </w:pPr>
            <w:r w:rsidRPr="008843F0">
              <w:t>N</w:t>
            </w:r>
            <w:r>
              <w:t>o.</w:t>
            </w:r>
            <w:r w:rsidRPr="008843F0">
              <w:t xml:space="preserve"> </w:t>
            </w:r>
            <w:r w:rsidR="00ED76BB" w:rsidRPr="008843F0">
              <w:t>of units trans</w:t>
            </w:r>
            <w:r>
              <w:t>-</w:t>
            </w:r>
            <w:r w:rsidR="00ED76BB" w:rsidRPr="008843F0">
              <w:t>fused (average per pat</w:t>
            </w:r>
            <w:r>
              <w:t>-</w:t>
            </w:r>
            <w:proofErr w:type="spellStart"/>
            <w:r w:rsidR="00ED76BB" w:rsidRPr="008843F0">
              <w:t>ient</w:t>
            </w:r>
            <w:proofErr w:type="spellEnd"/>
            <w:r w:rsidR="00ED76BB" w:rsidRPr="008843F0">
              <w:t>)</w:t>
            </w:r>
          </w:p>
        </w:tc>
        <w:tc>
          <w:tcPr>
            <w:tcW w:w="1124" w:type="dxa"/>
          </w:tcPr>
          <w:p w14:paraId="76716C99" w14:textId="04507A26" w:rsidR="00ED76BB" w:rsidRPr="008843F0" w:rsidRDefault="00ED76BB" w:rsidP="003C2836">
            <w:pPr>
              <w:pStyle w:val="Tablecolhead"/>
            </w:pPr>
            <w:r w:rsidRPr="008843F0">
              <w:t>Anaemic at preop assess</w:t>
            </w:r>
            <w:r w:rsidR="004C0533">
              <w:t>-</w:t>
            </w:r>
            <w:proofErr w:type="spellStart"/>
            <w:r w:rsidRPr="008843F0">
              <w:t>ment</w:t>
            </w:r>
            <w:proofErr w:type="spellEnd"/>
            <w:r w:rsidRPr="008843F0">
              <w:t xml:space="preserve"> + blood loss</w:t>
            </w:r>
          </w:p>
        </w:tc>
        <w:tc>
          <w:tcPr>
            <w:tcW w:w="1123" w:type="dxa"/>
          </w:tcPr>
          <w:p w14:paraId="78603060" w14:textId="77777777" w:rsidR="00ED76BB" w:rsidRPr="008843F0" w:rsidRDefault="00ED76BB" w:rsidP="003C2836">
            <w:pPr>
              <w:pStyle w:val="Tablecolhead"/>
            </w:pPr>
            <w:r w:rsidRPr="008843F0">
              <w:t>Anaemic on DoS</w:t>
            </w:r>
          </w:p>
        </w:tc>
        <w:tc>
          <w:tcPr>
            <w:tcW w:w="1124" w:type="dxa"/>
          </w:tcPr>
          <w:p w14:paraId="1D2CCA63" w14:textId="455585F1" w:rsidR="00ED76BB" w:rsidRPr="008843F0" w:rsidRDefault="00ED76BB" w:rsidP="003C2836">
            <w:pPr>
              <w:pStyle w:val="Tablecolhead"/>
            </w:pPr>
            <w:r w:rsidRPr="008843F0">
              <w:t>Anaemic at preadmission assess</w:t>
            </w:r>
            <w:r w:rsidR="004C0533">
              <w:t>-</w:t>
            </w:r>
            <w:proofErr w:type="spellStart"/>
            <w:r w:rsidRPr="008843F0">
              <w:t>ment</w:t>
            </w:r>
            <w:proofErr w:type="spellEnd"/>
            <w:r w:rsidRPr="008843F0">
              <w:t xml:space="preserve"> – </w:t>
            </w:r>
            <w:r w:rsidR="004C0533">
              <w:t>no</w:t>
            </w:r>
            <w:r w:rsidR="004C0533" w:rsidRPr="008843F0">
              <w:t xml:space="preserve"> </w:t>
            </w:r>
            <w:r w:rsidRPr="008843F0">
              <w:t>blood loss</w:t>
            </w:r>
          </w:p>
        </w:tc>
        <w:tc>
          <w:tcPr>
            <w:tcW w:w="1124" w:type="dxa"/>
          </w:tcPr>
          <w:p w14:paraId="5A5D0703" w14:textId="75003E7C" w:rsidR="00ED76BB" w:rsidRPr="008843F0" w:rsidRDefault="00ED76BB" w:rsidP="003C2836">
            <w:pPr>
              <w:pStyle w:val="Tablecolhead"/>
            </w:pPr>
            <w:r w:rsidRPr="008843F0">
              <w:t>No anaemia at pre</w:t>
            </w:r>
            <w:r w:rsidR="004C0533">
              <w:t>-</w:t>
            </w:r>
            <w:proofErr w:type="spellStart"/>
            <w:r w:rsidRPr="008843F0">
              <w:t>admiss</w:t>
            </w:r>
            <w:proofErr w:type="spellEnd"/>
            <w:r w:rsidR="004C0533">
              <w:t>-</w:t>
            </w:r>
            <w:r w:rsidRPr="008843F0">
              <w:t>ion assess</w:t>
            </w:r>
            <w:r w:rsidR="004C0533">
              <w:t>-</w:t>
            </w:r>
            <w:proofErr w:type="spellStart"/>
            <w:r w:rsidRPr="008843F0">
              <w:t>ment</w:t>
            </w:r>
            <w:proofErr w:type="spellEnd"/>
            <w:r w:rsidRPr="008843F0">
              <w:t xml:space="preserve"> + blood loss</w:t>
            </w:r>
          </w:p>
        </w:tc>
        <w:tc>
          <w:tcPr>
            <w:tcW w:w="1124" w:type="dxa"/>
          </w:tcPr>
          <w:p w14:paraId="3DE2F022" w14:textId="7D0042B1" w:rsidR="00ED76BB" w:rsidRPr="008843F0" w:rsidRDefault="00ED76BB" w:rsidP="003C2836">
            <w:pPr>
              <w:pStyle w:val="Tablecolhead"/>
            </w:pPr>
            <w:r w:rsidRPr="008843F0">
              <w:t>No anaemia pre</w:t>
            </w:r>
            <w:r w:rsidR="00971720">
              <w:t>-</w:t>
            </w:r>
            <w:proofErr w:type="spellStart"/>
            <w:r w:rsidRPr="008843F0">
              <w:t>admiss</w:t>
            </w:r>
            <w:proofErr w:type="spellEnd"/>
            <w:r w:rsidR="004C0533">
              <w:t>-</w:t>
            </w:r>
            <w:r w:rsidRPr="008843F0">
              <w:t xml:space="preserve">ion assessment – </w:t>
            </w:r>
            <w:r w:rsidR="004C0533">
              <w:t>no</w:t>
            </w:r>
            <w:r w:rsidR="004C0533" w:rsidRPr="008843F0">
              <w:t xml:space="preserve"> </w:t>
            </w:r>
            <w:r w:rsidRPr="008843F0">
              <w:t>blood loss</w:t>
            </w:r>
          </w:p>
        </w:tc>
      </w:tr>
      <w:tr w:rsidR="00ED76BB" w:rsidRPr="008843F0" w14:paraId="5EBE1270" w14:textId="77777777" w:rsidTr="002B2FD9">
        <w:tc>
          <w:tcPr>
            <w:tcW w:w="1314" w:type="dxa"/>
          </w:tcPr>
          <w:p w14:paraId="49C4676D" w14:textId="1E6AC226" w:rsidR="00ED76BB" w:rsidRPr="00DF1B38" w:rsidRDefault="00ED76BB" w:rsidP="003C2836">
            <w:pPr>
              <w:pStyle w:val="Tabletext"/>
            </w:pPr>
            <w:r w:rsidRPr="00DF1B38">
              <w:t>Ortho</w:t>
            </w:r>
            <w:r w:rsidR="004C0533">
              <w:t>-</w:t>
            </w:r>
            <w:proofErr w:type="spellStart"/>
            <w:r w:rsidRPr="00DF1B38">
              <w:t>paedics</w:t>
            </w:r>
            <w:proofErr w:type="spellEnd"/>
          </w:p>
        </w:tc>
        <w:tc>
          <w:tcPr>
            <w:tcW w:w="1123" w:type="dxa"/>
          </w:tcPr>
          <w:p w14:paraId="0EC094BF" w14:textId="77777777" w:rsidR="00ED76BB" w:rsidRPr="00DF1B38" w:rsidRDefault="00ED76BB" w:rsidP="002B2FD9">
            <w:pPr>
              <w:pStyle w:val="Tabletext"/>
              <w:jc w:val="right"/>
            </w:pPr>
            <w:r w:rsidRPr="00DF1B38">
              <w:t>3 (0.4%)</w:t>
            </w:r>
          </w:p>
        </w:tc>
        <w:tc>
          <w:tcPr>
            <w:tcW w:w="1124" w:type="dxa"/>
          </w:tcPr>
          <w:p w14:paraId="0D171631" w14:textId="77777777" w:rsidR="00ED76BB" w:rsidRPr="00DF1B38" w:rsidRDefault="00ED76BB" w:rsidP="002B2FD9">
            <w:pPr>
              <w:pStyle w:val="Tabletext"/>
              <w:jc w:val="right"/>
            </w:pPr>
            <w:r w:rsidRPr="00DF1B38">
              <w:t>1.7</w:t>
            </w:r>
          </w:p>
        </w:tc>
        <w:tc>
          <w:tcPr>
            <w:tcW w:w="1124" w:type="dxa"/>
          </w:tcPr>
          <w:p w14:paraId="49BB0F1F" w14:textId="77777777" w:rsidR="00ED76BB" w:rsidRPr="00DF1B38" w:rsidRDefault="00ED76BB" w:rsidP="002B2FD9">
            <w:pPr>
              <w:pStyle w:val="Tabletext"/>
              <w:jc w:val="right"/>
            </w:pPr>
            <w:r w:rsidRPr="00DF1B38">
              <w:t>1</w:t>
            </w:r>
          </w:p>
        </w:tc>
        <w:tc>
          <w:tcPr>
            <w:tcW w:w="1123" w:type="dxa"/>
          </w:tcPr>
          <w:p w14:paraId="283FF061" w14:textId="0E0B7FD5" w:rsidR="00ED76BB" w:rsidRPr="00DF1B38" w:rsidRDefault="00ED76BB" w:rsidP="002B2FD9">
            <w:pPr>
              <w:pStyle w:val="Tabletext"/>
              <w:jc w:val="right"/>
            </w:pPr>
            <w:r w:rsidRPr="00DF1B38">
              <w:t>1</w:t>
            </w:r>
            <w:r w:rsidR="001A3111">
              <w:rPr>
                <w:rStyle w:val="FootnoteReference"/>
              </w:rPr>
              <w:footnoteReference w:id="16"/>
            </w:r>
          </w:p>
        </w:tc>
        <w:tc>
          <w:tcPr>
            <w:tcW w:w="1124" w:type="dxa"/>
          </w:tcPr>
          <w:p w14:paraId="37F58418" w14:textId="77777777" w:rsidR="00ED76BB" w:rsidRPr="00DF1B38" w:rsidRDefault="00ED76BB" w:rsidP="002B2FD9">
            <w:pPr>
              <w:pStyle w:val="Tabletext"/>
              <w:jc w:val="right"/>
            </w:pPr>
            <w:r w:rsidRPr="00DF1B38">
              <w:t>1</w:t>
            </w:r>
          </w:p>
        </w:tc>
        <w:tc>
          <w:tcPr>
            <w:tcW w:w="1124" w:type="dxa"/>
          </w:tcPr>
          <w:p w14:paraId="60D951CD" w14:textId="77777777" w:rsidR="00ED76BB" w:rsidRPr="00DF1B38" w:rsidRDefault="00ED76BB" w:rsidP="002B2FD9">
            <w:pPr>
              <w:pStyle w:val="Tabletext"/>
              <w:jc w:val="right"/>
            </w:pPr>
            <w:r w:rsidRPr="00DF1B38">
              <w:t>1</w:t>
            </w:r>
          </w:p>
        </w:tc>
        <w:tc>
          <w:tcPr>
            <w:tcW w:w="1124" w:type="dxa"/>
          </w:tcPr>
          <w:p w14:paraId="0C241173" w14:textId="77777777" w:rsidR="00ED76BB" w:rsidRPr="00DF1B38" w:rsidRDefault="00ED76BB" w:rsidP="002B2FD9">
            <w:pPr>
              <w:pStyle w:val="Tabletext"/>
              <w:jc w:val="right"/>
            </w:pPr>
            <w:r w:rsidRPr="00DF1B38">
              <w:t>-</w:t>
            </w:r>
          </w:p>
        </w:tc>
      </w:tr>
      <w:tr w:rsidR="00ED76BB" w:rsidRPr="008843F0" w14:paraId="2130591E" w14:textId="77777777" w:rsidTr="002B2FD9">
        <w:tc>
          <w:tcPr>
            <w:tcW w:w="1314" w:type="dxa"/>
          </w:tcPr>
          <w:p w14:paraId="3CD62C3A" w14:textId="00A6E414" w:rsidR="00ED76BB" w:rsidRPr="00DF1B38" w:rsidRDefault="00ED76BB" w:rsidP="003C2836">
            <w:pPr>
              <w:pStyle w:val="Tabletext"/>
            </w:pPr>
            <w:r w:rsidRPr="00DF1B38">
              <w:t>Gynae</w:t>
            </w:r>
            <w:r w:rsidR="004C0533">
              <w:t>-</w:t>
            </w:r>
            <w:proofErr w:type="spellStart"/>
            <w:r w:rsidRPr="00DF1B38">
              <w:t>cology</w:t>
            </w:r>
            <w:proofErr w:type="spellEnd"/>
          </w:p>
        </w:tc>
        <w:tc>
          <w:tcPr>
            <w:tcW w:w="1123" w:type="dxa"/>
          </w:tcPr>
          <w:p w14:paraId="7F6B893B" w14:textId="77777777" w:rsidR="00ED76BB" w:rsidRPr="00DF1B38" w:rsidRDefault="00ED76BB" w:rsidP="002B2FD9">
            <w:pPr>
              <w:pStyle w:val="Tabletext"/>
              <w:jc w:val="right"/>
            </w:pPr>
            <w:r w:rsidRPr="00DF1B38">
              <w:t>3 (1%)</w:t>
            </w:r>
          </w:p>
        </w:tc>
        <w:tc>
          <w:tcPr>
            <w:tcW w:w="1124" w:type="dxa"/>
          </w:tcPr>
          <w:p w14:paraId="5B7C864E" w14:textId="77777777" w:rsidR="00ED76BB" w:rsidRPr="00DF1B38" w:rsidRDefault="00ED76BB" w:rsidP="002B2FD9">
            <w:pPr>
              <w:pStyle w:val="Tabletext"/>
              <w:jc w:val="right"/>
            </w:pPr>
            <w:r w:rsidRPr="00DF1B38">
              <w:t>2.3</w:t>
            </w:r>
          </w:p>
        </w:tc>
        <w:tc>
          <w:tcPr>
            <w:tcW w:w="1124" w:type="dxa"/>
          </w:tcPr>
          <w:p w14:paraId="53395180" w14:textId="77777777" w:rsidR="00ED76BB" w:rsidRPr="00DF1B38" w:rsidRDefault="00ED76BB" w:rsidP="002B2FD9">
            <w:pPr>
              <w:pStyle w:val="Tabletext"/>
              <w:jc w:val="right"/>
            </w:pPr>
            <w:r w:rsidRPr="00DF1B38">
              <w:t>1</w:t>
            </w:r>
          </w:p>
        </w:tc>
        <w:tc>
          <w:tcPr>
            <w:tcW w:w="1123" w:type="dxa"/>
          </w:tcPr>
          <w:p w14:paraId="58F87C4E" w14:textId="77777777" w:rsidR="00ED76BB" w:rsidRPr="00DF1B38" w:rsidRDefault="00ED76BB" w:rsidP="002B2FD9">
            <w:pPr>
              <w:pStyle w:val="Tabletext"/>
              <w:jc w:val="right"/>
            </w:pPr>
            <w:r w:rsidRPr="00DF1B38">
              <w:t>3</w:t>
            </w:r>
          </w:p>
        </w:tc>
        <w:tc>
          <w:tcPr>
            <w:tcW w:w="1124" w:type="dxa"/>
          </w:tcPr>
          <w:p w14:paraId="4FC5B040" w14:textId="77777777" w:rsidR="00ED76BB" w:rsidRPr="00DF1B38" w:rsidRDefault="00ED76BB" w:rsidP="002B2FD9">
            <w:pPr>
              <w:pStyle w:val="Tabletext"/>
              <w:jc w:val="right"/>
            </w:pPr>
            <w:r w:rsidRPr="00DF1B38">
              <w:t>-</w:t>
            </w:r>
          </w:p>
        </w:tc>
        <w:tc>
          <w:tcPr>
            <w:tcW w:w="1124" w:type="dxa"/>
          </w:tcPr>
          <w:p w14:paraId="6E076103" w14:textId="77777777" w:rsidR="00ED76BB" w:rsidRPr="00DF1B38" w:rsidRDefault="00ED76BB" w:rsidP="002B2FD9">
            <w:pPr>
              <w:pStyle w:val="Tabletext"/>
              <w:jc w:val="right"/>
            </w:pPr>
            <w:r w:rsidRPr="00DF1B38">
              <w:t>2</w:t>
            </w:r>
          </w:p>
        </w:tc>
        <w:tc>
          <w:tcPr>
            <w:tcW w:w="1124" w:type="dxa"/>
          </w:tcPr>
          <w:p w14:paraId="2C21A128" w14:textId="77777777" w:rsidR="00ED76BB" w:rsidRPr="00DF1B38" w:rsidRDefault="00ED76BB" w:rsidP="002B2FD9">
            <w:pPr>
              <w:pStyle w:val="Tabletext"/>
              <w:jc w:val="right"/>
            </w:pPr>
            <w:r w:rsidRPr="00DF1B38">
              <w:t>-</w:t>
            </w:r>
          </w:p>
        </w:tc>
      </w:tr>
      <w:tr w:rsidR="00ED76BB" w:rsidRPr="008843F0" w14:paraId="6FAB5BD5" w14:textId="77777777" w:rsidTr="002B2FD9">
        <w:tc>
          <w:tcPr>
            <w:tcW w:w="1314" w:type="dxa"/>
          </w:tcPr>
          <w:p w14:paraId="56D7A8B7" w14:textId="1D88968E" w:rsidR="00ED76BB" w:rsidRPr="00DF1B38" w:rsidRDefault="00ED76BB" w:rsidP="003C2836">
            <w:pPr>
              <w:pStyle w:val="Tabletext"/>
            </w:pPr>
            <w:r w:rsidRPr="00DF1B38">
              <w:t>Major gastro</w:t>
            </w:r>
            <w:r w:rsidR="004C0533">
              <w:t>-</w:t>
            </w:r>
            <w:r w:rsidRPr="00DF1B38">
              <w:t>intestinal</w:t>
            </w:r>
          </w:p>
        </w:tc>
        <w:tc>
          <w:tcPr>
            <w:tcW w:w="1123" w:type="dxa"/>
          </w:tcPr>
          <w:p w14:paraId="2A706600" w14:textId="77777777" w:rsidR="00ED76BB" w:rsidRPr="00DF1B38" w:rsidRDefault="00ED76BB" w:rsidP="002B2FD9">
            <w:pPr>
              <w:pStyle w:val="Tabletext"/>
              <w:jc w:val="right"/>
            </w:pPr>
            <w:r w:rsidRPr="00DF1B38">
              <w:t>19 (6%)</w:t>
            </w:r>
          </w:p>
        </w:tc>
        <w:tc>
          <w:tcPr>
            <w:tcW w:w="1124" w:type="dxa"/>
          </w:tcPr>
          <w:p w14:paraId="3505C898" w14:textId="77777777" w:rsidR="00ED76BB" w:rsidRPr="00DF1B38" w:rsidRDefault="00ED76BB" w:rsidP="002B2FD9">
            <w:pPr>
              <w:pStyle w:val="Tabletext"/>
              <w:jc w:val="right"/>
            </w:pPr>
            <w:r w:rsidRPr="00DF1B38">
              <w:t>2</w:t>
            </w:r>
          </w:p>
        </w:tc>
        <w:tc>
          <w:tcPr>
            <w:tcW w:w="1124" w:type="dxa"/>
          </w:tcPr>
          <w:p w14:paraId="39ED4AB5" w14:textId="77777777" w:rsidR="00ED76BB" w:rsidRPr="00DF1B38" w:rsidRDefault="00ED76BB" w:rsidP="002B2FD9">
            <w:pPr>
              <w:pStyle w:val="Tabletext"/>
              <w:jc w:val="right"/>
            </w:pPr>
            <w:r w:rsidRPr="00DF1B38">
              <w:t>9</w:t>
            </w:r>
          </w:p>
        </w:tc>
        <w:tc>
          <w:tcPr>
            <w:tcW w:w="1123" w:type="dxa"/>
          </w:tcPr>
          <w:p w14:paraId="5F57D346" w14:textId="6A33C7D9" w:rsidR="00ED76BB" w:rsidRPr="00DF1B38" w:rsidRDefault="00ED76BB" w:rsidP="002B2FD9">
            <w:pPr>
              <w:pStyle w:val="Tabletext"/>
              <w:jc w:val="right"/>
            </w:pPr>
            <w:r w:rsidRPr="00DF1B38">
              <w:t>11</w:t>
            </w:r>
            <w:r w:rsidR="001A3111">
              <w:rPr>
                <w:rStyle w:val="FootnoteReference"/>
              </w:rPr>
              <w:footnoteReference w:id="17"/>
            </w:r>
          </w:p>
        </w:tc>
        <w:tc>
          <w:tcPr>
            <w:tcW w:w="1124" w:type="dxa"/>
          </w:tcPr>
          <w:p w14:paraId="4751163F" w14:textId="77777777" w:rsidR="00ED76BB" w:rsidRPr="00DF1B38" w:rsidRDefault="00ED76BB" w:rsidP="002B2FD9">
            <w:pPr>
              <w:pStyle w:val="Tabletext"/>
              <w:jc w:val="right"/>
            </w:pPr>
            <w:r w:rsidRPr="00DF1B38">
              <w:t>8</w:t>
            </w:r>
          </w:p>
        </w:tc>
        <w:tc>
          <w:tcPr>
            <w:tcW w:w="1124" w:type="dxa"/>
          </w:tcPr>
          <w:p w14:paraId="0CCF455B" w14:textId="77777777" w:rsidR="00ED76BB" w:rsidRPr="00DF1B38" w:rsidRDefault="00ED76BB" w:rsidP="002B2FD9">
            <w:pPr>
              <w:pStyle w:val="Tabletext"/>
              <w:jc w:val="right"/>
            </w:pPr>
            <w:r w:rsidRPr="00DF1B38">
              <w:t>2</w:t>
            </w:r>
          </w:p>
        </w:tc>
        <w:tc>
          <w:tcPr>
            <w:tcW w:w="1124" w:type="dxa"/>
          </w:tcPr>
          <w:p w14:paraId="06A47F11" w14:textId="77777777" w:rsidR="00ED76BB" w:rsidRPr="00DF1B38" w:rsidRDefault="00ED76BB" w:rsidP="002B2FD9">
            <w:pPr>
              <w:pStyle w:val="Tabletext"/>
              <w:jc w:val="right"/>
            </w:pPr>
            <w:r w:rsidRPr="00DF1B38">
              <w:t>-</w:t>
            </w:r>
          </w:p>
        </w:tc>
      </w:tr>
      <w:tr w:rsidR="00ED76BB" w:rsidRPr="008843F0" w14:paraId="6CC1659E" w14:textId="77777777" w:rsidTr="002B2FD9">
        <w:tc>
          <w:tcPr>
            <w:tcW w:w="1314" w:type="dxa"/>
          </w:tcPr>
          <w:p w14:paraId="1BEEDE1C" w14:textId="1C047D69" w:rsidR="00ED76BB" w:rsidRPr="00DF1B38" w:rsidRDefault="00ED76BB" w:rsidP="003C2836">
            <w:pPr>
              <w:pStyle w:val="Tabletext"/>
            </w:pPr>
            <w:r w:rsidRPr="00DF1B38">
              <w:t>Cardio</w:t>
            </w:r>
            <w:r w:rsidR="004C0533">
              <w:t>-</w:t>
            </w:r>
            <w:r w:rsidRPr="00DF1B38">
              <w:t>thoracic</w:t>
            </w:r>
          </w:p>
        </w:tc>
        <w:tc>
          <w:tcPr>
            <w:tcW w:w="1123" w:type="dxa"/>
          </w:tcPr>
          <w:p w14:paraId="35CBA905" w14:textId="77777777" w:rsidR="00ED76BB" w:rsidRPr="00DF1B38" w:rsidRDefault="00ED76BB" w:rsidP="002B2FD9">
            <w:pPr>
              <w:pStyle w:val="Tabletext"/>
              <w:jc w:val="right"/>
            </w:pPr>
            <w:r w:rsidRPr="00DF1B38">
              <w:t>4 (3%)</w:t>
            </w:r>
          </w:p>
        </w:tc>
        <w:tc>
          <w:tcPr>
            <w:tcW w:w="1124" w:type="dxa"/>
          </w:tcPr>
          <w:p w14:paraId="611FFE47" w14:textId="77777777" w:rsidR="00ED76BB" w:rsidRPr="00DF1B38" w:rsidRDefault="00ED76BB" w:rsidP="002B2FD9">
            <w:pPr>
              <w:pStyle w:val="Tabletext"/>
              <w:jc w:val="right"/>
            </w:pPr>
            <w:r w:rsidRPr="00DF1B38">
              <w:t>1.25</w:t>
            </w:r>
          </w:p>
        </w:tc>
        <w:tc>
          <w:tcPr>
            <w:tcW w:w="1124" w:type="dxa"/>
          </w:tcPr>
          <w:p w14:paraId="236AE55A" w14:textId="77777777" w:rsidR="00ED76BB" w:rsidRPr="00DF1B38" w:rsidRDefault="00ED76BB" w:rsidP="002B2FD9">
            <w:pPr>
              <w:pStyle w:val="Tabletext"/>
              <w:jc w:val="right"/>
            </w:pPr>
            <w:r w:rsidRPr="00DF1B38">
              <w:t>2</w:t>
            </w:r>
          </w:p>
        </w:tc>
        <w:tc>
          <w:tcPr>
            <w:tcW w:w="1123" w:type="dxa"/>
          </w:tcPr>
          <w:p w14:paraId="56ED7553" w14:textId="5F86B5E2" w:rsidR="00ED76BB" w:rsidRPr="00DF1B38" w:rsidRDefault="00ED76BB" w:rsidP="002B2FD9">
            <w:pPr>
              <w:pStyle w:val="Tabletext"/>
              <w:jc w:val="right"/>
            </w:pPr>
            <w:r w:rsidRPr="00DF1B38">
              <w:t>2</w:t>
            </w:r>
            <w:r w:rsidR="004C0533">
              <w:rPr>
                <w:rStyle w:val="FootnoteReference"/>
              </w:rPr>
              <w:footnoteReference w:id="18"/>
            </w:r>
          </w:p>
        </w:tc>
        <w:tc>
          <w:tcPr>
            <w:tcW w:w="1124" w:type="dxa"/>
          </w:tcPr>
          <w:p w14:paraId="6EBAE3DD" w14:textId="77777777" w:rsidR="00ED76BB" w:rsidRPr="00DF1B38" w:rsidRDefault="00ED76BB" w:rsidP="002B2FD9">
            <w:pPr>
              <w:pStyle w:val="Tabletext"/>
              <w:jc w:val="right"/>
            </w:pPr>
            <w:r w:rsidRPr="00DF1B38">
              <w:t>-</w:t>
            </w:r>
          </w:p>
        </w:tc>
        <w:tc>
          <w:tcPr>
            <w:tcW w:w="1124" w:type="dxa"/>
          </w:tcPr>
          <w:p w14:paraId="12C49903" w14:textId="77777777" w:rsidR="00ED76BB" w:rsidRPr="00DF1B38" w:rsidRDefault="00ED76BB" w:rsidP="002B2FD9">
            <w:pPr>
              <w:pStyle w:val="Tabletext"/>
              <w:jc w:val="right"/>
            </w:pPr>
            <w:r w:rsidRPr="00DF1B38">
              <w:t>2</w:t>
            </w:r>
          </w:p>
        </w:tc>
        <w:tc>
          <w:tcPr>
            <w:tcW w:w="1124" w:type="dxa"/>
          </w:tcPr>
          <w:p w14:paraId="1B2EC828" w14:textId="77777777" w:rsidR="00ED76BB" w:rsidRPr="00DF1B38" w:rsidRDefault="00ED76BB" w:rsidP="002B2FD9">
            <w:pPr>
              <w:pStyle w:val="Tabletext"/>
              <w:jc w:val="right"/>
            </w:pPr>
            <w:r w:rsidRPr="00DF1B38">
              <w:t>-</w:t>
            </w:r>
          </w:p>
        </w:tc>
      </w:tr>
      <w:tr w:rsidR="00ED76BB" w:rsidRPr="008843F0" w14:paraId="68B2F256" w14:textId="77777777" w:rsidTr="002B2FD9">
        <w:tc>
          <w:tcPr>
            <w:tcW w:w="1314" w:type="dxa"/>
          </w:tcPr>
          <w:p w14:paraId="52645C5A" w14:textId="77777777" w:rsidR="00ED76BB" w:rsidRPr="00DF1B38" w:rsidRDefault="00ED76BB" w:rsidP="003C2836">
            <w:pPr>
              <w:pStyle w:val="Tabletext"/>
              <w:rPr>
                <w:b/>
                <w:bCs/>
              </w:rPr>
            </w:pPr>
            <w:r w:rsidRPr="00DF1B38">
              <w:rPr>
                <w:b/>
                <w:bCs/>
              </w:rPr>
              <w:t>Total (all surgical types)</w:t>
            </w:r>
          </w:p>
        </w:tc>
        <w:tc>
          <w:tcPr>
            <w:tcW w:w="1123" w:type="dxa"/>
          </w:tcPr>
          <w:p w14:paraId="6F37CF92" w14:textId="77777777" w:rsidR="00ED76BB" w:rsidRPr="00DF1B38" w:rsidRDefault="00ED76BB" w:rsidP="002B2FD9">
            <w:pPr>
              <w:pStyle w:val="Tabletext"/>
              <w:jc w:val="right"/>
              <w:rPr>
                <w:b/>
                <w:bCs/>
              </w:rPr>
            </w:pPr>
            <w:r w:rsidRPr="00DF1B38">
              <w:rPr>
                <w:b/>
                <w:bCs/>
              </w:rPr>
              <w:t>29 (2%)</w:t>
            </w:r>
          </w:p>
        </w:tc>
        <w:tc>
          <w:tcPr>
            <w:tcW w:w="1124" w:type="dxa"/>
          </w:tcPr>
          <w:p w14:paraId="4B22FCF0" w14:textId="77777777" w:rsidR="00ED76BB" w:rsidRPr="00DF1B38" w:rsidRDefault="00ED76BB" w:rsidP="002B2FD9">
            <w:pPr>
              <w:pStyle w:val="Tabletext"/>
              <w:jc w:val="right"/>
              <w:rPr>
                <w:b/>
                <w:bCs/>
              </w:rPr>
            </w:pPr>
            <w:r w:rsidRPr="00DF1B38">
              <w:rPr>
                <w:b/>
                <w:bCs/>
              </w:rPr>
              <w:t>1.9</w:t>
            </w:r>
            <w:r w:rsidRPr="00DF1B38">
              <w:rPr>
                <w:b/>
                <w:bCs/>
              </w:rPr>
              <w:br/>
              <w:t>(54 units in total)</w:t>
            </w:r>
          </w:p>
        </w:tc>
        <w:tc>
          <w:tcPr>
            <w:tcW w:w="1124" w:type="dxa"/>
          </w:tcPr>
          <w:p w14:paraId="184E686B" w14:textId="77777777" w:rsidR="00ED76BB" w:rsidRPr="00DF1B38" w:rsidRDefault="00ED76BB" w:rsidP="002B2FD9">
            <w:pPr>
              <w:pStyle w:val="Tabletext"/>
              <w:jc w:val="right"/>
              <w:rPr>
                <w:b/>
                <w:bCs/>
              </w:rPr>
            </w:pPr>
            <w:r w:rsidRPr="00DF1B38">
              <w:rPr>
                <w:b/>
                <w:bCs/>
              </w:rPr>
              <w:t>13</w:t>
            </w:r>
          </w:p>
        </w:tc>
        <w:tc>
          <w:tcPr>
            <w:tcW w:w="1123" w:type="dxa"/>
          </w:tcPr>
          <w:p w14:paraId="1308938F" w14:textId="77777777" w:rsidR="00ED76BB" w:rsidRPr="00DF1B38" w:rsidRDefault="00ED76BB" w:rsidP="002B2FD9">
            <w:pPr>
              <w:pStyle w:val="Tabletext"/>
              <w:jc w:val="right"/>
              <w:rPr>
                <w:b/>
                <w:bCs/>
              </w:rPr>
            </w:pPr>
            <w:r w:rsidRPr="00DF1B38">
              <w:rPr>
                <w:b/>
                <w:bCs/>
              </w:rPr>
              <w:t>17</w:t>
            </w:r>
          </w:p>
        </w:tc>
        <w:tc>
          <w:tcPr>
            <w:tcW w:w="1124" w:type="dxa"/>
          </w:tcPr>
          <w:p w14:paraId="4B11A1C0" w14:textId="77777777" w:rsidR="00ED76BB" w:rsidRPr="00DF1B38" w:rsidRDefault="00ED76BB" w:rsidP="002B2FD9">
            <w:pPr>
              <w:pStyle w:val="Tabletext"/>
              <w:jc w:val="right"/>
              <w:rPr>
                <w:b/>
                <w:bCs/>
              </w:rPr>
            </w:pPr>
            <w:r w:rsidRPr="00DF1B38">
              <w:rPr>
                <w:b/>
                <w:bCs/>
              </w:rPr>
              <w:t>9</w:t>
            </w:r>
          </w:p>
        </w:tc>
        <w:tc>
          <w:tcPr>
            <w:tcW w:w="1124" w:type="dxa"/>
          </w:tcPr>
          <w:p w14:paraId="7E77238E" w14:textId="77777777" w:rsidR="00ED76BB" w:rsidRPr="00DF1B38" w:rsidRDefault="00ED76BB" w:rsidP="002B2FD9">
            <w:pPr>
              <w:pStyle w:val="Tabletext"/>
              <w:jc w:val="right"/>
              <w:rPr>
                <w:b/>
                <w:bCs/>
              </w:rPr>
            </w:pPr>
            <w:r w:rsidRPr="00DF1B38">
              <w:rPr>
                <w:b/>
                <w:bCs/>
              </w:rPr>
              <w:t>7</w:t>
            </w:r>
          </w:p>
        </w:tc>
        <w:tc>
          <w:tcPr>
            <w:tcW w:w="1124" w:type="dxa"/>
          </w:tcPr>
          <w:p w14:paraId="3B9BF280" w14:textId="77777777" w:rsidR="00ED76BB" w:rsidRPr="00DF1B38" w:rsidRDefault="00ED76BB" w:rsidP="002B2FD9">
            <w:pPr>
              <w:pStyle w:val="Tabletext"/>
              <w:jc w:val="right"/>
              <w:rPr>
                <w:b/>
                <w:bCs/>
              </w:rPr>
            </w:pPr>
            <w:r w:rsidRPr="00DF1B38">
              <w:rPr>
                <w:b/>
                <w:bCs/>
              </w:rPr>
              <w:t>-</w:t>
            </w:r>
          </w:p>
        </w:tc>
      </w:tr>
    </w:tbl>
    <w:p w14:paraId="384D28BA" w14:textId="7B77C202" w:rsidR="00ED76BB" w:rsidRPr="008843F0" w:rsidRDefault="00ED76BB" w:rsidP="00ED76BB">
      <w:pPr>
        <w:pStyle w:val="Bodyaftertablefigure"/>
      </w:pPr>
      <w:r w:rsidRPr="008843F0">
        <w:t xml:space="preserve">Of the 29 patients who received RBC transfusion, 21 were anaemic at the preoperative assessment and 17 were anaemic on the day of surgery. </w:t>
      </w:r>
    </w:p>
    <w:p w14:paraId="0320338E" w14:textId="77777777" w:rsidR="00ED76BB" w:rsidRPr="00DF1B38" w:rsidRDefault="00ED76BB" w:rsidP="00ED76BB">
      <w:pPr>
        <w:pStyle w:val="Body"/>
      </w:pPr>
      <w:r w:rsidRPr="00DF1B38">
        <w:t xml:space="preserve">Thirteen patients received a single unit RBC transfusion, three patients received four or more units of RBC, two patients received three units of RBC, and 11 patients received two units of RBC. </w:t>
      </w:r>
    </w:p>
    <w:p w14:paraId="05666E36" w14:textId="3C5AC222" w:rsidR="00ED76BB" w:rsidRPr="00DF1B38" w:rsidRDefault="00ED76BB" w:rsidP="00ED76BB">
      <w:pPr>
        <w:pStyle w:val="Body"/>
      </w:pPr>
      <w:r w:rsidRPr="00DF1B38">
        <w:t>Six of the patients who received RBC transfusion and did not have a day of surgery Hb documented were either anaemic or iron deplete at the preoperative assessment.</w:t>
      </w:r>
    </w:p>
    <w:p w14:paraId="459EB3C2" w14:textId="3DF2DA9C" w:rsidR="00ED76BB" w:rsidRPr="00DF1B38" w:rsidRDefault="00ED76BB" w:rsidP="00ED76BB">
      <w:pPr>
        <w:pStyle w:val="Body"/>
      </w:pPr>
      <w:r w:rsidRPr="00DF1B38">
        <w:t>The intraoperative transfusion rate is relatively low</w:t>
      </w:r>
      <w:r w:rsidR="001A3111">
        <w:t>.</w:t>
      </w:r>
      <w:r w:rsidR="001A3111" w:rsidRPr="00DF1B38">
        <w:t xml:space="preserve"> </w:t>
      </w:r>
      <w:r w:rsidR="001A3111">
        <w:t>H</w:t>
      </w:r>
      <w:r w:rsidR="001A3111" w:rsidRPr="00DF1B38">
        <w:t>owever</w:t>
      </w:r>
      <w:r w:rsidRPr="00DF1B38">
        <w:t xml:space="preserve">, there were a number of patients where transfusion may have been avoided if preoperative anaemia or iron depletion was appropriately managed. </w:t>
      </w:r>
    </w:p>
    <w:p w14:paraId="7462F567" w14:textId="77777777" w:rsidR="00ED76BB" w:rsidRPr="00DF1B38" w:rsidRDefault="00ED76BB" w:rsidP="00ED76BB">
      <w:pPr>
        <w:pStyle w:val="Heading3"/>
      </w:pPr>
      <w:bookmarkStart w:id="85" w:name="_Toc72314130"/>
      <w:r w:rsidRPr="008843F0">
        <w:t>Intraoperative: summary</w:t>
      </w:r>
      <w:bookmarkEnd w:id="85"/>
    </w:p>
    <w:p w14:paraId="136D5C78" w14:textId="77777777" w:rsidR="00ED76BB" w:rsidRPr="00DF1B38" w:rsidRDefault="00ED76BB" w:rsidP="00ED76BB">
      <w:pPr>
        <w:pStyle w:val="Body"/>
      </w:pPr>
      <w:r w:rsidRPr="00DF1B38">
        <w:t xml:space="preserve">It is pleasing to see the PBM strategies to prevent hypothermia (67 per cent of all patients) and tranexamic acid (47 per cent of all patients) are regularly used. </w:t>
      </w:r>
    </w:p>
    <w:p w14:paraId="6581185F" w14:textId="28B96B2A" w:rsidR="00ED76BB" w:rsidRPr="00DF1B38" w:rsidRDefault="00ED76BB" w:rsidP="00ED76BB">
      <w:pPr>
        <w:pStyle w:val="Body"/>
      </w:pPr>
      <w:r w:rsidRPr="00DF1B38">
        <w:t xml:space="preserve">Areas for improvement include </w:t>
      </w:r>
      <w:r w:rsidR="001A3111" w:rsidRPr="00DF1B38">
        <w:t>follow</w:t>
      </w:r>
      <w:r w:rsidR="001A3111">
        <w:t>-</w:t>
      </w:r>
      <w:r w:rsidRPr="00DF1B38">
        <w:t>up of patients with anaemia, iron deficiency and depletion, the use of intraoperative cell salvage, particularly in areas such a gynaecological surgery and major gastrointestinal surgery, and the documentation of care.</w:t>
      </w:r>
    </w:p>
    <w:p w14:paraId="5C1972A1" w14:textId="6C50FD0D" w:rsidR="001A3111" w:rsidRDefault="00ED76BB" w:rsidP="00ED76BB">
      <w:pPr>
        <w:pStyle w:val="Body"/>
      </w:pPr>
      <w:r w:rsidRPr="00DF1B38">
        <w:t xml:space="preserve">The reasons other techniques were used less often </w:t>
      </w:r>
      <w:r w:rsidR="001A3111">
        <w:t>are</w:t>
      </w:r>
      <w:r w:rsidR="001A3111" w:rsidRPr="00DF1B38">
        <w:t xml:space="preserve"> </w:t>
      </w:r>
      <w:r w:rsidRPr="00DF1B38">
        <w:t xml:space="preserve">unclear. </w:t>
      </w:r>
    </w:p>
    <w:p w14:paraId="2490D7DE" w14:textId="2E1EA221" w:rsidR="00ED76BB" w:rsidRPr="00DF1B38" w:rsidRDefault="00ED76BB" w:rsidP="00ED76BB">
      <w:pPr>
        <w:pStyle w:val="Body"/>
      </w:pPr>
      <w:r w:rsidRPr="00DF1B38">
        <w:lastRenderedPageBreak/>
        <w:t>For any blood conservation strategy</w:t>
      </w:r>
      <w:r w:rsidR="001A3111">
        <w:t>,</w:t>
      </w:r>
      <w:r w:rsidRPr="00DF1B38">
        <w:t xml:space="preserve"> planning is required, along with the specific equipment, expertise and guidelines in place to support their use. </w:t>
      </w:r>
    </w:p>
    <w:p w14:paraId="63B633F1" w14:textId="7EAC1AB0" w:rsidR="00ED76BB" w:rsidRPr="008843F0" w:rsidRDefault="00ED76BB" w:rsidP="00ED76BB">
      <w:pPr>
        <w:pStyle w:val="Body"/>
      </w:pPr>
      <w:r w:rsidRPr="008843F0">
        <w:t>It is important health services ensure patients attending for elective surgical procedures are fully informed and prepared</w:t>
      </w:r>
      <w:r w:rsidR="001A3111">
        <w:t>.</w:t>
      </w:r>
      <w:r w:rsidR="001A3111" w:rsidRPr="008843F0">
        <w:t xml:space="preserve"> </w:t>
      </w:r>
      <w:r w:rsidR="001A3111">
        <w:t>T</w:t>
      </w:r>
      <w:r w:rsidR="001A3111" w:rsidRPr="008843F0">
        <w:t xml:space="preserve">his </w:t>
      </w:r>
      <w:r w:rsidRPr="00DF1B38">
        <w:t>should</w:t>
      </w:r>
      <w:r w:rsidRPr="008843F0">
        <w:t xml:space="preserve"> include anaemia and iron deficiency assessment and treatment, and the use of techniques to minimise blood loss. </w:t>
      </w:r>
    </w:p>
    <w:p w14:paraId="189A14EC" w14:textId="77777777" w:rsidR="001141C8" w:rsidRDefault="001141C8">
      <w:pPr>
        <w:spacing w:after="0" w:line="240" w:lineRule="auto"/>
        <w:rPr>
          <w:b/>
          <w:color w:val="53565A"/>
          <w:sz w:val="32"/>
          <w:szCs w:val="28"/>
        </w:rPr>
      </w:pPr>
      <w:bookmarkStart w:id="86" w:name="_Toc69106578"/>
      <w:bookmarkStart w:id="87" w:name="_Toc72314131"/>
      <w:r>
        <w:br w:type="page"/>
      </w:r>
    </w:p>
    <w:p w14:paraId="2AA83CAC" w14:textId="7866BE29" w:rsidR="00ED76BB" w:rsidRPr="008843F0" w:rsidRDefault="00ED76BB" w:rsidP="00ED76BB">
      <w:pPr>
        <w:pStyle w:val="Heading2"/>
      </w:pPr>
      <w:bookmarkStart w:id="88" w:name="_Toc78958790"/>
      <w:r w:rsidRPr="008843F0">
        <w:lastRenderedPageBreak/>
        <w:t>Postoperative interventions</w:t>
      </w:r>
      <w:bookmarkEnd w:id="86"/>
      <w:bookmarkEnd w:id="87"/>
      <w:bookmarkEnd w:id="88"/>
    </w:p>
    <w:p w14:paraId="132C6103" w14:textId="252ED02E" w:rsidR="00ED76BB" w:rsidRDefault="00ED76BB" w:rsidP="00ED76BB">
      <w:pPr>
        <w:pStyle w:val="Body"/>
      </w:pPr>
      <w:r w:rsidRPr="008843F0">
        <w:t xml:space="preserve">For the </w:t>
      </w:r>
      <w:r w:rsidRPr="008843F0">
        <w:rPr>
          <w:b/>
        </w:rPr>
        <w:t>purposes of this audit,</w:t>
      </w:r>
      <w:r w:rsidRPr="008843F0">
        <w:t xml:space="preserve"> a quality </w:t>
      </w:r>
      <w:r w:rsidRPr="00DF1B38">
        <w:t>postoperative</w:t>
      </w:r>
      <w:r w:rsidRPr="008843F0">
        <w:t xml:space="preserve"> patient blood management was based on Module 2 recommendations and practice points (Appendix 6) and measured as defined below:</w:t>
      </w:r>
    </w:p>
    <w:p w14:paraId="0FF544F6" w14:textId="5736DDD8" w:rsidR="00211F83" w:rsidRPr="008843F0" w:rsidRDefault="00211F83" w:rsidP="002B2FD9">
      <w:pPr>
        <w:pStyle w:val="Tablecaption"/>
      </w:pPr>
      <w:r>
        <w:t>Table 2</w:t>
      </w:r>
      <w:r w:rsidR="006F4FEC">
        <w:t>3</w:t>
      </w:r>
      <w:r>
        <w:t xml:space="preserve">: Module 2 </w:t>
      </w:r>
      <w:r w:rsidRPr="008F5214">
        <w:t>recommendations</w:t>
      </w:r>
      <w:r>
        <w:t xml:space="preserve"> </w:t>
      </w:r>
      <w:r w:rsidRPr="0038378B">
        <w:t>and</w:t>
      </w:r>
      <w:r>
        <w:t xml:space="preserve"> measures for postoperative interventions</w:t>
      </w:r>
    </w:p>
    <w:tbl>
      <w:tblPr>
        <w:tblStyle w:val="TableGrid5"/>
        <w:tblW w:w="0" w:type="auto"/>
        <w:tblLook w:val="04A0" w:firstRow="1" w:lastRow="0" w:firstColumn="1" w:lastColumn="0" w:noHBand="0" w:noVBand="1"/>
      </w:tblPr>
      <w:tblGrid>
        <w:gridCol w:w="1817"/>
        <w:gridCol w:w="4010"/>
        <w:gridCol w:w="3353"/>
      </w:tblGrid>
      <w:tr w:rsidR="00ED76BB" w:rsidRPr="008843F0" w14:paraId="3A2F1ABE" w14:textId="77777777" w:rsidTr="002B2FD9">
        <w:trPr>
          <w:tblHeader/>
        </w:trPr>
        <w:tc>
          <w:tcPr>
            <w:tcW w:w="1817" w:type="dxa"/>
          </w:tcPr>
          <w:p w14:paraId="2892715B" w14:textId="77777777" w:rsidR="00ED76BB" w:rsidRPr="008843F0" w:rsidRDefault="00ED76BB" w:rsidP="003C2836">
            <w:pPr>
              <w:pStyle w:val="Heading4"/>
              <w:outlineLvl w:val="3"/>
            </w:pPr>
            <w:r w:rsidRPr="008843F0">
              <w:t>Process</w:t>
            </w:r>
          </w:p>
        </w:tc>
        <w:tc>
          <w:tcPr>
            <w:tcW w:w="4010" w:type="dxa"/>
          </w:tcPr>
          <w:p w14:paraId="15136B8E" w14:textId="77777777" w:rsidR="00ED76BB" w:rsidRPr="008843F0" w:rsidRDefault="00ED76BB" w:rsidP="003C2836">
            <w:pPr>
              <w:pStyle w:val="Heading4"/>
              <w:outlineLvl w:val="3"/>
            </w:pPr>
            <w:r w:rsidRPr="008843F0">
              <w:t>Description</w:t>
            </w:r>
          </w:p>
        </w:tc>
        <w:tc>
          <w:tcPr>
            <w:tcW w:w="3353" w:type="dxa"/>
          </w:tcPr>
          <w:p w14:paraId="2511E29B" w14:textId="77777777" w:rsidR="00ED76BB" w:rsidRPr="008843F0" w:rsidRDefault="00ED76BB" w:rsidP="003C2836">
            <w:pPr>
              <w:pStyle w:val="Heading4"/>
              <w:outlineLvl w:val="3"/>
            </w:pPr>
            <w:r w:rsidRPr="008843F0">
              <w:t>Measure</w:t>
            </w:r>
          </w:p>
        </w:tc>
      </w:tr>
      <w:tr w:rsidR="00ED76BB" w:rsidRPr="008843F0" w14:paraId="254EC54A" w14:textId="77777777" w:rsidTr="002B2FD9">
        <w:tc>
          <w:tcPr>
            <w:tcW w:w="1817" w:type="dxa"/>
          </w:tcPr>
          <w:p w14:paraId="3C21BAF9" w14:textId="158B651B" w:rsidR="00ED76BB" w:rsidRPr="008843F0" w:rsidRDefault="00ED76BB" w:rsidP="003C2836">
            <w:pPr>
              <w:pStyle w:val="Tabletext"/>
              <w:rPr>
                <w:rFonts w:eastAsia="Times"/>
              </w:rPr>
            </w:pPr>
            <w:r w:rsidRPr="008843F0">
              <w:rPr>
                <w:rFonts w:eastAsia="Times"/>
              </w:rPr>
              <w:t xml:space="preserve">Cell </w:t>
            </w:r>
            <w:r w:rsidR="00211F83">
              <w:rPr>
                <w:rFonts w:eastAsia="Times"/>
              </w:rPr>
              <w:t>s</w:t>
            </w:r>
            <w:r w:rsidR="00211F83" w:rsidRPr="008843F0">
              <w:rPr>
                <w:rFonts w:eastAsia="Times"/>
              </w:rPr>
              <w:t>alvage</w:t>
            </w:r>
          </w:p>
        </w:tc>
        <w:tc>
          <w:tcPr>
            <w:tcW w:w="4010" w:type="dxa"/>
          </w:tcPr>
          <w:p w14:paraId="750EB506" w14:textId="1E16F4D6" w:rsidR="00ED76BB" w:rsidRPr="008843F0" w:rsidRDefault="00211F83" w:rsidP="003C2836">
            <w:pPr>
              <w:pStyle w:val="Tabletext"/>
              <w:rPr>
                <w:rFonts w:eastAsia="Times"/>
              </w:rPr>
            </w:pPr>
            <w:r>
              <w:rPr>
                <w:rFonts w:eastAsia="Times"/>
              </w:rPr>
              <w:t>Consider postoperative cell salvage i</w:t>
            </w:r>
            <w:r w:rsidR="00ED76BB" w:rsidRPr="008843F0">
              <w:rPr>
                <w:rFonts w:eastAsia="Times"/>
              </w:rPr>
              <w:t>n adult patients undergoing cardiac surgery or total knee arthroplasty, in whom significant postoperative blood loss is anticipated</w:t>
            </w:r>
            <w:r>
              <w:rPr>
                <w:rFonts w:eastAsia="Times"/>
              </w:rPr>
              <w:t>.</w:t>
            </w:r>
          </w:p>
          <w:p w14:paraId="5043ADD3" w14:textId="77777777" w:rsidR="00ED76BB" w:rsidRPr="008843F0" w:rsidRDefault="00ED76BB" w:rsidP="003C2836">
            <w:pPr>
              <w:pStyle w:val="Tabletext"/>
              <w:rPr>
                <w:rFonts w:eastAsia="Times"/>
              </w:rPr>
            </w:pPr>
            <w:r w:rsidRPr="008843F0">
              <w:rPr>
                <w:rFonts w:eastAsia="Times"/>
              </w:rPr>
              <w:t>Module 2: R20</w:t>
            </w:r>
          </w:p>
        </w:tc>
        <w:tc>
          <w:tcPr>
            <w:tcW w:w="3353" w:type="dxa"/>
          </w:tcPr>
          <w:p w14:paraId="4F70613A" w14:textId="77777777" w:rsidR="00ED76BB" w:rsidRPr="008843F0" w:rsidRDefault="00ED76BB" w:rsidP="003C2836">
            <w:pPr>
              <w:pStyle w:val="Tabletext"/>
              <w:rPr>
                <w:rFonts w:eastAsia="Times"/>
              </w:rPr>
            </w:pPr>
            <w:r w:rsidRPr="008843F0">
              <w:rPr>
                <w:rFonts w:eastAsia="Times"/>
              </w:rPr>
              <w:t>Cell salvage reported to be used.</w:t>
            </w:r>
          </w:p>
        </w:tc>
      </w:tr>
      <w:tr w:rsidR="00ED76BB" w:rsidRPr="008843F0" w14:paraId="657CFDFC" w14:textId="77777777" w:rsidTr="002B2FD9">
        <w:tc>
          <w:tcPr>
            <w:tcW w:w="1817" w:type="dxa"/>
          </w:tcPr>
          <w:p w14:paraId="59F36BD7" w14:textId="77777777" w:rsidR="00ED76BB" w:rsidRPr="008843F0" w:rsidRDefault="00ED76BB" w:rsidP="003C2836">
            <w:pPr>
              <w:pStyle w:val="Tabletext"/>
              <w:rPr>
                <w:rFonts w:eastAsia="Times"/>
              </w:rPr>
            </w:pPr>
            <w:r w:rsidRPr="008843F0">
              <w:rPr>
                <w:rFonts w:eastAsia="Times"/>
              </w:rPr>
              <w:t>RBC transfusion</w:t>
            </w:r>
          </w:p>
        </w:tc>
        <w:tc>
          <w:tcPr>
            <w:tcW w:w="4010" w:type="dxa"/>
          </w:tcPr>
          <w:p w14:paraId="6A7D0DA4" w14:textId="71BB805E" w:rsidR="00ED76BB" w:rsidRPr="008843F0" w:rsidRDefault="00ED76BB" w:rsidP="003C2836">
            <w:pPr>
              <w:pStyle w:val="Tabletext"/>
              <w:rPr>
                <w:rFonts w:eastAsia="Times"/>
              </w:rPr>
            </w:pPr>
            <w:r w:rsidRPr="008843F0">
              <w:rPr>
                <w:rFonts w:eastAsia="Times"/>
              </w:rPr>
              <w:t xml:space="preserve">RBC transfusion should not be dictated by a haemoglobin ‘trigger’ </w:t>
            </w:r>
            <w:proofErr w:type="gramStart"/>
            <w:r w:rsidRPr="008843F0">
              <w:rPr>
                <w:rFonts w:eastAsia="Times"/>
              </w:rPr>
              <w:t>alone, but</w:t>
            </w:r>
            <w:proofErr w:type="gramEnd"/>
            <w:r w:rsidRPr="008843F0">
              <w:rPr>
                <w:rFonts w:eastAsia="Times"/>
              </w:rPr>
              <w:t xml:space="preserve"> should be based on assessment of the patient’s clinical status. In the absence of acute myocardial or cerebrovascular </w:t>
            </w:r>
            <w:proofErr w:type="spellStart"/>
            <w:r w:rsidRPr="008843F0">
              <w:rPr>
                <w:rFonts w:eastAsia="Times"/>
              </w:rPr>
              <w:t>ischaemia</w:t>
            </w:r>
            <w:proofErr w:type="spellEnd"/>
            <w:r w:rsidRPr="008843F0">
              <w:rPr>
                <w:rFonts w:eastAsia="Times"/>
              </w:rPr>
              <w:t>, postoperative transfusion may be inappropriate for patients with a haemoglobin level of &gt;</w:t>
            </w:r>
            <w:r w:rsidR="00211F83">
              <w:rPr>
                <w:rFonts w:eastAsia="Times"/>
              </w:rPr>
              <w:t> </w:t>
            </w:r>
            <w:r w:rsidR="00211F83" w:rsidRPr="008843F0">
              <w:rPr>
                <w:rFonts w:eastAsia="Times"/>
              </w:rPr>
              <w:t>80</w:t>
            </w:r>
            <w:r w:rsidR="00211F83">
              <w:rPr>
                <w:rFonts w:eastAsia="Times"/>
              </w:rPr>
              <w:t> </w:t>
            </w:r>
            <w:r w:rsidRPr="008843F0">
              <w:rPr>
                <w:rFonts w:eastAsia="Times"/>
              </w:rPr>
              <w:t>g/L.</w:t>
            </w:r>
          </w:p>
          <w:p w14:paraId="5A81340E" w14:textId="77777777" w:rsidR="00ED76BB" w:rsidRPr="008843F0" w:rsidRDefault="00ED76BB" w:rsidP="003C2836">
            <w:pPr>
              <w:pStyle w:val="Tabletext"/>
              <w:rPr>
                <w:rFonts w:eastAsia="Times"/>
              </w:rPr>
            </w:pPr>
            <w:r w:rsidRPr="008843F0">
              <w:rPr>
                <w:rFonts w:eastAsia="Times"/>
              </w:rPr>
              <w:t>Module 2: PP2</w:t>
            </w:r>
          </w:p>
        </w:tc>
        <w:tc>
          <w:tcPr>
            <w:tcW w:w="3353" w:type="dxa"/>
          </w:tcPr>
          <w:p w14:paraId="29B6D102" w14:textId="4138930E" w:rsidR="00ED76BB" w:rsidRPr="008843F0" w:rsidRDefault="00ED76BB" w:rsidP="003C2836">
            <w:pPr>
              <w:pStyle w:val="Tabletext"/>
              <w:rPr>
                <w:rFonts w:eastAsia="Times"/>
              </w:rPr>
            </w:pPr>
            <w:r w:rsidRPr="008843F0">
              <w:rPr>
                <w:rFonts w:eastAsia="Times"/>
              </w:rPr>
              <w:t xml:space="preserve">If RBC transfusion was given, the patient had a recent Hb measured less than </w:t>
            </w:r>
            <w:r w:rsidR="00211F83" w:rsidRPr="008843F0">
              <w:rPr>
                <w:rFonts w:eastAsia="Times"/>
              </w:rPr>
              <w:t>80</w:t>
            </w:r>
            <w:r w:rsidR="00211F83">
              <w:rPr>
                <w:rFonts w:eastAsia="Times"/>
              </w:rPr>
              <w:t> </w:t>
            </w:r>
            <w:r w:rsidRPr="008843F0">
              <w:rPr>
                <w:rFonts w:eastAsia="Times"/>
              </w:rPr>
              <w:t>g/L and/or had anaemia symptoms.</w:t>
            </w:r>
          </w:p>
        </w:tc>
      </w:tr>
      <w:tr w:rsidR="00ED76BB" w:rsidRPr="008843F0" w14:paraId="57084930" w14:textId="77777777" w:rsidTr="002B2FD9">
        <w:tc>
          <w:tcPr>
            <w:tcW w:w="1817" w:type="dxa"/>
          </w:tcPr>
          <w:p w14:paraId="07289899" w14:textId="77777777" w:rsidR="00ED76BB" w:rsidRPr="008843F0" w:rsidRDefault="00ED76BB" w:rsidP="003C2836">
            <w:pPr>
              <w:pStyle w:val="Tabletext"/>
              <w:rPr>
                <w:rFonts w:eastAsia="Times"/>
              </w:rPr>
            </w:pPr>
            <w:r w:rsidRPr="008843F0">
              <w:rPr>
                <w:rFonts w:eastAsia="Times"/>
              </w:rPr>
              <w:t>Anaemia discharge plan</w:t>
            </w:r>
          </w:p>
        </w:tc>
        <w:tc>
          <w:tcPr>
            <w:tcW w:w="4010" w:type="dxa"/>
          </w:tcPr>
          <w:p w14:paraId="3B72D636" w14:textId="77777777" w:rsidR="00ED76BB" w:rsidRPr="008843F0" w:rsidRDefault="00ED76BB" w:rsidP="003C2836">
            <w:pPr>
              <w:pStyle w:val="Tabletext"/>
              <w:rPr>
                <w:rFonts w:eastAsia="Times"/>
              </w:rPr>
            </w:pPr>
            <w:r w:rsidRPr="008843F0">
              <w:rPr>
                <w:rFonts w:eastAsia="Times"/>
              </w:rPr>
              <w:t>In patients with postoperative anaemia, early oral iron therapy is not clinically effective; its routine use in this setting is not recommended.</w:t>
            </w:r>
          </w:p>
          <w:p w14:paraId="3F90AB09" w14:textId="77777777" w:rsidR="00ED76BB" w:rsidRPr="008843F0" w:rsidRDefault="00ED76BB" w:rsidP="003C2836">
            <w:pPr>
              <w:pStyle w:val="Tabletext"/>
              <w:rPr>
                <w:rFonts w:eastAsia="Times"/>
              </w:rPr>
            </w:pPr>
            <w:r w:rsidRPr="008843F0">
              <w:rPr>
                <w:rFonts w:eastAsia="Times"/>
              </w:rPr>
              <w:t>Module 2: R6</w:t>
            </w:r>
          </w:p>
        </w:tc>
        <w:tc>
          <w:tcPr>
            <w:tcW w:w="3353" w:type="dxa"/>
          </w:tcPr>
          <w:p w14:paraId="2BFE54CF" w14:textId="77777777" w:rsidR="00ED76BB" w:rsidRPr="008843F0" w:rsidRDefault="00ED76BB" w:rsidP="003C2836">
            <w:pPr>
              <w:pStyle w:val="Tabletext"/>
              <w:rPr>
                <w:rFonts w:eastAsia="Times"/>
              </w:rPr>
            </w:pPr>
            <w:r w:rsidRPr="008843F0">
              <w:rPr>
                <w:rFonts w:eastAsia="Times"/>
              </w:rPr>
              <w:t xml:space="preserve">If patient had anaemia, the discharge plan included anaemia management. </w:t>
            </w:r>
          </w:p>
        </w:tc>
      </w:tr>
    </w:tbl>
    <w:p w14:paraId="4BA3320F" w14:textId="77777777" w:rsidR="00211F83" w:rsidRDefault="00ED76BB" w:rsidP="00ED76BB">
      <w:pPr>
        <w:pStyle w:val="Bodyaftertablefigure"/>
      </w:pPr>
      <w:r w:rsidRPr="008843F0">
        <w:t xml:space="preserve">Postoperative anaemia may be present in up to 80 to 90 per cent of patients undergoing major surgery, depending on definitions (Munoz et.al. 2019). </w:t>
      </w:r>
    </w:p>
    <w:p w14:paraId="5BF42CEE" w14:textId="77777777" w:rsidR="00211F83" w:rsidRDefault="00ED76BB" w:rsidP="00211F83">
      <w:pPr>
        <w:pStyle w:val="Body"/>
      </w:pPr>
      <w:r w:rsidRPr="008843F0">
        <w:t xml:space="preserve">Preoperative anaemia, intraoperative blood loss and </w:t>
      </w:r>
      <w:r w:rsidRPr="00211F83">
        <w:t>postoperative</w:t>
      </w:r>
      <w:r w:rsidRPr="008843F0">
        <w:t xml:space="preserve"> reduced erythropoiesis are the main </w:t>
      </w:r>
      <w:r w:rsidRPr="00DF1B38">
        <w:t>contributing</w:t>
      </w:r>
      <w:r w:rsidRPr="008843F0">
        <w:t xml:space="preserve"> factors to anaemia after major surgery (Munoz et.al. 2019). </w:t>
      </w:r>
    </w:p>
    <w:p w14:paraId="73EC94EB" w14:textId="53151C53" w:rsidR="00ED76BB" w:rsidRPr="008843F0" w:rsidRDefault="00ED76BB" w:rsidP="002B2FD9">
      <w:pPr>
        <w:pStyle w:val="Body"/>
      </w:pPr>
      <w:r w:rsidRPr="008843F0">
        <w:t>There has been limited research on the consequences of postoperative anaemia in the recovery phase from surgery, with only a small number of studies after cardiac and hip and knee surgery</w:t>
      </w:r>
      <w:r w:rsidR="00211F83">
        <w:t>. These</w:t>
      </w:r>
      <w:r w:rsidR="00211F83" w:rsidRPr="008843F0">
        <w:t xml:space="preserve"> </w:t>
      </w:r>
      <w:r w:rsidRPr="008843F0">
        <w:t>demonstrated the association between postoperative anaemia and adverse outcomes such as prolonged recovery, increased mortality and likelihood of readmission (Munoz et.al. 2019).</w:t>
      </w:r>
    </w:p>
    <w:p w14:paraId="5619FD72" w14:textId="55603045" w:rsidR="00ED76BB" w:rsidRPr="00DF1B38" w:rsidRDefault="00ED76BB" w:rsidP="002B2FD9">
      <w:pPr>
        <w:pStyle w:val="Body"/>
      </w:pPr>
      <w:r w:rsidRPr="00DF1B38">
        <w:t xml:space="preserve">Module 2 focuses on the preoperative and intraoperative phases of surgery, with minimal recommendations for the postoperative period. </w:t>
      </w:r>
      <w:r w:rsidR="00211F83">
        <w:t>This period provides an</w:t>
      </w:r>
      <w:r w:rsidRPr="00DF1B38">
        <w:t xml:space="preserve"> </w:t>
      </w:r>
      <w:r w:rsidRPr="00211F83">
        <w:t>opportunity</w:t>
      </w:r>
      <w:r w:rsidRPr="00DF1B38">
        <w:t xml:space="preserve"> to assess and ensure patients are discharged with appropriate Hb levels and the ability to restore Hb due to blood loss associated with their surger</w:t>
      </w:r>
      <w:r w:rsidR="00211F83">
        <w:t>y</w:t>
      </w:r>
      <w:r w:rsidRPr="00DF1B38">
        <w:t xml:space="preserve">. </w:t>
      </w:r>
    </w:p>
    <w:p w14:paraId="5DD40201" w14:textId="4E3C756B" w:rsidR="00211F83" w:rsidRDefault="00ED76BB" w:rsidP="00ED76BB">
      <w:pPr>
        <w:pStyle w:val="Bodyaftertablefigure"/>
      </w:pPr>
      <w:r w:rsidRPr="00DF1B38">
        <w:t>Postoperative Hb testing to assess the amount of blood loss was performed in most patients (</w:t>
      </w:r>
      <w:r w:rsidR="00933EA0">
        <w:t>Table 24</w:t>
      </w:r>
      <w:r w:rsidRPr="00DF1B38">
        <w:t>), 1</w:t>
      </w:r>
      <w:r w:rsidR="00211F83">
        <w:t>,</w:t>
      </w:r>
      <w:r w:rsidRPr="00DF1B38">
        <w:t xml:space="preserve">305 (85 per cent) of all groups, with the gynaecology group having the smallest proportion at 60 per cent </w:t>
      </w:r>
      <w:r w:rsidR="00211F83">
        <w:t>(</w:t>
      </w:r>
      <w:r w:rsidRPr="00DF1B38">
        <w:t>n</w:t>
      </w:r>
      <w:r w:rsidR="00211F83">
        <w:t> </w:t>
      </w:r>
      <w:r w:rsidRPr="00DF1B38">
        <w:t>=</w:t>
      </w:r>
      <w:r w:rsidR="00211F83">
        <w:t> </w:t>
      </w:r>
      <w:r w:rsidRPr="00DF1B38">
        <w:t>205</w:t>
      </w:r>
      <w:r w:rsidR="00211F83">
        <w:t>)</w:t>
      </w:r>
      <w:r w:rsidR="00211F83" w:rsidRPr="00DF1B38">
        <w:t>.</w:t>
      </w:r>
    </w:p>
    <w:p w14:paraId="4077E787" w14:textId="007165E3" w:rsidR="00211F83" w:rsidRDefault="00ED76BB" w:rsidP="00211F83">
      <w:pPr>
        <w:pStyle w:val="Body"/>
      </w:pPr>
      <w:r w:rsidRPr="00DF1B38">
        <w:t>Munoz et</w:t>
      </w:r>
      <w:r w:rsidR="00211F83">
        <w:t xml:space="preserve"> </w:t>
      </w:r>
      <w:r w:rsidRPr="00DF1B38">
        <w:t xml:space="preserve">al. (2019) recommend that all patients who have undergone major surgery (defined as blood loss &gt; 500 mL or lasting &gt; 2 hours), and who had </w:t>
      </w:r>
      <w:r w:rsidRPr="00211F83">
        <w:t>preoperative</w:t>
      </w:r>
      <w:r w:rsidRPr="00DF1B38">
        <w:t xml:space="preserve"> anaemia or moderate to severe blood loss during surgery</w:t>
      </w:r>
      <w:r w:rsidR="00211F83">
        <w:t>,</w:t>
      </w:r>
      <w:r w:rsidRPr="00DF1B38">
        <w:t xml:space="preserve"> must be screened for anaemia after surgery. </w:t>
      </w:r>
    </w:p>
    <w:p w14:paraId="5DB77D4E" w14:textId="77777777" w:rsidR="00211F83" w:rsidRDefault="00ED76BB" w:rsidP="00211F83">
      <w:pPr>
        <w:pStyle w:val="Body"/>
      </w:pPr>
      <w:r w:rsidRPr="00DF1B38">
        <w:lastRenderedPageBreak/>
        <w:t xml:space="preserve">During recovery from uncomplicated major surgery, haemoglobin concentrations should be monitored, either by standard laboratory or point-of-care testing, on a regular daily basis, at least until the third postoperative day, to detect anaemia. </w:t>
      </w:r>
    </w:p>
    <w:p w14:paraId="3E1CE4D7" w14:textId="195E6B0B" w:rsidR="00ED76BB" w:rsidRPr="00DF1B38" w:rsidRDefault="00ED76BB" w:rsidP="002B2FD9">
      <w:pPr>
        <w:pStyle w:val="Body"/>
      </w:pPr>
      <w:r w:rsidRPr="00DF1B38">
        <w:t xml:space="preserve">This audit did not ask about ongoing measurement of Hb, except for a </w:t>
      </w:r>
      <w:proofErr w:type="spellStart"/>
      <w:r w:rsidRPr="00DF1B38">
        <w:t>predischarge</w:t>
      </w:r>
      <w:proofErr w:type="spellEnd"/>
      <w:r w:rsidRPr="00DF1B38">
        <w:t xml:space="preserve"> Hb.</w:t>
      </w:r>
    </w:p>
    <w:p w14:paraId="7583F18E" w14:textId="20F5A94C" w:rsidR="00ED76BB" w:rsidRPr="008843F0" w:rsidRDefault="00ED76BB" w:rsidP="002B2FD9">
      <w:pPr>
        <w:pStyle w:val="Tablecaption"/>
      </w:pPr>
      <w:bookmarkStart w:id="89" w:name="_Ref67410013"/>
      <w:r w:rsidRPr="008843F0">
        <w:t xml:space="preserve">Table </w:t>
      </w:r>
      <w:bookmarkEnd w:id="89"/>
      <w:r w:rsidR="00211F83">
        <w:t>2</w:t>
      </w:r>
      <w:r w:rsidR="006F4FEC">
        <w:t>4</w:t>
      </w:r>
      <w:r w:rsidRPr="008843F0">
        <w:t xml:space="preserve">: Haemoglobin on </w:t>
      </w:r>
      <w:r w:rsidRPr="008F5214">
        <w:t>day</w:t>
      </w:r>
      <w:r w:rsidRPr="008843F0">
        <w:t xml:space="preserve"> </w:t>
      </w:r>
      <w:r w:rsidR="00933EA0">
        <w:t>1</w:t>
      </w:r>
      <w:r w:rsidR="00933EA0" w:rsidRPr="008843F0">
        <w:t xml:space="preserve"> </w:t>
      </w:r>
      <w:r w:rsidRPr="008843F0">
        <w:t>post</w:t>
      </w:r>
      <w:r w:rsidR="00E17191">
        <w:t xml:space="preserve"> </w:t>
      </w:r>
      <w:r w:rsidRPr="008843F0">
        <w:t>surgery by surgery type</w:t>
      </w:r>
    </w:p>
    <w:tbl>
      <w:tblPr>
        <w:tblStyle w:val="TableGrid5"/>
        <w:tblW w:w="0" w:type="auto"/>
        <w:tblLook w:val="04A0" w:firstRow="1" w:lastRow="0" w:firstColumn="1" w:lastColumn="0" w:noHBand="0" w:noVBand="1"/>
      </w:tblPr>
      <w:tblGrid>
        <w:gridCol w:w="2696"/>
        <w:gridCol w:w="2082"/>
        <w:gridCol w:w="2094"/>
        <w:gridCol w:w="2080"/>
      </w:tblGrid>
      <w:tr w:rsidR="00ED76BB" w:rsidRPr="008843F0" w14:paraId="1B0860BF" w14:textId="77777777" w:rsidTr="002B2FD9">
        <w:tc>
          <w:tcPr>
            <w:tcW w:w="2696" w:type="dxa"/>
            <w:vAlign w:val="center"/>
          </w:tcPr>
          <w:p w14:paraId="61D6D28A" w14:textId="77777777" w:rsidR="00ED76BB" w:rsidRPr="00DF1B38" w:rsidRDefault="00ED76BB" w:rsidP="003C2836">
            <w:pPr>
              <w:pStyle w:val="Tablecolhead"/>
            </w:pPr>
            <w:r w:rsidRPr="00DF1B38">
              <w:t>Surgery</w:t>
            </w:r>
          </w:p>
        </w:tc>
        <w:tc>
          <w:tcPr>
            <w:tcW w:w="2082" w:type="dxa"/>
            <w:vAlign w:val="center"/>
          </w:tcPr>
          <w:p w14:paraId="0957DF03" w14:textId="77777777" w:rsidR="00ED76BB" w:rsidRPr="00DF1B38" w:rsidRDefault="00ED76BB" w:rsidP="003C2836">
            <w:pPr>
              <w:pStyle w:val="Tablecolhead"/>
            </w:pPr>
            <w:r w:rsidRPr="00DF1B38">
              <w:t>Number of all patients</w:t>
            </w:r>
          </w:p>
        </w:tc>
        <w:tc>
          <w:tcPr>
            <w:tcW w:w="2094" w:type="dxa"/>
            <w:vAlign w:val="center"/>
          </w:tcPr>
          <w:p w14:paraId="0B1338A1" w14:textId="0B6C871A" w:rsidR="00ED76BB" w:rsidRPr="00DF1B38" w:rsidRDefault="00ED76BB" w:rsidP="003C2836">
            <w:pPr>
              <w:pStyle w:val="Tablecolhead"/>
            </w:pPr>
            <w:r w:rsidRPr="00DF1B38">
              <w:t xml:space="preserve">Number of patients with </w:t>
            </w:r>
            <w:r w:rsidR="00211F83">
              <w:t>‘</w:t>
            </w:r>
            <w:r w:rsidRPr="00DF1B38">
              <w:t xml:space="preserve">day one </w:t>
            </w:r>
            <w:proofErr w:type="spellStart"/>
            <w:r w:rsidRPr="00DF1B38">
              <w:t>post</w:t>
            </w:r>
            <w:r w:rsidR="00E17191">
              <w:t xml:space="preserve"> </w:t>
            </w:r>
            <w:r w:rsidRPr="00DF1B38">
              <w:t>surgery</w:t>
            </w:r>
            <w:proofErr w:type="spellEnd"/>
            <w:r w:rsidR="00211F83">
              <w:t>’</w:t>
            </w:r>
            <w:r w:rsidR="00211F83" w:rsidRPr="00DF1B38">
              <w:t xml:space="preserve"> </w:t>
            </w:r>
            <w:r w:rsidRPr="00DF1B38">
              <w:t>Hb (%)</w:t>
            </w:r>
          </w:p>
        </w:tc>
        <w:tc>
          <w:tcPr>
            <w:tcW w:w="2080" w:type="dxa"/>
            <w:vAlign w:val="center"/>
          </w:tcPr>
          <w:p w14:paraId="7B70375A" w14:textId="77777777" w:rsidR="00ED76BB" w:rsidRPr="00DF1B38" w:rsidRDefault="00ED76BB" w:rsidP="003C2836">
            <w:pPr>
              <w:pStyle w:val="Tablecolhead"/>
            </w:pPr>
            <w:r w:rsidRPr="00DF1B38">
              <w:t>Hb results (g/L)</w:t>
            </w:r>
            <w:r w:rsidRPr="00DF1B38">
              <w:br/>
              <w:t>average (range)</w:t>
            </w:r>
          </w:p>
        </w:tc>
      </w:tr>
      <w:tr w:rsidR="00ED76BB" w:rsidRPr="008843F0" w14:paraId="2A66C995" w14:textId="77777777" w:rsidTr="002B2FD9">
        <w:tc>
          <w:tcPr>
            <w:tcW w:w="2696" w:type="dxa"/>
          </w:tcPr>
          <w:p w14:paraId="2B744C57" w14:textId="77777777" w:rsidR="00ED76BB" w:rsidRPr="00DF1B38" w:rsidRDefault="00ED76BB" w:rsidP="003C2836">
            <w:pPr>
              <w:pStyle w:val="Tabletext"/>
            </w:pPr>
            <w:r w:rsidRPr="00DF1B38">
              <w:t>Orthopaedics</w:t>
            </w:r>
          </w:p>
        </w:tc>
        <w:tc>
          <w:tcPr>
            <w:tcW w:w="2082" w:type="dxa"/>
          </w:tcPr>
          <w:p w14:paraId="27A16DFD" w14:textId="77777777" w:rsidR="00ED76BB" w:rsidRPr="00DF1B38" w:rsidRDefault="00ED76BB" w:rsidP="002B2FD9">
            <w:pPr>
              <w:pStyle w:val="Tabletext"/>
              <w:jc w:val="right"/>
            </w:pPr>
            <w:r w:rsidRPr="00DF1B38">
              <w:t>772</w:t>
            </w:r>
          </w:p>
        </w:tc>
        <w:tc>
          <w:tcPr>
            <w:tcW w:w="2094" w:type="dxa"/>
          </w:tcPr>
          <w:p w14:paraId="77054837" w14:textId="77777777" w:rsidR="00ED76BB" w:rsidRPr="00DF1B38" w:rsidRDefault="00ED76BB" w:rsidP="002B2FD9">
            <w:pPr>
              <w:pStyle w:val="Tabletext"/>
              <w:jc w:val="right"/>
            </w:pPr>
            <w:r w:rsidRPr="00DF1B38">
              <w:t>702 (91%)</w:t>
            </w:r>
          </w:p>
        </w:tc>
        <w:tc>
          <w:tcPr>
            <w:tcW w:w="2080" w:type="dxa"/>
          </w:tcPr>
          <w:p w14:paraId="20B066DC" w14:textId="510C977E" w:rsidR="00ED76BB" w:rsidRPr="00DF1B38" w:rsidRDefault="00ED76BB" w:rsidP="002B2FD9">
            <w:pPr>
              <w:pStyle w:val="Tabletext"/>
              <w:jc w:val="right"/>
            </w:pPr>
            <w:r w:rsidRPr="00DF1B38">
              <w:t>114 (68–152)</w:t>
            </w:r>
          </w:p>
        </w:tc>
      </w:tr>
      <w:tr w:rsidR="00ED76BB" w:rsidRPr="008843F0" w14:paraId="0E38F43B" w14:textId="77777777" w:rsidTr="002B2FD9">
        <w:tc>
          <w:tcPr>
            <w:tcW w:w="2696" w:type="dxa"/>
          </w:tcPr>
          <w:p w14:paraId="445033CB" w14:textId="77777777" w:rsidR="00ED76BB" w:rsidRPr="00DF1B38" w:rsidRDefault="00ED76BB" w:rsidP="003C2836">
            <w:pPr>
              <w:pStyle w:val="Tabletext"/>
            </w:pPr>
            <w:bookmarkStart w:id="90" w:name="_Hlk66708310"/>
            <w:r w:rsidRPr="00DF1B38">
              <w:t>Gynaecology</w:t>
            </w:r>
          </w:p>
        </w:tc>
        <w:tc>
          <w:tcPr>
            <w:tcW w:w="2082" w:type="dxa"/>
          </w:tcPr>
          <w:p w14:paraId="53DFC458" w14:textId="77777777" w:rsidR="00ED76BB" w:rsidRPr="00DF1B38" w:rsidRDefault="00ED76BB" w:rsidP="002B2FD9">
            <w:pPr>
              <w:pStyle w:val="Tabletext"/>
              <w:jc w:val="right"/>
            </w:pPr>
            <w:r w:rsidRPr="00DF1B38">
              <w:t>343</w:t>
            </w:r>
          </w:p>
        </w:tc>
        <w:tc>
          <w:tcPr>
            <w:tcW w:w="2094" w:type="dxa"/>
          </w:tcPr>
          <w:p w14:paraId="4A7C3664" w14:textId="77777777" w:rsidR="00ED76BB" w:rsidRPr="00DF1B38" w:rsidRDefault="00ED76BB" w:rsidP="002B2FD9">
            <w:pPr>
              <w:pStyle w:val="Tabletext"/>
              <w:jc w:val="right"/>
            </w:pPr>
            <w:r w:rsidRPr="00DF1B38">
              <w:t>205 (60%)</w:t>
            </w:r>
          </w:p>
        </w:tc>
        <w:tc>
          <w:tcPr>
            <w:tcW w:w="2080" w:type="dxa"/>
          </w:tcPr>
          <w:p w14:paraId="1A3F6CAD" w14:textId="42EA7549" w:rsidR="00ED76BB" w:rsidRPr="00DF1B38" w:rsidRDefault="00ED76BB" w:rsidP="002B2FD9">
            <w:pPr>
              <w:pStyle w:val="Tabletext"/>
              <w:jc w:val="right"/>
            </w:pPr>
            <w:r w:rsidRPr="00DF1B38">
              <w:t>112 (64–150)</w:t>
            </w:r>
          </w:p>
        </w:tc>
      </w:tr>
      <w:tr w:rsidR="00ED76BB" w:rsidRPr="008843F0" w14:paraId="54A44100" w14:textId="77777777" w:rsidTr="002B2FD9">
        <w:tc>
          <w:tcPr>
            <w:tcW w:w="2696" w:type="dxa"/>
          </w:tcPr>
          <w:p w14:paraId="39FE2492" w14:textId="77777777" w:rsidR="00ED76BB" w:rsidRPr="00DF1B38" w:rsidRDefault="00ED76BB" w:rsidP="003C2836">
            <w:pPr>
              <w:pStyle w:val="Tabletext"/>
            </w:pPr>
            <w:r w:rsidRPr="00DF1B38">
              <w:t>Major gastrointestinal</w:t>
            </w:r>
          </w:p>
        </w:tc>
        <w:tc>
          <w:tcPr>
            <w:tcW w:w="2082" w:type="dxa"/>
          </w:tcPr>
          <w:p w14:paraId="65CDC429" w14:textId="77777777" w:rsidR="00ED76BB" w:rsidRPr="00DF1B38" w:rsidRDefault="00ED76BB" w:rsidP="002B2FD9">
            <w:pPr>
              <w:pStyle w:val="Tabletext"/>
              <w:jc w:val="right"/>
            </w:pPr>
            <w:r w:rsidRPr="00DF1B38">
              <w:t>296</w:t>
            </w:r>
          </w:p>
        </w:tc>
        <w:tc>
          <w:tcPr>
            <w:tcW w:w="2094" w:type="dxa"/>
          </w:tcPr>
          <w:p w14:paraId="21EB51E8" w14:textId="77777777" w:rsidR="00ED76BB" w:rsidRPr="00DF1B38" w:rsidRDefault="00ED76BB" w:rsidP="002B2FD9">
            <w:pPr>
              <w:pStyle w:val="Tabletext"/>
              <w:jc w:val="right"/>
            </w:pPr>
            <w:r w:rsidRPr="00DF1B38">
              <w:t>272 (92%)</w:t>
            </w:r>
          </w:p>
        </w:tc>
        <w:tc>
          <w:tcPr>
            <w:tcW w:w="2080" w:type="dxa"/>
          </w:tcPr>
          <w:p w14:paraId="5BB1F22B" w14:textId="671826C4" w:rsidR="00ED76BB" w:rsidRPr="00DF1B38" w:rsidRDefault="00ED76BB" w:rsidP="002B2FD9">
            <w:pPr>
              <w:pStyle w:val="Tabletext"/>
              <w:jc w:val="right"/>
            </w:pPr>
            <w:r w:rsidRPr="00DF1B38">
              <w:t>112 (68–161)</w:t>
            </w:r>
          </w:p>
        </w:tc>
      </w:tr>
      <w:tr w:rsidR="00ED76BB" w:rsidRPr="008843F0" w14:paraId="2A5C5AD7" w14:textId="77777777" w:rsidTr="002B2FD9">
        <w:tc>
          <w:tcPr>
            <w:tcW w:w="2696" w:type="dxa"/>
          </w:tcPr>
          <w:p w14:paraId="3C5E6DA0" w14:textId="77777777" w:rsidR="00ED76BB" w:rsidRPr="00DF1B38" w:rsidRDefault="00ED76BB" w:rsidP="003C2836">
            <w:pPr>
              <w:pStyle w:val="Tabletext"/>
            </w:pPr>
            <w:r w:rsidRPr="00DF1B38">
              <w:t>Cardiothoracic</w:t>
            </w:r>
          </w:p>
        </w:tc>
        <w:tc>
          <w:tcPr>
            <w:tcW w:w="2082" w:type="dxa"/>
          </w:tcPr>
          <w:p w14:paraId="0DA057B0" w14:textId="77777777" w:rsidR="00ED76BB" w:rsidRPr="00DF1B38" w:rsidRDefault="00ED76BB" w:rsidP="002B2FD9">
            <w:pPr>
              <w:pStyle w:val="Tabletext"/>
              <w:jc w:val="right"/>
            </w:pPr>
            <w:r w:rsidRPr="00DF1B38">
              <w:t>130</w:t>
            </w:r>
          </w:p>
        </w:tc>
        <w:tc>
          <w:tcPr>
            <w:tcW w:w="2094" w:type="dxa"/>
          </w:tcPr>
          <w:p w14:paraId="5B50B621" w14:textId="77777777" w:rsidR="00ED76BB" w:rsidRPr="00DF1B38" w:rsidRDefault="00ED76BB" w:rsidP="002B2FD9">
            <w:pPr>
              <w:pStyle w:val="Tabletext"/>
              <w:jc w:val="right"/>
            </w:pPr>
            <w:r w:rsidRPr="00DF1B38">
              <w:t>126 (97%)</w:t>
            </w:r>
          </w:p>
        </w:tc>
        <w:tc>
          <w:tcPr>
            <w:tcW w:w="2080" w:type="dxa"/>
          </w:tcPr>
          <w:p w14:paraId="4267FCDC" w14:textId="60D5E086" w:rsidR="00ED76BB" w:rsidRPr="00DF1B38" w:rsidRDefault="00ED76BB" w:rsidP="002B2FD9">
            <w:pPr>
              <w:pStyle w:val="Tabletext"/>
              <w:jc w:val="right"/>
            </w:pPr>
            <w:r w:rsidRPr="00DF1B38">
              <w:t>105 (71–157)</w:t>
            </w:r>
          </w:p>
        </w:tc>
      </w:tr>
      <w:tr w:rsidR="00ED76BB" w:rsidRPr="008843F0" w14:paraId="1FAFC52F" w14:textId="77777777" w:rsidTr="002B2FD9">
        <w:tc>
          <w:tcPr>
            <w:tcW w:w="2696" w:type="dxa"/>
          </w:tcPr>
          <w:p w14:paraId="3415B88E" w14:textId="77777777" w:rsidR="00ED76BB" w:rsidRPr="00DF1B38" w:rsidRDefault="00ED76BB" w:rsidP="003C2836">
            <w:pPr>
              <w:pStyle w:val="Tabletext"/>
              <w:rPr>
                <w:b/>
                <w:bCs/>
              </w:rPr>
            </w:pPr>
            <w:r w:rsidRPr="00DF1B38">
              <w:rPr>
                <w:b/>
                <w:bCs/>
              </w:rPr>
              <w:t>Total (all surgical types)</w:t>
            </w:r>
          </w:p>
        </w:tc>
        <w:tc>
          <w:tcPr>
            <w:tcW w:w="2082" w:type="dxa"/>
          </w:tcPr>
          <w:p w14:paraId="4056003E" w14:textId="77777777" w:rsidR="00ED76BB" w:rsidRPr="00DF1B38" w:rsidRDefault="00ED76BB" w:rsidP="002B2FD9">
            <w:pPr>
              <w:pStyle w:val="Tabletext"/>
              <w:jc w:val="right"/>
              <w:rPr>
                <w:b/>
                <w:bCs/>
              </w:rPr>
            </w:pPr>
            <w:r w:rsidRPr="00DF1B38">
              <w:rPr>
                <w:b/>
                <w:bCs/>
              </w:rPr>
              <w:t>1541</w:t>
            </w:r>
          </w:p>
        </w:tc>
        <w:tc>
          <w:tcPr>
            <w:tcW w:w="2094" w:type="dxa"/>
          </w:tcPr>
          <w:p w14:paraId="3E543080" w14:textId="77777777" w:rsidR="00ED76BB" w:rsidRPr="00DF1B38" w:rsidRDefault="00ED76BB" w:rsidP="002B2FD9">
            <w:pPr>
              <w:pStyle w:val="Tabletext"/>
              <w:jc w:val="right"/>
              <w:rPr>
                <w:b/>
                <w:bCs/>
              </w:rPr>
            </w:pPr>
            <w:r w:rsidRPr="00DF1B38">
              <w:rPr>
                <w:b/>
                <w:bCs/>
              </w:rPr>
              <w:t>1305 (85%)</w:t>
            </w:r>
          </w:p>
        </w:tc>
        <w:tc>
          <w:tcPr>
            <w:tcW w:w="2080" w:type="dxa"/>
          </w:tcPr>
          <w:p w14:paraId="3ED58082" w14:textId="56EB7198" w:rsidR="00ED76BB" w:rsidRPr="00DF1B38" w:rsidRDefault="00211F83" w:rsidP="002B2FD9">
            <w:pPr>
              <w:pStyle w:val="Tabletext"/>
              <w:jc w:val="right"/>
            </w:pPr>
            <w:r>
              <w:t>-</w:t>
            </w:r>
          </w:p>
        </w:tc>
      </w:tr>
    </w:tbl>
    <w:bookmarkEnd w:id="90"/>
    <w:p w14:paraId="56DBCFCB" w14:textId="50C19518" w:rsidR="00211F83" w:rsidRDefault="00ED76BB" w:rsidP="00ED76BB">
      <w:pPr>
        <w:pStyle w:val="Bodyaftertablefigure"/>
      </w:pPr>
      <w:r w:rsidRPr="008843F0">
        <w:t xml:space="preserve">Postoperative blood loss by surgery type was recorded in 172 (11 per cent) of all cases </w:t>
      </w:r>
      <w:r w:rsidR="00211F83">
        <w:t>(Table 2</w:t>
      </w:r>
      <w:r w:rsidR="00933EA0">
        <w:t>5</w:t>
      </w:r>
      <w:r w:rsidR="00211F83">
        <w:t xml:space="preserve">), </w:t>
      </w:r>
      <w:r w:rsidRPr="008843F0">
        <w:t xml:space="preserve">although we </w:t>
      </w:r>
      <w:r w:rsidRPr="00DF1B38">
        <w:t>did</w:t>
      </w:r>
      <w:r w:rsidRPr="008843F0">
        <w:t xml:space="preserve"> not ask about volume of blood loss. </w:t>
      </w:r>
    </w:p>
    <w:p w14:paraId="73FCCB61" w14:textId="2D818D91" w:rsidR="00211F83" w:rsidRDefault="00ED76BB" w:rsidP="00211F83">
      <w:pPr>
        <w:pStyle w:val="Body"/>
      </w:pPr>
      <w:r w:rsidRPr="008843F0">
        <w:t xml:space="preserve">Cardiothoracic surgery had the </w:t>
      </w:r>
      <w:r w:rsidR="00211F83">
        <w:t>greatest number of patients with</w:t>
      </w:r>
      <w:r w:rsidRPr="008843F0">
        <w:t xml:space="preserve"> reported blood loss in the postoperative period</w:t>
      </w:r>
      <w:r w:rsidR="00211F83">
        <w:t>,</w:t>
      </w:r>
      <w:r w:rsidRPr="008843F0">
        <w:t xml:space="preserve"> with 74 patients (57 per cent). </w:t>
      </w:r>
    </w:p>
    <w:p w14:paraId="352C5A44" w14:textId="2731E3E6" w:rsidR="00ED76BB" w:rsidRPr="008843F0" w:rsidRDefault="00ED76BB" w:rsidP="002B2FD9">
      <w:pPr>
        <w:pStyle w:val="Body"/>
      </w:pPr>
      <w:r w:rsidRPr="008843F0">
        <w:t xml:space="preserve">Ongoing postoperative blood loss </w:t>
      </w:r>
      <w:r w:rsidRPr="00211F83">
        <w:t>can</w:t>
      </w:r>
      <w:r w:rsidRPr="008843F0">
        <w:t xml:space="preserve"> occur from surgical drains, or due to repeated phlebotomy during hospitalisation</w:t>
      </w:r>
      <w:r w:rsidR="00211F83">
        <w:t>.</w:t>
      </w:r>
      <w:r w:rsidR="00211F83" w:rsidRPr="008843F0">
        <w:t xml:space="preserve"> </w:t>
      </w:r>
      <w:r w:rsidR="00211F83">
        <w:t>P</w:t>
      </w:r>
      <w:r w:rsidR="00211F83" w:rsidRPr="008843F0">
        <w:t xml:space="preserve">hlebotomy </w:t>
      </w:r>
      <w:r w:rsidRPr="008843F0">
        <w:t>blood loss was not included in this data collection.</w:t>
      </w:r>
    </w:p>
    <w:p w14:paraId="018FB368" w14:textId="4000C52C" w:rsidR="00ED76BB" w:rsidRPr="008843F0" w:rsidRDefault="00ED76BB" w:rsidP="002B2FD9">
      <w:pPr>
        <w:pStyle w:val="Tablecaption"/>
      </w:pPr>
      <w:bookmarkStart w:id="91" w:name="_Ref67409966"/>
      <w:r w:rsidRPr="008843F0">
        <w:t xml:space="preserve">Table </w:t>
      </w:r>
      <w:bookmarkEnd w:id="91"/>
      <w:r w:rsidR="00211F83">
        <w:t>2</w:t>
      </w:r>
      <w:r w:rsidR="006F4FEC">
        <w:t>5</w:t>
      </w:r>
      <w:r w:rsidRPr="008843F0">
        <w:t xml:space="preserve">: Active blood loss </w:t>
      </w:r>
      <w:r w:rsidRPr="008F5214">
        <w:t>postoperatively</w:t>
      </w:r>
      <w:r w:rsidRPr="008843F0">
        <w:t xml:space="preserve"> by surgery type</w:t>
      </w:r>
    </w:p>
    <w:tbl>
      <w:tblPr>
        <w:tblStyle w:val="TableGrid5"/>
        <w:tblW w:w="8959" w:type="dxa"/>
        <w:tblLook w:val="04A0" w:firstRow="1" w:lastRow="0" w:firstColumn="1" w:lastColumn="0" w:noHBand="0" w:noVBand="1"/>
      </w:tblPr>
      <w:tblGrid>
        <w:gridCol w:w="2696"/>
        <w:gridCol w:w="3101"/>
        <w:gridCol w:w="3162"/>
      </w:tblGrid>
      <w:tr w:rsidR="00ED76BB" w:rsidRPr="008843F0" w14:paraId="737BAB50" w14:textId="77777777" w:rsidTr="002B2FD9">
        <w:tc>
          <w:tcPr>
            <w:tcW w:w="2696" w:type="dxa"/>
            <w:vAlign w:val="center"/>
          </w:tcPr>
          <w:p w14:paraId="00E241F3" w14:textId="77777777" w:rsidR="00ED76BB" w:rsidRPr="008843F0" w:rsidRDefault="00ED76BB" w:rsidP="003C2836">
            <w:pPr>
              <w:pStyle w:val="Tablecolhead"/>
            </w:pPr>
            <w:r w:rsidRPr="008843F0">
              <w:rPr>
                <w:lang w:eastAsia="en-AU"/>
              </w:rPr>
              <w:t>Surgery</w:t>
            </w:r>
          </w:p>
        </w:tc>
        <w:tc>
          <w:tcPr>
            <w:tcW w:w="3101" w:type="dxa"/>
            <w:vAlign w:val="center"/>
          </w:tcPr>
          <w:p w14:paraId="0308BE5B" w14:textId="77777777" w:rsidR="00ED76BB" w:rsidRPr="008843F0" w:rsidRDefault="00ED76BB" w:rsidP="003C2836">
            <w:pPr>
              <w:pStyle w:val="Tablecolhead"/>
            </w:pPr>
            <w:r w:rsidRPr="008843F0">
              <w:rPr>
                <w:lang w:eastAsia="en-AU"/>
              </w:rPr>
              <w:t>Number of all patients</w:t>
            </w:r>
          </w:p>
        </w:tc>
        <w:tc>
          <w:tcPr>
            <w:tcW w:w="3162" w:type="dxa"/>
            <w:vAlign w:val="center"/>
          </w:tcPr>
          <w:p w14:paraId="017B5515" w14:textId="77777777" w:rsidR="00ED76BB" w:rsidRPr="008843F0" w:rsidRDefault="00ED76BB" w:rsidP="003C2836">
            <w:pPr>
              <w:pStyle w:val="Tablecolhead"/>
            </w:pPr>
            <w:r w:rsidRPr="008843F0">
              <w:rPr>
                <w:lang w:eastAsia="en-AU"/>
              </w:rPr>
              <w:t>Number of patients with reported postoperative blood loss (%)</w:t>
            </w:r>
          </w:p>
        </w:tc>
      </w:tr>
      <w:tr w:rsidR="00ED76BB" w:rsidRPr="008843F0" w14:paraId="4C8C2A28" w14:textId="77777777" w:rsidTr="002B2FD9">
        <w:tc>
          <w:tcPr>
            <w:tcW w:w="2696" w:type="dxa"/>
          </w:tcPr>
          <w:p w14:paraId="6A681501" w14:textId="77777777" w:rsidR="00ED76BB" w:rsidRPr="00DF1B38" w:rsidRDefault="00ED76BB" w:rsidP="003C2836">
            <w:pPr>
              <w:pStyle w:val="Tabletext"/>
            </w:pPr>
            <w:r w:rsidRPr="00DF1B38">
              <w:t>Orthopaedics</w:t>
            </w:r>
          </w:p>
        </w:tc>
        <w:tc>
          <w:tcPr>
            <w:tcW w:w="3101" w:type="dxa"/>
          </w:tcPr>
          <w:p w14:paraId="35FAC279" w14:textId="77777777" w:rsidR="00ED76BB" w:rsidRPr="00DF1B38" w:rsidRDefault="00ED76BB" w:rsidP="002B2FD9">
            <w:pPr>
              <w:pStyle w:val="Tabletext"/>
              <w:jc w:val="right"/>
            </w:pPr>
            <w:r w:rsidRPr="00DF1B38">
              <w:t>772</w:t>
            </w:r>
          </w:p>
        </w:tc>
        <w:tc>
          <w:tcPr>
            <w:tcW w:w="3162" w:type="dxa"/>
          </w:tcPr>
          <w:p w14:paraId="70036024" w14:textId="77777777" w:rsidR="00ED76BB" w:rsidRPr="00DF1B38" w:rsidRDefault="00ED76BB" w:rsidP="002B2FD9">
            <w:pPr>
              <w:pStyle w:val="Tabletext"/>
              <w:jc w:val="right"/>
            </w:pPr>
            <w:r w:rsidRPr="00DF1B38">
              <w:t>34 (4%)</w:t>
            </w:r>
          </w:p>
        </w:tc>
      </w:tr>
      <w:tr w:rsidR="00ED76BB" w:rsidRPr="008843F0" w14:paraId="3F949B1B" w14:textId="77777777" w:rsidTr="002B2FD9">
        <w:tc>
          <w:tcPr>
            <w:tcW w:w="2696" w:type="dxa"/>
          </w:tcPr>
          <w:p w14:paraId="383A1BB8" w14:textId="77777777" w:rsidR="00ED76BB" w:rsidRPr="00DF1B38" w:rsidRDefault="00ED76BB" w:rsidP="003C2836">
            <w:pPr>
              <w:pStyle w:val="Tabletext"/>
            </w:pPr>
            <w:r w:rsidRPr="00DF1B38">
              <w:t>Gynaecology</w:t>
            </w:r>
          </w:p>
        </w:tc>
        <w:tc>
          <w:tcPr>
            <w:tcW w:w="3101" w:type="dxa"/>
          </w:tcPr>
          <w:p w14:paraId="28463DDC" w14:textId="77777777" w:rsidR="00ED76BB" w:rsidRPr="00DF1B38" w:rsidRDefault="00ED76BB" w:rsidP="002B2FD9">
            <w:pPr>
              <w:pStyle w:val="Tabletext"/>
              <w:jc w:val="right"/>
            </w:pPr>
            <w:r w:rsidRPr="00DF1B38">
              <w:t>343</w:t>
            </w:r>
          </w:p>
        </w:tc>
        <w:tc>
          <w:tcPr>
            <w:tcW w:w="3162" w:type="dxa"/>
          </w:tcPr>
          <w:p w14:paraId="29BFD67F" w14:textId="77777777" w:rsidR="00ED76BB" w:rsidRPr="00DF1B38" w:rsidRDefault="00ED76BB" w:rsidP="002B2FD9">
            <w:pPr>
              <w:pStyle w:val="Tabletext"/>
              <w:jc w:val="right"/>
            </w:pPr>
            <w:r w:rsidRPr="00DF1B38">
              <w:t>18 (5%)</w:t>
            </w:r>
          </w:p>
        </w:tc>
      </w:tr>
      <w:tr w:rsidR="00ED76BB" w:rsidRPr="008843F0" w14:paraId="1271D0D1" w14:textId="77777777" w:rsidTr="002B2FD9">
        <w:tc>
          <w:tcPr>
            <w:tcW w:w="2696" w:type="dxa"/>
          </w:tcPr>
          <w:p w14:paraId="430F33E6" w14:textId="77777777" w:rsidR="00ED76BB" w:rsidRPr="00DF1B38" w:rsidRDefault="00ED76BB" w:rsidP="003C2836">
            <w:pPr>
              <w:pStyle w:val="Tabletext"/>
            </w:pPr>
            <w:r w:rsidRPr="00DF1B38">
              <w:t>Major gastrointestinal</w:t>
            </w:r>
          </w:p>
        </w:tc>
        <w:tc>
          <w:tcPr>
            <w:tcW w:w="3101" w:type="dxa"/>
          </w:tcPr>
          <w:p w14:paraId="3946D745" w14:textId="77777777" w:rsidR="00ED76BB" w:rsidRPr="00DF1B38" w:rsidRDefault="00ED76BB" w:rsidP="002B2FD9">
            <w:pPr>
              <w:pStyle w:val="Tabletext"/>
              <w:jc w:val="right"/>
            </w:pPr>
            <w:r w:rsidRPr="00DF1B38">
              <w:t>296</w:t>
            </w:r>
          </w:p>
        </w:tc>
        <w:tc>
          <w:tcPr>
            <w:tcW w:w="3162" w:type="dxa"/>
          </w:tcPr>
          <w:p w14:paraId="6DBD4E4D" w14:textId="77777777" w:rsidR="00ED76BB" w:rsidRPr="00DF1B38" w:rsidRDefault="00ED76BB" w:rsidP="002B2FD9">
            <w:pPr>
              <w:pStyle w:val="Tabletext"/>
              <w:jc w:val="right"/>
            </w:pPr>
            <w:r w:rsidRPr="00DF1B38">
              <w:t>46 (16%)</w:t>
            </w:r>
          </w:p>
        </w:tc>
      </w:tr>
      <w:tr w:rsidR="00ED76BB" w:rsidRPr="008843F0" w14:paraId="0C6A9833" w14:textId="77777777" w:rsidTr="002B2FD9">
        <w:tc>
          <w:tcPr>
            <w:tcW w:w="2696" w:type="dxa"/>
          </w:tcPr>
          <w:p w14:paraId="3364AAAF" w14:textId="77777777" w:rsidR="00ED76BB" w:rsidRPr="00DF1B38" w:rsidRDefault="00ED76BB" w:rsidP="003C2836">
            <w:pPr>
              <w:pStyle w:val="Tabletext"/>
            </w:pPr>
            <w:r w:rsidRPr="00DF1B38">
              <w:t>Cardiothoracic</w:t>
            </w:r>
          </w:p>
        </w:tc>
        <w:tc>
          <w:tcPr>
            <w:tcW w:w="3101" w:type="dxa"/>
          </w:tcPr>
          <w:p w14:paraId="37F4BD5D" w14:textId="77777777" w:rsidR="00ED76BB" w:rsidRPr="00DF1B38" w:rsidRDefault="00ED76BB" w:rsidP="002B2FD9">
            <w:pPr>
              <w:pStyle w:val="Tabletext"/>
              <w:jc w:val="right"/>
            </w:pPr>
            <w:r w:rsidRPr="00DF1B38">
              <w:t>130</w:t>
            </w:r>
          </w:p>
        </w:tc>
        <w:tc>
          <w:tcPr>
            <w:tcW w:w="3162" w:type="dxa"/>
          </w:tcPr>
          <w:p w14:paraId="43115EB2" w14:textId="77777777" w:rsidR="00ED76BB" w:rsidRPr="00DF1B38" w:rsidRDefault="00ED76BB" w:rsidP="002B2FD9">
            <w:pPr>
              <w:pStyle w:val="Tabletext"/>
              <w:jc w:val="right"/>
            </w:pPr>
            <w:r w:rsidRPr="00DF1B38">
              <w:t>74 (57%)</w:t>
            </w:r>
          </w:p>
        </w:tc>
      </w:tr>
      <w:tr w:rsidR="00ED76BB" w:rsidRPr="008843F0" w14:paraId="1334CDC3" w14:textId="77777777" w:rsidTr="002B2FD9">
        <w:tc>
          <w:tcPr>
            <w:tcW w:w="2696" w:type="dxa"/>
          </w:tcPr>
          <w:p w14:paraId="705DA594" w14:textId="77777777" w:rsidR="00ED76BB" w:rsidRPr="00DF1B38" w:rsidRDefault="00ED76BB" w:rsidP="003C2836">
            <w:pPr>
              <w:pStyle w:val="Tabletext"/>
              <w:rPr>
                <w:b/>
                <w:bCs/>
              </w:rPr>
            </w:pPr>
            <w:r w:rsidRPr="00DF1B38">
              <w:rPr>
                <w:b/>
                <w:bCs/>
              </w:rPr>
              <w:t>Total (all surgical types)</w:t>
            </w:r>
          </w:p>
        </w:tc>
        <w:tc>
          <w:tcPr>
            <w:tcW w:w="3101" w:type="dxa"/>
          </w:tcPr>
          <w:p w14:paraId="53A622CA" w14:textId="77777777" w:rsidR="00ED76BB" w:rsidRPr="00DF1B38" w:rsidRDefault="00ED76BB" w:rsidP="002B2FD9">
            <w:pPr>
              <w:pStyle w:val="Tabletext"/>
              <w:jc w:val="right"/>
              <w:rPr>
                <w:b/>
                <w:bCs/>
              </w:rPr>
            </w:pPr>
            <w:r w:rsidRPr="00DF1B38">
              <w:rPr>
                <w:b/>
                <w:bCs/>
              </w:rPr>
              <w:t>1541</w:t>
            </w:r>
          </w:p>
        </w:tc>
        <w:tc>
          <w:tcPr>
            <w:tcW w:w="3162" w:type="dxa"/>
          </w:tcPr>
          <w:p w14:paraId="27917B52" w14:textId="77777777" w:rsidR="00ED76BB" w:rsidRPr="00DF1B38" w:rsidRDefault="00ED76BB" w:rsidP="002B2FD9">
            <w:pPr>
              <w:pStyle w:val="Tabletext"/>
              <w:jc w:val="right"/>
              <w:rPr>
                <w:b/>
                <w:bCs/>
              </w:rPr>
            </w:pPr>
            <w:r w:rsidRPr="00DF1B38">
              <w:rPr>
                <w:b/>
                <w:bCs/>
              </w:rPr>
              <w:t>172 (11%)</w:t>
            </w:r>
          </w:p>
        </w:tc>
      </w:tr>
    </w:tbl>
    <w:p w14:paraId="2828B303" w14:textId="789901EC" w:rsidR="00211F83" w:rsidRDefault="00ED76BB" w:rsidP="00ED76BB">
      <w:pPr>
        <w:pStyle w:val="Bodyaftertablefigure"/>
      </w:pPr>
      <w:r w:rsidRPr="008843F0">
        <w:t>Postoperative cell salvage was used infrequently in this audit (</w:t>
      </w:r>
      <w:r w:rsidR="0066027D">
        <w:t>Table 2</w:t>
      </w:r>
      <w:r w:rsidR="00933EA0">
        <w:t>6</w:t>
      </w:r>
      <w:r w:rsidRPr="008843F0">
        <w:t>)</w:t>
      </w:r>
      <w:r w:rsidR="00211F83">
        <w:t>,</w:t>
      </w:r>
      <w:r w:rsidRPr="008843F0">
        <w:t xml:space="preserve"> with just 33 patients (2 per cent) having cell salvage in the </w:t>
      </w:r>
      <w:r w:rsidRPr="00DF1B38">
        <w:t>postoperative</w:t>
      </w:r>
      <w:r w:rsidRPr="008843F0">
        <w:t xml:space="preserve"> period.</w:t>
      </w:r>
    </w:p>
    <w:p w14:paraId="0BB44614" w14:textId="4BBA1F07" w:rsidR="0066027D" w:rsidRDefault="00ED76BB" w:rsidP="00211F83">
      <w:pPr>
        <w:pStyle w:val="Body"/>
      </w:pPr>
      <w:r w:rsidRPr="008843F0">
        <w:t xml:space="preserve">Of these patients, 20 (61 per cent) had salvaged blood returned. Of the 12 patients where cell salvaged blood was not returned, seven were due to low volume, one </w:t>
      </w:r>
      <w:r w:rsidR="00211F83">
        <w:t>‘</w:t>
      </w:r>
      <w:r w:rsidRPr="008843F0">
        <w:t>not needed</w:t>
      </w:r>
      <w:r w:rsidR="00211F83">
        <w:t>’</w:t>
      </w:r>
      <w:r w:rsidR="00211F83" w:rsidRPr="008843F0">
        <w:t xml:space="preserve">, </w:t>
      </w:r>
      <w:r w:rsidRPr="008843F0">
        <w:t xml:space="preserve">and for the remaining four it was reported as unknown if salvaged blood was reinfused. </w:t>
      </w:r>
    </w:p>
    <w:p w14:paraId="6BC66490" w14:textId="014E03E0" w:rsidR="00ED76BB" w:rsidRPr="008843F0" w:rsidRDefault="00ED76BB" w:rsidP="002B2FD9">
      <w:pPr>
        <w:pStyle w:val="Body"/>
      </w:pPr>
      <w:r w:rsidRPr="008843F0">
        <w:t>It is also noted that three patients who had postoperative cell salvage returned also received a red cell transfusion (</w:t>
      </w:r>
      <w:r w:rsidR="0066027D">
        <w:t>9</w:t>
      </w:r>
      <w:r w:rsidR="0066027D" w:rsidRPr="008843F0">
        <w:t xml:space="preserve"> </w:t>
      </w:r>
      <w:r w:rsidRPr="008843F0">
        <w:t>per cent of all cell salvage patients).</w:t>
      </w:r>
    </w:p>
    <w:p w14:paraId="350CE764" w14:textId="28F76BBD" w:rsidR="00ED76BB" w:rsidRPr="008843F0" w:rsidRDefault="00ED76BB" w:rsidP="002B2FD9">
      <w:pPr>
        <w:pStyle w:val="Tablecaption"/>
      </w:pPr>
      <w:bookmarkStart w:id="92" w:name="_Ref67410097"/>
      <w:r w:rsidRPr="008843F0">
        <w:lastRenderedPageBreak/>
        <w:t xml:space="preserve">Table </w:t>
      </w:r>
      <w:bookmarkEnd w:id="92"/>
      <w:r w:rsidR="0066027D">
        <w:t>2</w:t>
      </w:r>
      <w:r w:rsidR="006F4FEC">
        <w:t>6</w:t>
      </w:r>
      <w:r w:rsidRPr="008843F0">
        <w:t xml:space="preserve">: Use of </w:t>
      </w:r>
      <w:r w:rsidRPr="00DF1B38">
        <w:t>postoperative</w:t>
      </w:r>
      <w:r w:rsidRPr="008843F0">
        <w:t xml:space="preserve"> cell salvage by </w:t>
      </w:r>
      <w:r w:rsidRPr="008F5214">
        <w:t>surgery</w:t>
      </w:r>
      <w:r w:rsidRPr="008843F0">
        <w:t xml:space="preserve"> type</w:t>
      </w:r>
    </w:p>
    <w:tbl>
      <w:tblPr>
        <w:tblStyle w:val="TableGrid5"/>
        <w:tblW w:w="8959" w:type="dxa"/>
        <w:tblLook w:val="04A0" w:firstRow="1" w:lastRow="0" w:firstColumn="1" w:lastColumn="0" w:noHBand="0" w:noVBand="1"/>
      </w:tblPr>
      <w:tblGrid>
        <w:gridCol w:w="2696"/>
        <w:gridCol w:w="2041"/>
        <w:gridCol w:w="2111"/>
        <w:gridCol w:w="2111"/>
      </w:tblGrid>
      <w:tr w:rsidR="00ED76BB" w:rsidRPr="008843F0" w14:paraId="44CA3B9C" w14:textId="77777777" w:rsidTr="002B2FD9">
        <w:tc>
          <w:tcPr>
            <w:tcW w:w="2696" w:type="dxa"/>
            <w:vAlign w:val="center"/>
          </w:tcPr>
          <w:p w14:paraId="4B15C391" w14:textId="77777777" w:rsidR="00ED76BB" w:rsidRPr="00DF1B38" w:rsidRDefault="00ED76BB" w:rsidP="003C2836">
            <w:pPr>
              <w:pStyle w:val="Tablecolhead"/>
            </w:pPr>
            <w:r w:rsidRPr="00DF1B38">
              <w:t>Surgery</w:t>
            </w:r>
          </w:p>
        </w:tc>
        <w:tc>
          <w:tcPr>
            <w:tcW w:w="2041" w:type="dxa"/>
            <w:vAlign w:val="center"/>
          </w:tcPr>
          <w:p w14:paraId="1CFC5C28" w14:textId="77777777" w:rsidR="00ED76BB" w:rsidRPr="00DF1B38" w:rsidRDefault="00ED76BB" w:rsidP="003C2836">
            <w:pPr>
              <w:pStyle w:val="Tablecolhead"/>
            </w:pPr>
            <w:r w:rsidRPr="00DF1B38">
              <w:t>Number of patients using cell salvage postoperatively (%)</w:t>
            </w:r>
          </w:p>
        </w:tc>
        <w:tc>
          <w:tcPr>
            <w:tcW w:w="2111" w:type="dxa"/>
          </w:tcPr>
          <w:p w14:paraId="18683324" w14:textId="77777777" w:rsidR="00ED76BB" w:rsidRPr="00DF1B38" w:rsidRDefault="00ED76BB" w:rsidP="003C2836">
            <w:pPr>
              <w:pStyle w:val="Tablecolhead"/>
            </w:pPr>
            <w:r w:rsidRPr="00DF1B38">
              <w:t>Number of patients having cell salvage returned (%)</w:t>
            </w:r>
          </w:p>
        </w:tc>
        <w:tc>
          <w:tcPr>
            <w:tcW w:w="2111" w:type="dxa"/>
          </w:tcPr>
          <w:p w14:paraId="707E9FED" w14:textId="77777777" w:rsidR="00ED76BB" w:rsidRPr="00DF1B38" w:rsidRDefault="00ED76BB" w:rsidP="003C2836">
            <w:pPr>
              <w:pStyle w:val="Tablecolhead"/>
            </w:pPr>
            <w:r w:rsidRPr="00DF1B38">
              <w:t>Volume (mL) returned</w:t>
            </w:r>
            <w:r w:rsidRPr="00DF1B38">
              <w:br/>
              <w:t>average (range)</w:t>
            </w:r>
          </w:p>
        </w:tc>
      </w:tr>
      <w:tr w:rsidR="00ED76BB" w:rsidRPr="008843F0" w14:paraId="04A29543" w14:textId="77777777" w:rsidTr="002B2FD9">
        <w:tc>
          <w:tcPr>
            <w:tcW w:w="2696" w:type="dxa"/>
          </w:tcPr>
          <w:p w14:paraId="1D5DBAE6" w14:textId="77777777" w:rsidR="00ED76BB" w:rsidRPr="00DF1B38" w:rsidRDefault="00ED76BB" w:rsidP="003C2836">
            <w:pPr>
              <w:pStyle w:val="Tabletext"/>
            </w:pPr>
            <w:r w:rsidRPr="00DF1B38">
              <w:t>Orthopaedics</w:t>
            </w:r>
          </w:p>
        </w:tc>
        <w:tc>
          <w:tcPr>
            <w:tcW w:w="2041" w:type="dxa"/>
          </w:tcPr>
          <w:p w14:paraId="2FD7BA42" w14:textId="77777777" w:rsidR="00ED76BB" w:rsidRPr="00DF1B38" w:rsidRDefault="00ED76BB" w:rsidP="002B2FD9">
            <w:pPr>
              <w:pStyle w:val="Tabletext"/>
              <w:jc w:val="right"/>
            </w:pPr>
            <w:r w:rsidRPr="00DF1B38">
              <w:t>31 (4%)</w:t>
            </w:r>
          </w:p>
        </w:tc>
        <w:tc>
          <w:tcPr>
            <w:tcW w:w="2111" w:type="dxa"/>
          </w:tcPr>
          <w:p w14:paraId="0211525E" w14:textId="77777777" w:rsidR="00ED76BB" w:rsidRPr="00DF1B38" w:rsidRDefault="00ED76BB" w:rsidP="002B2FD9">
            <w:pPr>
              <w:pStyle w:val="Tabletext"/>
              <w:jc w:val="right"/>
            </w:pPr>
            <w:r w:rsidRPr="00DF1B38">
              <w:t>19 (61%)</w:t>
            </w:r>
          </w:p>
        </w:tc>
        <w:tc>
          <w:tcPr>
            <w:tcW w:w="2111" w:type="dxa"/>
          </w:tcPr>
          <w:p w14:paraId="6D919233" w14:textId="3AD1595C" w:rsidR="00ED76BB" w:rsidRPr="00DF1B38" w:rsidRDefault="00ED76BB" w:rsidP="002B2FD9">
            <w:pPr>
              <w:pStyle w:val="Tabletext"/>
              <w:jc w:val="right"/>
            </w:pPr>
            <w:r w:rsidRPr="00DF1B38">
              <w:t>338 (100</w:t>
            </w:r>
            <w:r w:rsidR="0066027D">
              <w:t>–</w:t>
            </w:r>
            <w:r w:rsidRPr="00DF1B38">
              <w:t>700)</w:t>
            </w:r>
          </w:p>
        </w:tc>
      </w:tr>
      <w:tr w:rsidR="00ED76BB" w:rsidRPr="008843F0" w14:paraId="29747638" w14:textId="77777777" w:rsidTr="002B2FD9">
        <w:tc>
          <w:tcPr>
            <w:tcW w:w="2696" w:type="dxa"/>
          </w:tcPr>
          <w:p w14:paraId="6C44D094" w14:textId="77777777" w:rsidR="00ED76BB" w:rsidRPr="00DF1B38" w:rsidRDefault="00ED76BB" w:rsidP="003C2836">
            <w:pPr>
              <w:pStyle w:val="Tabletext"/>
            </w:pPr>
            <w:r w:rsidRPr="00DF1B38">
              <w:t>Gynaecology</w:t>
            </w:r>
          </w:p>
        </w:tc>
        <w:tc>
          <w:tcPr>
            <w:tcW w:w="2041" w:type="dxa"/>
          </w:tcPr>
          <w:p w14:paraId="2702A22C" w14:textId="1C3ECF71" w:rsidR="00ED76BB" w:rsidRPr="00DF1B38" w:rsidRDefault="004448F1" w:rsidP="002B2FD9">
            <w:pPr>
              <w:pStyle w:val="Tabletext"/>
              <w:jc w:val="right"/>
            </w:pPr>
            <w:r w:rsidRPr="004448F1">
              <w:t>-</w:t>
            </w:r>
          </w:p>
        </w:tc>
        <w:tc>
          <w:tcPr>
            <w:tcW w:w="2111" w:type="dxa"/>
          </w:tcPr>
          <w:p w14:paraId="2B1434BF" w14:textId="77777777" w:rsidR="00ED76BB" w:rsidRPr="00DF1B38" w:rsidRDefault="00ED76BB" w:rsidP="002B2FD9">
            <w:pPr>
              <w:pStyle w:val="Tabletext"/>
              <w:jc w:val="right"/>
            </w:pPr>
            <w:r w:rsidRPr="00DF1B38">
              <w:t>-</w:t>
            </w:r>
          </w:p>
        </w:tc>
        <w:tc>
          <w:tcPr>
            <w:tcW w:w="2111" w:type="dxa"/>
          </w:tcPr>
          <w:p w14:paraId="41385728" w14:textId="77777777" w:rsidR="00ED76BB" w:rsidRPr="00DF1B38" w:rsidRDefault="00ED76BB" w:rsidP="002B2FD9">
            <w:pPr>
              <w:pStyle w:val="Tabletext"/>
              <w:jc w:val="right"/>
            </w:pPr>
            <w:r w:rsidRPr="00DF1B38">
              <w:t>-</w:t>
            </w:r>
          </w:p>
        </w:tc>
      </w:tr>
      <w:tr w:rsidR="00ED76BB" w:rsidRPr="008843F0" w14:paraId="79EAE049" w14:textId="77777777" w:rsidTr="002B2FD9">
        <w:tc>
          <w:tcPr>
            <w:tcW w:w="2696" w:type="dxa"/>
          </w:tcPr>
          <w:p w14:paraId="73E81044" w14:textId="77777777" w:rsidR="00ED76BB" w:rsidRPr="00DF1B38" w:rsidRDefault="00ED76BB" w:rsidP="003C2836">
            <w:pPr>
              <w:pStyle w:val="Tabletext"/>
            </w:pPr>
            <w:r w:rsidRPr="00DF1B38">
              <w:t>Major gastrointestinal</w:t>
            </w:r>
          </w:p>
        </w:tc>
        <w:tc>
          <w:tcPr>
            <w:tcW w:w="2041" w:type="dxa"/>
          </w:tcPr>
          <w:p w14:paraId="28C4FD50" w14:textId="77777777" w:rsidR="00ED76BB" w:rsidRPr="00DF1B38" w:rsidRDefault="00ED76BB" w:rsidP="002B2FD9">
            <w:pPr>
              <w:pStyle w:val="Tabletext"/>
              <w:jc w:val="right"/>
            </w:pPr>
            <w:r w:rsidRPr="00DF1B38">
              <w:t>-</w:t>
            </w:r>
          </w:p>
        </w:tc>
        <w:tc>
          <w:tcPr>
            <w:tcW w:w="2111" w:type="dxa"/>
          </w:tcPr>
          <w:p w14:paraId="28369C3D" w14:textId="77777777" w:rsidR="00ED76BB" w:rsidRPr="00DF1B38" w:rsidRDefault="00ED76BB" w:rsidP="002B2FD9">
            <w:pPr>
              <w:pStyle w:val="Tabletext"/>
              <w:jc w:val="right"/>
            </w:pPr>
            <w:r w:rsidRPr="00DF1B38">
              <w:t>-</w:t>
            </w:r>
          </w:p>
        </w:tc>
        <w:tc>
          <w:tcPr>
            <w:tcW w:w="2111" w:type="dxa"/>
          </w:tcPr>
          <w:p w14:paraId="52149026" w14:textId="77777777" w:rsidR="00ED76BB" w:rsidRPr="00DF1B38" w:rsidRDefault="00ED76BB" w:rsidP="002B2FD9">
            <w:pPr>
              <w:pStyle w:val="Tabletext"/>
              <w:jc w:val="right"/>
            </w:pPr>
            <w:r w:rsidRPr="00DF1B38">
              <w:t>-</w:t>
            </w:r>
          </w:p>
        </w:tc>
      </w:tr>
      <w:tr w:rsidR="00ED76BB" w:rsidRPr="008843F0" w14:paraId="6D00ACF5" w14:textId="77777777" w:rsidTr="002B2FD9">
        <w:tc>
          <w:tcPr>
            <w:tcW w:w="2696" w:type="dxa"/>
          </w:tcPr>
          <w:p w14:paraId="42AB5298" w14:textId="77777777" w:rsidR="00ED76BB" w:rsidRPr="00DF1B38" w:rsidRDefault="00ED76BB" w:rsidP="003C2836">
            <w:pPr>
              <w:pStyle w:val="Tabletext"/>
            </w:pPr>
            <w:r w:rsidRPr="00DF1B38">
              <w:t>Cardiothoracic</w:t>
            </w:r>
          </w:p>
        </w:tc>
        <w:tc>
          <w:tcPr>
            <w:tcW w:w="2041" w:type="dxa"/>
          </w:tcPr>
          <w:p w14:paraId="418C77A5" w14:textId="77777777" w:rsidR="00ED76BB" w:rsidRPr="00DF1B38" w:rsidRDefault="00ED76BB" w:rsidP="002B2FD9">
            <w:pPr>
              <w:pStyle w:val="Tabletext"/>
              <w:jc w:val="right"/>
            </w:pPr>
            <w:r w:rsidRPr="00DF1B38">
              <w:t>2 (2%)</w:t>
            </w:r>
          </w:p>
        </w:tc>
        <w:tc>
          <w:tcPr>
            <w:tcW w:w="2111" w:type="dxa"/>
          </w:tcPr>
          <w:p w14:paraId="44D6DA65" w14:textId="77777777" w:rsidR="00ED76BB" w:rsidRPr="00DF1B38" w:rsidRDefault="00ED76BB" w:rsidP="002B2FD9">
            <w:pPr>
              <w:pStyle w:val="Tabletext"/>
              <w:jc w:val="right"/>
            </w:pPr>
            <w:r w:rsidRPr="00DF1B38">
              <w:t>1 (50%)</w:t>
            </w:r>
          </w:p>
        </w:tc>
        <w:tc>
          <w:tcPr>
            <w:tcW w:w="2111" w:type="dxa"/>
          </w:tcPr>
          <w:p w14:paraId="01852C49" w14:textId="77777777" w:rsidR="00ED76BB" w:rsidRPr="00DF1B38" w:rsidRDefault="00ED76BB" w:rsidP="002B2FD9">
            <w:pPr>
              <w:pStyle w:val="Tabletext"/>
              <w:jc w:val="right"/>
            </w:pPr>
            <w:r w:rsidRPr="00DF1B38">
              <w:t>155</w:t>
            </w:r>
          </w:p>
        </w:tc>
      </w:tr>
      <w:tr w:rsidR="00ED76BB" w:rsidRPr="008843F0" w14:paraId="27111E53" w14:textId="77777777" w:rsidTr="002B2FD9">
        <w:tc>
          <w:tcPr>
            <w:tcW w:w="2696" w:type="dxa"/>
          </w:tcPr>
          <w:p w14:paraId="4DF814F0" w14:textId="77777777" w:rsidR="00ED76BB" w:rsidRPr="00DF1B38" w:rsidRDefault="00ED76BB" w:rsidP="003C2836">
            <w:pPr>
              <w:pStyle w:val="Tabletext"/>
              <w:rPr>
                <w:b/>
                <w:bCs/>
              </w:rPr>
            </w:pPr>
            <w:r w:rsidRPr="00DF1B38">
              <w:rPr>
                <w:b/>
                <w:bCs/>
              </w:rPr>
              <w:t>Total (all surgical types)</w:t>
            </w:r>
          </w:p>
        </w:tc>
        <w:tc>
          <w:tcPr>
            <w:tcW w:w="2041" w:type="dxa"/>
          </w:tcPr>
          <w:p w14:paraId="414809CA" w14:textId="77777777" w:rsidR="00ED76BB" w:rsidRPr="00DF1B38" w:rsidRDefault="00ED76BB" w:rsidP="002B2FD9">
            <w:pPr>
              <w:pStyle w:val="Tabletext"/>
              <w:jc w:val="right"/>
              <w:rPr>
                <w:b/>
                <w:bCs/>
              </w:rPr>
            </w:pPr>
            <w:r w:rsidRPr="00DF1B38">
              <w:rPr>
                <w:b/>
                <w:bCs/>
              </w:rPr>
              <w:t>33 (2%)</w:t>
            </w:r>
          </w:p>
        </w:tc>
        <w:tc>
          <w:tcPr>
            <w:tcW w:w="2111" w:type="dxa"/>
          </w:tcPr>
          <w:p w14:paraId="03AC529E" w14:textId="77777777" w:rsidR="00ED76BB" w:rsidRPr="00DF1B38" w:rsidRDefault="00ED76BB" w:rsidP="002B2FD9">
            <w:pPr>
              <w:pStyle w:val="Tabletext"/>
              <w:jc w:val="right"/>
              <w:rPr>
                <w:b/>
                <w:bCs/>
              </w:rPr>
            </w:pPr>
            <w:r w:rsidRPr="00DF1B38">
              <w:rPr>
                <w:b/>
                <w:bCs/>
              </w:rPr>
              <w:t>20 (61%)</w:t>
            </w:r>
          </w:p>
        </w:tc>
        <w:tc>
          <w:tcPr>
            <w:tcW w:w="2111" w:type="dxa"/>
          </w:tcPr>
          <w:p w14:paraId="04EA2EC6" w14:textId="517CFF33" w:rsidR="00ED76BB" w:rsidRPr="00DF1B38" w:rsidRDefault="0066027D" w:rsidP="002B2FD9">
            <w:pPr>
              <w:pStyle w:val="Tabletext"/>
              <w:jc w:val="right"/>
            </w:pPr>
            <w:r>
              <w:t>-</w:t>
            </w:r>
          </w:p>
        </w:tc>
      </w:tr>
    </w:tbl>
    <w:p w14:paraId="0387C3B8" w14:textId="0CE74A0F" w:rsidR="0066027D" w:rsidRDefault="00ED76BB" w:rsidP="00ED76BB">
      <w:pPr>
        <w:pStyle w:val="Bodyaftertablefigure"/>
      </w:pPr>
      <w:r w:rsidRPr="008843F0">
        <w:t>Ideally, preoperative preparation of patients for surgery and the use of intraoperative strategies provides sufficient reserves to assist patients deal with blood loss associated with the surgery</w:t>
      </w:r>
      <w:r w:rsidR="0066027D">
        <w:t>.</w:t>
      </w:r>
      <w:r w:rsidR="0066027D" w:rsidRPr="008843F0">
        <w:t xml:space="preserve"> </w:t>
      </w:r>
      <w:r w:rsidR="0066027D">
        <w:t>This</w:t>
      </w:r>
      <w:r w:rsidRPr="008843F0">
        <w:t xml:space="preserve"> could reduce the need for </w:t>
      </w:r>
      <w:r w:rsidRPr="00DF1B38">
        <w:t>postoperative</w:t>
      </w:r>
      <w:r w:rsidRPr="008843F0">
        <w:t xml:space="preserve"> RBC transfusion.</w:t>
      </w:r>
    </w:p>
    <w:p w14:paraId="4E3D3628" w14:textId="782FB9CE" w:rsidR="0066027D" w:rsidRDefault="0066027D" w:rsidP="0066027D">
      <w:pPr>
        <w:pStyle w:val="Body"/>
      </w:pPr>
      <w:r>
        <w:t>Table 2</w:t>
      </w:r>
      <w:r w:rsidR="00933EA0">
        <w:t>7</w:t>
      </w:r>
      <w:r w:rsidR="00ED76BB" w:rsidRPr="008843F0">
        <w:t xml:space="preserve"> </w:t>
      </w:r>
      <w:r>
        <w:t>shows that</w:t>
      </w:r>
      <w:r w:rsidRPr="008843F0">
        <w:t xml:space="preserve"> </w:t>
      </w:r>
      <w:r w:rsidR="00ED76BB" w:rsidRPr="008843F0">
        <w:t xml:space="preserve">the use of transfusion in both gynaecological and orthopaedic surgery was small (35 and 12 patients respectively, 3 and 5 per cent). </w:t>
      </w:r>
    </w:p>
    <w:p w14:paraId="2580D13B" w14:textId="77777777" w:rsidR="0066027D" w:rsidRDefault="00ED76BB" w:rsidP="0066027D">
      <w:pPr>
        <w:pStyle w:val="Body"/>
      </w:pPr>
      <w:r w:rsidRPr="008843F0">
        <w:t>Transfusion was more often used in gastrointestinal and cardiothoracic</w:t>
      </w:r>
      <w:r w:rsidRPr="008843F0" w:rsidDel="009144AB">
        <w:t xml:space="preserve"> </w:t>
      </w:r>
      <w:r w:rsidRPr="008843F0">
        <w:t xml:space="preserve">surgery (46 and 23 patients, 15 and 18 per cent). </w:t>
      </w:r>
    </w:p>
    <w:p w14:paraId="56C51910" w14:textId="59F81ED4" w:rsidR="00ED76BB" w:rsidRPr="008843F0" w:rsidRDefault="00ED76BB" w:rsidP="002B2FD9">
      <w:pPr>
        <w:pStyle w:val="Body"/>
      </w:pPr>
      <w:r w:rsidRPr="008843F0">
        <w:t>The gastrointestinal group had the largest proportion of transfusions in all stages of the operative process, pre, intra and postoperative (</w:t>
      </w:r>
      <w:r w:rsidR="0066027D">
        <w:t>Table 2</w:t>
      </w:r>
      <w:r w:rsidR="00933EA0">
        <w:t>7</w:t>
      </w:r>
      <w:r w:rsidRPr="008843F0">
        <w:t xml:space="preserve">). Gynaecology and orthopaedic groups had the lowest transfusion rates, three and five per cent respectively. </w:t>
      </w:r>
    </w:p>
    <w:p w14:paraId="4FB83F0D" w14:textId="77777777" w:rsidR="0066027D" w:rsidRDefault="00ED76BB" w:rsidP="00ED76BB">
      <w:pPr>
        <w:pStyle w:val="Body"/>
      </w:pPr>
      <w:r w:rsidRPr="00DF1B38">
        <w:t>If PBM measures did not prevent the development of severe postoperative anaemia</w:t>
      </w:r>
      <w:r w:rsidR="0066027D">
        <w:t>,</w:t>
      </w:r>
      <w:r w:rsidRPr="00DF1B38">
        <w:t xml:space="preserve"> and transfusion is required for symptomatic anaemia, the adoption of a restrictive transfusion threshold (haemoglobin level: 70–80 g/L, depending on patient comorbidities) is recommended in most adult, clinically stable hospitalised patients (Munoz et.al. 2019). </w:t>
      </w:r>
    </w:p>
    <w:p w14:paraId="42B764CF" w14:textId="77777777" w:rsidR="0066027D" w:rsidRDefault="00ED76BB" w:rsidP="00ED76BB">
      <w:pPr>
        <w:pStyle w:val="Body"/>
      </w:pPr>
      <w:r w:rsidRPr="00DF1B38">
        <w:t xml:space="preserve">This is consistent with Module 2, where RBC transfusion should not be dictated by a haemoglobin ‘trigger’ </w:t>
      </w:r>
      <w:proofErr w:type="gramStart"/>
      <w:r w:rsidRPr="00DF1B38">
        <w:t>alone, but</w:t>
      </w:r>
      <w:proofErr w:type="gramEnd"/>
      <w:r w:rsidRPr="00DF1B38">
        <w:t xml:space="preserve"> should be based on assessment of the patient’s clinical status. </w:t>
      </w:r>
    </w:p>
    <w:p w14:paraId="625F5C84" w14:textId="10A33BE2" w:rsidR="00ED76BB" w:rsidRPr="00DF1B38" w:rsidRDefault="00ED76BB" w:rsidP="00ED76BB">
      <w:pPr>
        <w:pStyle w:val="Body"/>
      </w:pPr>
      <w:r w:rsidRPr="00DF1B38">
        <w:t xml:space="preserve">In the absence of acute myocardial or cerebrovascular </w:t>
      </w:r>
      <w:proofErr w:type="spellStart"/>
      <w:r w:rsidRPr="00DF1B38">
        <w:t>ischaemia</w:t>
      </w:r>
      <w:proofErr w:type="spellEnd"/>
      <w:r w:rsidRPr="00DF1B38">
        <w:t>, postoperative transfusion may be inappropriate for patients with a haemoglobin level of &gt;</w:t>
      </w:r>
      <w:r w:rsidR="0066027D">
        <w:t> </w:t>
      </w:r>
      <w:r w:rsidRPr="00DF1B38">
        <w:t>80 g/L.</w:t>
      </w:r>
    </w:p>
    <w:p w14:paraId="0646BD60" w14:textId="1EC382C2" w:rsidR="0066027D" w:rsidRDefault="00ED76BB" w:rsidP="00ED76BB">
      <w:pPr>
        <w:pStyle w:val="Body"/>
      </w:pPr>
      <w:bookmarkStart w:id="93" w:name="_Hlk69892698"/>
      <w:r w:rsidRPr="00DF1B38">
        <w:t>In the postoperative period, 64 (55 per cent) of all transfused patients had documentation of symptomatic anaemia (</w:t>
      </w:r>
      <w:r w:rsidR="0066027D">
        <w:t>Table 2</w:t>
      </w:r>
      <w:r w:rsidR="00933EA0">
        <w:t>7</w:t>
      </w:r>
      <w:r w:rsidRPr="00DF1B38">
        <w:t xml:space="preserve">). </w:t>
      </w:r>
    </w:p>
    <w:p w14:paraId="0C4CFE04" w14:textId="17F22634" w:rsidR="0066027D" w:rsidRDefault="00ED76BB" w:rsidP="00ED76BB">
      <w:pPr>
        <w:pStyle w:val="Body"/>
      </w:pPr>
      <w:r w:rsidRPr="00DF1B38">
        <w:t>In addition, 26 patients without documentation of symptomatic anaemia had a pretransfusion Hb lower than 80 g/L</w:t>
      </w:r>
      <w:r w:rsidR="0066027D">
        <w:t>.</w:t>
      </w:r>
      <w:r w:rsidR="0066027D" w:rsidRPr="00DF1B38">
        <w:t xml:space="preserve"> </w:t>
      </w:r>
      <w:r w:rsidR="0066027D">
        <w:t>T</w:t>
      </w:r>
      <w:r w:rsidR="0066027D" w:rsidRPr="00DF1B38">
        <w:t xml:space="preserve">ransfusion </w:t>
      </w:r>
      <w:r w:rsidR="0066027D">
        <w:t xml:space="preserve">was </w:t>
      </w:r>
      <w:r w:rsidRPr="00DF1B38">
        <w:t>possibly appropriate</w:t>
      </w:r>
      <w:r w:rsidR="0066027D">
        <w:t xml:space="preserve"> for these patients</w:t>
      </w:r>
      <w:r w:rsidRPr="00DF1B38">
        <w:t xml:space="preserve">. </w:t>
      </w:r>
    </w:p>
    <w:p w14:paraId="7F6D2EC2" w14:textId="5AC64EAD" w:rsidR="00ED76BB" w:rsidRPr="00DF1B38" w:rsidRDefault="00ED76BB" w:rsidP="00ED76BB">
      <w:pPr>
        <w:pStyle w:val="Body"/>
      </w:pPr>
      <w:r w:rsidRPr="00DF1B38">
        <w:t>In the remaining 26 patients</w:t>
      </w:r>
      <w:r w:rsidR="0066027D">
        <w:t>,</w:t>
      </w:r>
      <w:r w:rsidRPr="00DF1B38">
        <w:t xml:space="preserve"> a higher Hb was reported (average 88 g/L, range 8</w:t>
      </w:r>
      <w:r w:rsidR="0066027D">
        <w:t>1</w:t>
      </w:r>
      <w:r w:rsidRPr="00DF1B38">
        <w:t>–102</w:t>
      </w:r>
      <w:r w:rsidR="004448F1">
        <w:t xml:space="preserve"> </w:t>
      </w:r>
      <w:r w:rsidRPr="00DF1B38">
        <w:t>g/L)</w:t>
      </w:r>
      <w:r w:rsidR="0066027D">
        <w:t>,</w:t>
      </w:r>
      <w:r w:rsidRPr="00DF1B38">
        <w:t xml:space="preserve"> with no symptoms documented</w:t>
      </w:r>
      <w:r w:rsidR="0066027D">
        <w:t>.</w:t>
      </w:r>
      <w:r w:rsidR="0066027D" w:rsidRPr="00DF1B38">
        <w:t xml:space="preserve"> </w:t>
      </w:r>
      <w:r w:rsidR="0066027D">
        <w:t>T</w:t>
      </w:r>
      <w:r w:rsidR="0066027D" w:rsidRPr="00DF1B38">
        <w:t>herefore</w:t>
      </w:r>
      <w:r w:rsidRPr="00DF1B38">
        <w:t xml:space="preserve">, potentially some of these transfusions may have been inappropriate based on Module 2. </w:t>
      </w:r>
    </w:p>
    <w:p w14:paraId="1AA7BD84" w14:textId="7B16DE4C" w:rsidR="00ED76BB" w:rsidRPr="008843F0" w:rsidRDefault="00ED76BB" w:rsidP="002B2FD9">
      <w:pPr>
        <w:pStyle w:val="Tablecaption"/>
      </w:pPr>
      <w:bookmarkStart w:id="94" w:name="_Ref67410304"/>
      <w:bookmarkEnd w:id="93"/>
      <w:r w:rsidRPr="008843F0">
        <w:lastRenderedPageBreak/>
        <w:t xml:space="preserve">Table </w:t>
      </w:r>
      <w:bookmarkEnd w:id="94"/>
      <w:r w:rsidR="0066027D">
        <w:t>2</w:t>
      </w:r>
      <w:r w:rsidR="006F4FEC">
        <w:t>7</w:t>
      </w:r>
      <w:r w:rsidRPr="008843F0">
        <w:t xml:space="preserve">: Number of postoperative </w:t>
      </w:r>
      <w:r w:rsidRPr="008F5214">
        <w:t>red</w:t>
      </w:r>
      <w:r w:rsidRPr="008843F0">
        <w:t xml:space="preserve"> blood cell transfusions by </w:t>
      </w:r>
      <w:r w:rsidRPr="00DF1B38">
        <w:t>surgery</w:t>
      </w:r>
      <w:r w:rsidRPr="008843F0">
        <w:t xml:space="preserve"> type</w:t>
      </w:r>
    </w:p>
    <w:tbl>
      <w:tblPr>
        <w:tblStyle w:val="TableGrid5"/>
        <w:tblW w:w="9876" w:type="dxa"/>
        <w:tblLayout w:type="fixed"/>
        <w:tblLook w:val="04A0" w:firstRow="1" w:lastRow="0" w:firstColumn="1" w:lastColumn="0" w:noHBand="0" w:noVBand="1"/>
      </w:tblPr>
      <w:tblGrid>
        <w:gridCol w:w="1646"/>
        <w:gridCol w:w="1646"/>
        <w:gridCol w:w="1646"/>
        <w:gridCol w:w="1646"/>
        <w:gridCol w:w="1646"/>
        <w:gridCol w:w="1646"/>
      </w:tblGrid>
      <w:tr w:rsidR="00ED76BB" w:rsidRPr="008843F0" w14:paraId="4BAB3072" w14:textId="77777777" w:rsidTr="002B2FD9">
        <w:trPr>
          <w:trHeight w:val="1728"/>
          <w:tblHeader/>
        </w:trPr>
        <w:tc>
          <w:tcPr>
            <w:tcW w:w="1646" w:type="dxa"/>
            <w:vAlign w:val="center"/>
          </w:tcPr>
          <w:p w14:paraId="301E404E" w14:textId="77777777" w:rsidR="00ED76BB" w:rsidRPr="00DF1B38" w:rsidRDefault="00ED76BB" w:rsidP="003C2836">
            <w:pPr>
              <w:pStyle w:val="Tablecolhead"/>
            </w:pPr>
            <w:r w:rsidRPr="00DF1B38">
              <w:t>Surgery</w:t>
            </w:r>
          </w:p>
        </w:tc>
        <w:tc>
          <w:tcPr>
            <w:tcW w:w="1646" w:type="dxa"/>
            <w:vAlign w:val="center"/>
          </w:tcPr>
          <w:p w14:paraId="1395B187" w14:textId="6E54F99E" w:rsidR="00ED76BB" w:rsidRPr="00DF1B38" w:rsidRDefault="00ED76BB" w:rsidP="003C2836">
            <w:pPr>
              <w:pStyle w:val="Tablecolhead"/>
            </w:pPr>
            <w:r w:rsidRPr="00DF1B38">
              <w:t>Number of patients receiving RBC transfusion post</w:t>
            </w:r>
            <w:r w:rsidR="0066027D">
              <w:t>-</w:t>
            </w:r>
            <w:r w:rsidRPr="00DF1B38">
              <w:t>operatively (%)</w:t>
            </w:r>
          </w:p>
        </w:tc>
        <w:tc>
          <w:tcPr>
            <w:tcW w:w="1646" w:type="dxa"/>
          </w:tcPr>
          <w:p w14:paraId="70C83C91" w14:textId="77777777" w:rsidR="00ED76BB" w:rsidRPr="00DF1B38" w:rsidRDefault="00ED76BB" w:rsidP="003C2836">
            <w:pPr>
              <w:pStyle w:val="Tablecolhead"/>
            </w:pPr>
            <w:r w:rsidRPr="00DF1B38">
              <w:t>Units transfused</w:t>
            </w:r>
            <w:r w:rsidRPr="00DF1B38">
              <w:br/>
              <w:t>average (range)</w:t>
            </w:r>
          </w:p>
        </w:tc>
        <w:tc>
          <w:tcPr>
            <w:tcW w:w="1646" w:type="dxa"/>
          </w:tcPr>
          <w:p w14:paraId="4CC86D2D" w14:textId="77777777" w:rsidR="00ED76BB" w:rsidRPr="00DF1B38" w:rsidRDefault="00ED76BB" w:rsidP="003C2836">
            <w:pPr>
              <w:pStyle w:val="Tablecolhead"/>
            </w:pPr>
            <w:r w:rsidRPr="00DF1B38">
              <w:t>Hb (g/L) prior to transfusion</w:t>
            </w:r>
            <w:r w:rsidRPr="00DF1B38">
              <w:br/>
              <w:t>average (range)</w:t>
            </w:r>
          </w:p>
        </w:tc>
        <w:tc>
          <w:tcPr>
            <w:tcW w:w="1646" w:type="dxa"/>
          </w:tcPr>
          <w:p w14:paraId="401143C5" w14:textId="7F181823" w:rsidR="00ED76BB" w:rsidRPr="00DF1B38" w:rsidRDefault="00ED76BB" w:rsidP="003C2836">
            <w:pPr>
              <w:pStyle w:val="Tablecolhead"/>
            </w:pPr>
            <w:r w:rsidRPr="00DF1B38">
              <w:t xml:space="preserve">Number of </w:t>
            </w:r>
            <w:r w:rsidR="004448F1">
              <w:t xml:space="preserve">patients with </w:t>
            </w:r>
            <w:r w:rsidRPr="00DF1B38">
              <w:t>documented symptomatic anaemia (%)</w:t>
            </w:r>
          </w:p>
        </w:tc>
        <w:tc>
          <w:tcPr>
            <w:tcW w:w="1646" w:type="dxa"/>
          </w:tcPr>
          <w:p w14:paraId="7161B009" w14:textId="380D7F7C" w:rsidR="00ED76BB" w:rsidRPr="00DF1B38" w:rsidRDefault="00ED76BB" w:rsidP="003C2836">
            <w:pPr>
              <w:pStyle w:val="Tablecolhead"/>
            </w:pPr>
            <w:r w:rsidRPr="00DF1B38">
              <w:t>Number of patients</w:t>
            </w:r>
            <w:r w:rsidR="0066027D">
              <w:rPr>
                <w:rStyle w:val="FootnoteReference"/>
              </w:rPr>
              <w:footnoteReference w:id="19"/>
            </w:r>
            <w:r w:rsidRPr="00DF1B38">
              <w:t xml:space="preserve"> transfused post</w:t>
            </w:r>
            <w:r w:rsidR="0066027D">
              <w:t>-</w:t>
            </w:r>
            <w:r w:rsidRPr="00DF1B38">
              <w:t xml:space="preserve">operatively </w:t>
            </w:r>
            <w:r w:rsidR="0066027D">
              <w:t>who</w:t>
            </w:r>
            <w:r w:rsidR="0066027D" w:rsidRPr="00DF1B38">
              <w:t xml:space="preserve"> </w:t>
            </w:r>
            <w:r w:rsidRPr="00DF1B38">
              <w:t>were anaemic on the DoS (%)</w:t>
            </w:r>
          </w:p>
        </w:tc>
      </w:tr>
      <w:tr w:rsidR="00ED76BB" w:rsidRPr="008843F0" w14:paraId="360848A5" w14:textId="77777777" w:rsidTr="002B2FD9">
        <w:trPr>
          <w:trHeight w:val="365"/>
        </w:trPr>
        <w:tc>
          <w:tcPr>
            <w:tcW w:w="1646" w:type="dxa"/>
          </w:tcPr>
          <w:p w14:paraId="016E63E7" w14:textId="77777777" w:rsidR="00ED76BB" w:rsidRPr="008843F0" w:rsidRDefault="00ED76BB" w:rsidP="003C2836">
            <w:pPr>
              <w:pStyle w:val="Tabletext"/>
              <w:rPr>
                <w:lang w:eastAsia="en-AU"/>
              </w:rPr>
            </w:pPr>
            <w:r w:rsidRPr="008843F0">
              <w:rPr>
                <w:lang w:eastAsia="en-AU"/>
              </w:rPr>
              <w:t>Orthopaedics</w:t>
            </w:r>
          </w:p>
        </w:tc>
        <w:tc>
          <w:tcPr>
            <w:tcW w:w="1646" w:type="dxa"/>
          </w:tcPr>
          <w:p w14:paraId="02FB4A45" w14:textId="77777777" w:rsidR="00ED76BB" w:rsidRPr="008843F0" w:rsidRDefault="00ED76BB" w:rsidP="002B2FD9">
            <w:pPr>
              <w:pStyle w:val="Tabletext"/>
              <w:jc w:val="right"/>
              <w:rPr>
                <w:lang w:eastAsia="en-AU"/>
              </w:rPr>
            </w:pPr>
            <w:r w:rsidRPr="008843F0">
              <w:rPr>
                <w:lang w:eastAsia="en-AU"/>
              </w:rPr>
              <w:t>35 (5%)</w:t>
            </w:r>
          </w:p>
        </w:tc>
        <w:tc>
          <w:tcPr>
            <w:tcW w:w="1646" w:type="dxa"/>
          </w:tcPr>
          <w:p w14:paraId="7D5CF921" w14:textId="578942D2" w:rsidR="00ED76BB" w:rsidRPr="008843F0" w:rsidRDefault="00ED76BB" w:rsidP="002B2FD9">
            <w:pPr>
              <w:pStyle w:val="Tabletext"/>
              <w:jc w:val="right"/>
            </w:pPr>
            <w:r w:rsidRPr="008843F0">
              <w:t>1.6 (1–4)</w:t>
            </w:r>
          </w:p>
        </w:tc>
        <w:tc>
          <w:tcPr>
            <w:tcW w:w="1646" w:type="dxa"/>
          </w:tcPr>
          <w:p w14:paraId="72CE57F0" w14:textId="5E9C8B3A" w:rsidR="00ED76BB" w:rsidRPr="008843F0" w:rsidRDefault="00ED76BB" w:rsidP="002B2FD9">
            <w:pPr>
              <w:pStyle w:val="Tabletext"/>
              <w:jc w:val="right"/>
            </w:pPr>
            <w:r w:rsidRPr="008843F0">
              <w:t>79 (68–97)</w:t>
            </w:r>
          </w:p>
        </w:tc>
        <w:tc>
          <w:tcPr>
            <w:tcW w:w="1646" w:type="dxa"/>
          </w:tcPr>
          <w:p w14:paraId="711087E6" w14:textId="77777777" w:rsidR="00ED76BB" w:rsidRPr="008843F0" w:rsidRDefault="00ED76BB" w:rsidP="002B2FD9">
            <w:pPr>
              <w:pStyle w:val="Tabletext"/>
              <w:jc w:val="right"/>
            </w:pPr>
            <w:r w:rsidRPr="008843F0">
              <w:t>22 (63%)</w:t>
            </w:r>
          </w:p>
        </w:tc>
        <w:tc>
          <w:tcPr>
            <w:tcW w:w="1646" w:type="dxa"/>
          </w:tcPr>
          <w:p w14:paraId="223A6A2F" w14:textId="77777777" w:rsidR="00ED76BB" w:rsidRPr="008843F0" w:rsidRDefault="00ED76BB" w:rsidP="002B2FD9">
            <w:pPr>
              <w:pStyle w:val="Tabletext"/>
              <w:jc w:val="right"/>
            </w:pPr>
            <w:r w:rsidRPr="008843F0">
              <w:t>8/12 (67%)</w:t>
            </w:r>
          </w:p>
        </w:tc>
      </w:tr>
      <w:tr w:rsidR="00ED76BB" w:rsidRPr="008843F0" w14:paraId="6149A6E8" w14:textId="77777777" w:rsidTr="002B2FD9">
        <w:trPr>
          <w:trHeight w:val="365"/>
        </w:trPr>
        <w:tc>
          <w:tcPr>
            <w:tcW w:w="1646" w:type="dxa"/>
          </w:tcPr>
          <w:p w14:paraId="76D7A4ED" w14:textId="77777777" w:rsidR="00ED76BB" w:rsidRPr="008843F0" w:rsidRDefault="00ED76BB" w:rsidP="003C2836">
            <w:pPr>
              <w:pStyle w:val="Tabletext"/>
            </w:pPr>
            <w:r w:rsidRPr="008843F0">
              <w:rPr>
                <w:lang w:eastAsia="en-AU"/>
              </w:rPr>
              <w:t>Gynaecology</w:t>
            </w:r>
          </w:p>
        </w:tc>
        <w:tc>
          <w:tcPr>
            <w:tcW w:w="1646" w:type="dxa"/>
          </w:tcPr>
          <w:p w14:paraId="49DF00C6" w14:textId="77777777" w:rsidR="00ED76BB" w:rsidRPr="008843F0" w:rsidRDefault="00ED76BB" w:rsidP="002B2FD9">
            <w:pPr>
              <w:pStyle w:val="Tabletext"/>
              <w:jc w:val="right"/>
            </w:pPr>
            <w:r w:rsidRPr="008843F0">
              <w:rPr>
                <w:lang w:eastAsia="en-AU"/>
              </w:rPr>
              <w:t>12 (3%)</w:t>
            </w:r>
          </w:p>
        </w:tc>
        <w:tc>
          <w:tcPr>
            <w:tcW w:w="1646" w:type="dxa"/>
          </w:tcPr>
          <w:p w14:paraId="0B2D7C55" w14:textId="351E0048" w:rsidR="00ED76BB" w:rsidRPr="008843F0" w:rsidRDefault="00ED76BB" w:rsidP="002B2FD9">
            <w:pPr>
              <w:pStyle w:val="Tabletext"/>
              <w:jc w:val="right"/>
            </w:pPr>
            <w:r w:rsidRPr="008843F0">
              <w:t>2.0 (1–5)</w:t>
            </w:r>
          </w:p>
        </w:tc>
        <w:tc>
          <w:tcPr>
            <w:tcW w:w="1646" w:type="dxa"/>
          </w:tcPr>
          <w:p w14:paraId="6B077888" w14:textId="5046F6C6" w:rsidR="00ED76BB" w:rsidRPr="008843F0" w:rsidRDefault="00ED76BB" w:rsidP="002B2FD9">
            <w:pPr>
              <w:pStyle w:val="Tabletext"/>
              <w:jc w:val="right"/>
            </w:pPr>
            <w:r w:rsidRPr="008843F0">
              <w:t>79 (64–93)</w:t>
            </w:r>
          </w:p>
        </w:tc>
        <w:tc>
          <w:tcPr>
            <w:tcW w:w="1646" w:type="dxa"/>
          </w:tcPr>
          <w:p w14:paraId="18A7E754" w14:textId="77777777" w:rsidR="00ED76BB" w:rsidRPr="008843F0" w:rsidRDefault="00ED76BB" w:rsidP="002B2FD9">
            <w:pPr>
              <w:pStyle w:val="Tabletext"/>
              <w:jc w:val="right"/>
            </w:pPr>
            <w:r w:rsidRPr="008843F0">
              <w:t>8 (72%)</w:t>
            </w:r>
          </w:p>
        </w:tc>
        <w:tc>
          <w:tcPr>
            <w:tcW w:w="1646" w:type="dxa"/>
          </w:tcPr>
          <w:p w14:paraId="7C6246F9" w14:textId="77777777" w:rsidR="00ED76BB" w:rsidRPr="008843F0" w:rsidRDefault="00ED76BB" w:rsidP="002B2FD9">
            <w:pPr>
              <w:pStyle w:val="Tabletext"/>
              <w:jc w:val="right"/>
            </w:pPr>
            <w:r w:rsidRPr="008843F0">
              <w:t>8/11 (72%)</w:t>
            </w:r>
          </w:p>
        </w:tc>
      </w:tr>
      <w:tr w:rsidR="00ED76BB" w:rsidRPr="008843F0" w14:paraId="0013581C" w14:textId="77777777" w:rsidTr="002B2FD9">
        <w:trPr>
          <w:trHeight w:val="592"/>
        </w:trPr>
        <w:tc>
          <w:tcPr>
            <w:tcW w:w="1646" w:type="dxa"/>
          </w:tcPr>
          <w:p w14:paraId="6194F436" w14:textId="77777777" w:rsidR="00ED76BB" w:rsidRPr="008843F0" w:rsidRDefault="00ED76BB" w:rsidP="003C2836">
            <w:pPr>
              <w:pStyle w:val="Tabletext"/>
            </w:pPr>
            <w:r w:rsidRPr="008843F0">
              <w:rPr>
                <w:lang w:eastAsia="en-AU"/>
              </w:rPr>
              <w:t>Major gastrointestinal</w:t>
            </w:r>
          </w:p>
        </w:tc>
        <w:tc>
          <w:tcPr>
            <w:tcW w:w="1646" w:type="dxa"/>
          </w:tcPr>
          <w:p w14:paraId="2A69A4F8" w14:textId="77777777" w:rsidR="00ED76BB" w:rsidRPr="008843F0" w:rsidRDefault="00ED76BB" w:rsidP="002B2FD9">
            <w:pPr>
              <w:pStyle w:val="Tabletext"/>
              <w:jc w:val="right"/>
            </w:pPr>
            <w:r w:rsidRPr="008843F0">
              <w:rPr>
                <w:lang w:eastAsia="en-AU"/>
              </w:rPr>
              <w:t>46 (15%)</w:t>
            </w:r>
          </w:p>
        </w:tc>
        <w:tc>
          <w:tcPr>
            <w:tcW w:w="1646" w:type="dxa"/>
          </w:tcPr>
          <w:p w14:paraId="31EA8068" w14:textId="3E1A54F7" w:rsidR="00ED76BB" w:rsidRPr="008843F0" w:rsidRDefault="00ED76BB" w:rsidP="002B2FD9">
            <w:pPr>
              <w:pStyle w:val="Tabletext"/>
              <w:jc w:val="right"/>
            </w:pPr>
            <w:r w:rsidRPr="008843F0">
              <w:t>1.9 (1–4)</w:t>
            </w:r>
          </w:p>
        </w:tc>
        <w:tc>
          <w:tcPr>
            <w:tcW w:w="1646" w:type="dxa"/>
          </w:tcPr>
          <w:p w14:paraId="0C4CE61C" w14:textId="3F4B4BE8" w:rsidR="00ED76BB" w:rsidRPr="008843F0" w:rsidRDefault="00ED76BB" w:rsidP="002B2FD9">
            <w:pPr>
              <w:pStyle w:val="Tabletext"/>
              <w:jc w:val="right"/>
            </w:pPr>
            <w:r w:rsidRPr="008843F0">
              <w:t>78 (50–131)</w:t>
            </w:r>
          </w:p>
        </w:tc>
        <w:tc>
          <w:tcPr>
            <w:tcW w:w="1646" w:type="dxa"/>
          </w:tcPr>
          <w:p w14:paraId="7D2468DB" w14:textId="77777777" w:rsidR="00ED76BB" w:rsidRPr="008843F0" w:rsidRDefault="00ED76BB" w:rsidP="002B2FD9">
            <w:pPr>
              <w:pStyle w:val="Tabletext"/>
              <w:jc w:val="right"/>
            </w:pPr>
            <w:r w:rsidRPr="008843F0">
              <w:t>23 (53%)</w:t>
            </w:r>
          </w:p>
        </w:tc>
        <w:tc>
          <w:tcPr>
            <w:tcW w:w="1646" w:type="dxa"/>
          </w:tcPr>
          <w:p w14:paraId="78D78B99" w14:textId="77777777" w:rsidR="00ED76BB" w:rsidRPr="008843F0" w:rsidRDefault="00ED76BB" w:rsidP="002B2FD9">
            <w:pPr>
              <w:pStyle w:val="Tabletext"/>
              <w:jc w:val="right"/>
            </w:pPr>
            <w:r w:rsidRPr="008843F0">
              <w:t>24/31 (78%)</w:t>
            </w:r>
          </w:p>
        </w:tc>
      </w:tr>
      <w:tr w:rsidR="00ED76BB" w:rsidRPr="008843F0" w14:paraId="4DED7C4A" w14:textId="77777777" w:rsidTr="002B2FD9">
        <w:trPr>
          <w:trHeight w:val="365"/>
        </w:trPr>
        <w:tc>
          <w:tcPr>
            <w:tcW w:w="1646" w:type="dxa"/>
          </w:tcPr>
          <w:p w14:paraId="0127D077" w14:textId="77777777" w:rsidR="00ED76BB" w:rsidRPr="008843F0" w:rsidRDefault="00ED76BB" w:rsidP="003C2836">
            <w:pPr>
              <w:pStyle w:val="Tabletext"/>
            </w:pPr>
            <w:r w:rsidRPr="008843F0">
              <w:rPr>
                <w:lang w:eastAsia="en-AU"/>
              </w:rPr>
              <w:t>Cardiothoracic</w:t>
            </w:r>
          </w:p>
        </w:tc>
        <w:tc>
          <w:tcPr>
            <w:tcW w:w="1646" w:type="dxa"/>
          </w:tcPr>
          <w:p w14:paraId="6F7511BD" w14:textId="77777777" w:rsidR="00ED76BB" w:rsidRPr="008843F0" w:rsidRDefault="00ED76BB" w:rsidP="002B2FD9">
            <w:pPr>
              <w:pStyle w:val="Tabletext"/>
              <w:jc w:val="right"/>
            </w:pPr>
            <w:r w:rsidRPr="008843F0">
              <w:rPr>
                <w:lang w:eastAsia="en-AU"/>
              </w:rPr>
              <w:t>23 (18%)</w:t>
            </w:r>
          </w:p>
        </w:tc>
        <w:tc>
          <w:tcPr>
            <w:tcW w:w="1646" w:type="dxa"/>
          </w:tcPr>
          <w:p w14:paraId="7936631B" w14:textId="46E4E740" w:rsidR="00ED76BB" w:rsidRPr="008843F0" w:rsidRDefault="00ED76BB" w:rsidP="002B2FD9">
            <w:pPr>
              <w:pStyle w:val="Tabletext"/>
              <w:jc w:val="right"/>
            </w:pPr>
            <w:r w:rsidRPr="008843F0">
              <w:t>1.8 (1–5)</w:t>
            </w:r>
          </w:p>
        </w:tc>
        <w:tc>
          <w:tcPr>
            <w:tcW w:w="1646" w:type="dxa"/>
          </w:tcPr>
          <w:p w14:paraId="3684F12E" w14:textId="46368791" w:rsidR="00ED76BB" w:rsidRPr="008843F0" w:rsidRDefault="00ED76BB" w:rsidP="002B2FD9">
            <w:pPr>
              <w:pStyle w:val="Tabletext"/>
              <w:jc w:val="right"/>
            </w:pPr>
            <w:r w:rsidRPr="008843F0">
              <w:t>76 (66–85)</w:t>
            </w:r>
          </w:p>
        </w:tc>
        <w:tc>
          <w:tcPr>
            <w:tcW w:w="1646" w:type="dxa"/>
          </w:tcPr>
          <w:p w14:paraId="25253A9E" w14:textId="77777777" w:rsidR="00ED76BB" w:rsidRPr="008843F0" w:rsidRDefault="00ED76BB" w:rsidP="002B2FD9">
            <w:pPr>
              <w:pStyle w:val="Tabletext"/>
              <w:jc w:val="right"/>
            </w:pPr>
            <w:r w:rsidRPr="008843F0">
              <w:t>11 (48%)</w:t>
            </w:r>
          </w:p>
        </w:tc>
        <w:tc>
          <w:tcPr>
            <w:tcW w:w="1646" w:type="dxa"/>
          </w:tcPr>
          <w:p w14:paraId="20468F20" w14:textId="77777777" w:rsidR="00ED76BB" w:rsidRPr="008843F0" w:rsidRDefault="00ED76BB" w:rsidP="002B2FD9">
            <w:pPr>
              <w:pStyle w:val="Tabletext"/>
              <w:jc w:val="right"/>
            </w:pPr>
            <w:r w:rsidRPr="008843F0">
              <w:t>7/15 (47%)</w:t>
            </w:r>
          </w:p>
        </w:tc>
      </w:tr>
      <w:tr w:rsidR="00ED76BB" w:rsidRPr="008843F0" w14:paraId="1BF46D28" w14:textId="77777777" w:rsidTr="002B2FD9">
        <w:trPr>
          <w:trHeight w:val="592"/>
        </w:trPr>
        <w:tc>
          <w:tcPr>
            <w:tcW w:w="1646" w:type="dxa"/>
          </w:tcPr>
          <w:p w14:paraId="2AC60F88" w14:textId="77777777" w:rsidR="00ED76BB" w:rsidRPr="008843F0" w:rsidRDefault="00ED76BB" w:rsidP="003C2836">
            <w:pPr>
              <w:pStyle w:val="Tabletext"/>
              <w:rPr>
                <w:b/>
                <w:lang w:eastAsia="en-AU"/>
              </w:rPr>
            </w:pPr>
            <w:r w:rsidRPr="008843F0">
              <w:rPr>
                <w:b/>
                <w:lang w:eastAsia="en-AU"/>
              </w:rPr>
              <w:t>Total (all surgical types)</w:t>
            </w:r>
          </w:p>
        </w:tc>
        <w:tc>
          <w:tcPr>
            <w:tcW w:w="1646" w:type="dxa"/>
          </w:tcPr>
          <w:p w14:paraId="0B4E966C" w14:textId="77777777" w:rsidR="00ED76BB" w:rsidRPr="008843F0" w:rsidRDefault="00ED76BB" w:rsidP="002B2FD9">
            <w:pPr>
              <w:pStyle w:val="Tabletext"/>
              <w:jc w:val="right"/>
              <w:rPr>
                <w:b/>
                <w:lang w:eastAsia="en-AU"/>
              </w:rPr>
            </w:pPr>
            <w:r w:rsidRPr="008843F0">
              <w:rPr>
                <w:b/>
                <w:lang w:eastAsia="en-AU"/>
              </w:rPr>
              <w:t>116 (7%)</w:t>
            </w:r>
          </w:p>
        </w:tc>
        <w:tc>
          <w:tcPr>
            <w:tcW w:w="1646" w:type="dxa"/>
          </w:tcPr>
          <w:p w14:paraId="60ED61AF" w14:textId="317CFB26" w:rsidR="00ED76BB" w:rsidRPr="008843F0" w:rsidRDefault="00ED76BB" w:rsidP="002B2FD9">
            <w:pPr>
              <w:pStyle w:val="Tabletext"/>
              <w:jc w:val="right"/>
              <w:rPr>
                <w:b/>
              </w:rPr>
            </w:pPr>
            <w:r w:rsidRPr="008843F0">
              <w:rPr>
                <w:b/>
              </w:rPr>
              <w:t>1.8 (1–5)</w:t>
            </w:r>
          </w:p>
        </w:tc>
        <w:tc>
          <w:tcPr>
            <w:tcW w:w="1646" w:type="dxa"/>
          </w:tcPr>
          <w:p w14:paraId="0DC9561C" w14:textId="13288954" w:rsidR="00ED76BB" w:rsidRPr="008843F0" w:rsidRDefault="00ED76BB" w:rsidP="002B2FD9">
            <w:pPr>
              <w:pStyle w:val="Tabletext"/>
              <w:jc w:val="right"/>
              <w:rPr>
                <w:b/>
              </w:rPr>
            </w:pPr>
            <w:r w:rsidRPr="008843F0">
              <w:rPr>
                <w:b/>
              </w:rPr>
              <w:t>78 (50–131)</w:t>
            </w:r>
          </w:p>
        </w:tc>
        <w:tc>
          <w:tcPr>
            <w:tcW w:w="1646" w:type="dxa"/>
          </w:tcPr>
          <w:p w14:paraId="7FF93A59" w14:textId="77777777" w:rsidR="00ED76BB" w:rsidRPr="008843F0" w:rsidRDefault="00ED76BB" w:rsidP="002B2FD9">
            <w:pPr>
              <w:pStyle w:val="Tabletext"/>
              <w:jc w:val="right"/>
              <w:rPr>
                <w:b/>
              </w:rPr>
            </w:pPr>
            <w:r w:rsidRPr="008843F0">
              <w:rPr>
                <w:b/>
              </w:rPr>
              <w:t>64 (55%)</w:t>
            </w:r>
          </w:p>
        </w:tc>
        <w:tc>
          <w:tcPr>
            <w:tcW w:w="1646" w:type="dxa"/>
          </w:tcPr>
          <w:p w14:paraId="174061CB" w14:textId="77777777" w:rsidR="00ED76BB" w:rsidRPr="008843F0" w:rsidRDefault="00ED76BB" w:rsidP="002B2FD9">
            <w:pPr>
              <w:pStyle w:val="Tabletext"/>
              <w:jc w:val="right"/>
              <w:rPr>
                <w:b/>
              </w:rPr>
            </w:pPr>
            <w:r w:rsidRPr="008843F0">
              <w:rPr>
                <w:b/>
              </w:rPr>
              <w:t>47/69 (68%)</w:t>
            </w:r>
          </w:p>
        </w:tc>
      </w:tr>
    </w:tbl>
    <w:p w14:paraId="09AB9923" w14:textId="0A219E28" w:rsidR="008F5BD6" w:rsidRDefault="00ED76BB" w:rsidP="00ED76BB">
      <w:pPr>
        <w:pStyle w:val="Bodyaftertablefigure"/>
      </w:pPr>
      <w:bookmarkStart w:id="95" w:name="_Hlk66787757"/>
      <w:r w:rsidRPr="008843F0">
        <w:t xml:space="preserve">Throughout the entire surgical period (pre, </w:t>
      </w:r>
      <w:r w:rsidRPr="00DF1B38">
        <w:t>intra</w:t>
      </w:r>
      <w:r w:rsidRPr="008843F0">
        <w:t xml:space="preserve"> and postoperative)</w:t>
      </w:r>
      <w:r w:rsidR="008F5BD6">
        <w:t>,</w:t>
      </w:r>
      <w:r w:rsidRPr="008843F0">
        <w:t xml:space="preserve"> 135 individual patients (9 per cent of all patients) received a transfusion, some on more than one occasion (Table </w:t>
      </w:r>
      <w:r w:rsidR="008F5BD6">
        <w:t>2</w:t>
      </w:r>
      <w:r w:rsidR="00933EA0">
        <w:t>8</w:t>
      </w:r>
      <w:r w:rsidRPr="008843F0">
        <w:t xml:space="preserve">). </w:t>
      </w:r>
    </w:p>
    <w:p w14:paraId="09211562" w14:textId="46BD17EF" w:rsidR="008F5BD6" w:rsidRDefault="00ED76BB" w:rsidP="008F5BD6">
      <w:pPr>
        <w:pStyle w:val="Body"/>
      </w:pPr>
      <w:r w:rsidRPr="008843F0">
        <w:t>Considering 248</w:t>
      </w:r>
      <w:r w:rsidRPr="008843F0" w:rsidDel="002B5305">
        <w:t xml:space="preserve"> </w:t>
      </w:r>
      <w:r w:rsidRPr="008843F0">
        <w:t>(20 per cent) patients were found to be anaemic or iron deficient at the preoperative assessment</w:t>
      </w:r>
      <w:r w:rsidR="008F5BD6">
        <w:t>,</w:t>
      </w:r>
      <w:r w:rsidRPr="008843F0">
        <w:t xml:space="preserve"> with only 96 (8 per cent) receiving treatment and 188 (12 per cent) found to still be anaemic on DoS, the low transfusion rate probably has less to do with good perioperative management and more to do with tolerance of anaemia. </w:t>
      </w:r>
    </w:p>
    <w:p w14:paraId="767785EA" w14:textId="45B0F623" w:rsidR="00ED76BB" w:rsidRPr="008843F0" w:rsidRDefault="00ED76BB" w:rsidP="002B2FD9">
      <w:pPr>
        <w:pStyle w:val="Body"/>
      </w:pPr>
      <w:r w:rsidRPr="008843F0">
        <w:t>Anaemia should be identified and managed in the preoperative phase rather than tolerated. In the postoperative phase</w:t>
      </w:r>
      <w:r w:rsidR="008F5BD6">
        <w:t>,</w:t>
      </w:r>
      <w:r w:rsidRPr="008843F0">
        <w:t xml:space="preserve"> tolerance of anaemia may be appropriate depending on the individual patient’s condition. </w:t>
      </w:r>
    </w:p>
    <w:p w14:paraId="62595E89" w14:textId="5F4BF687" w:rsidR="00ED76BB" w:rsidRPr="008843F0" w:rsidRDefault="00ED76BB" w:rsidP="002B2FD9">
      <w:pPr>
        <w:pStyle w:val="Tablecaption"/>
      </w:pPr>
      <w:bookmarkStart w:id="96" w:name="_Ref67410348"/>
      <w:r w:rsidRPr="008843F0">
        <w:t xml:space="preserve">Table </w:t>
      </w:r>
      <w:bookmarkEnd w:id="96"/>
      <w:r w:rsidR="008F5BD6">
        <w:t>2</w:t>
      </w:r>
      <w:r w:rsidR="006F4FEC">
        <w:t>8</w:t>
      </w:r>
      <w:r w:rsidRPr="008843F0">
        <w:t xml:space="preserve">: Transfusion at all stages by </w:t>
      </w:r>
      <w:r w:rsidRPr="00DF1B38">
        <w:t>surgery</w:t>
      </w:r>
      <w:r w:rsidRPr="008843F0">
        <w:t xml:space="preserve"> type</w:t>
      </w:r>
    </w:p>
    <w:tbl>
      <w:tblPr>
        <w:tblStyle w:val="TableGrid5"/>
        <w:tblW w:w="0" w:type="auto"/>
        <w:tblLook w:val="04A0" w:firstRow="1" w:lastRow="0" w:firstColumn="1" w:lastColumn="0" w:noHBand="0" w:noVBand="1"/>
      </w:tblPr>
      <w:tblGrid>
        <w:gridCol w:w="1979"/>
        <w:gridCol w:w="1515"/>
        <w:gridCol w:w="1319"/>
        <w:gridCol w:w="1370"/>
        <w:gridCol w:w="1370"/>
        <w:gridCol w:w="1399"/>
      </w:tblGrid>
      <w:tr w:rsidR="00ED76BB" w:rsidRPr="008843F0" w14:paraId="59BD4CE9" w14:textId="77777777" w:rsidTr="002B2FD9">
        <w:trPr>
          <w:tblHeader/>
        </w:trPr>
        <w:tc>
          <w:tcPr>
            <w:tcW w:w="1979" w:type="dxa"/>
          </w:tcPr>
          <w:bookmarkEnd w:id="95"/>
          <w:p w14:paraId="198CA9C7" w14:textId="77777777" w:rsidR="00ED76BB" w:rsidRPr="00DF1B38" w:rsidRDefault="00ED76BB" w:rsidP="003C2836">
            <w:pPr>
              <w:pStyle w:val="Tablecolhead"/>
            </w:pPr>
            <w:r w:rsidRPr="00DF1B38">
              <w:t>Surgery type</w:t>
            </w:r>
          </w:p>
        </w:tc>
        <w:tc>
          <w:tcPr>
            <w:tcW w:w="1515" w:type="dxa"/>
          </w:tcPr>
          <w:p w14:paraId="445A025F" w14:textId="77777777" w:rsidR="00ED76BB" w:rsidRPr="00DF1B38" w:rsidRDefault="00ED76BB" w:rsidP="003C2836">
            <w:pPr>
              <w:pStyle w:val="Tablecolhead"/>
            </w:pPr>
            <w:r w:rsidRPr="00DF1B38">
              <w:t>Number of all patients</w:t>
            </w:r>
          </w:p>
        </w:tc>
        <w:tc>
          <w:tcPr>
            <w:tcW w:w="1319" w:type="dxa"/>
          </w:tcPr>
          <w:p w14:paraId="4C19D080" w14:textId="77777777" w:rsidR="00ED76BB" w:rsidRPr="00DF1B38" w:rsidRDefault="00ED76BB" w:rsidP="003C2836">
            <w:pPr>
              <w:pStyle w:val="Tablecolhead"/>
            </w:pPr>
            <w:r w:rsidRPr="00DF1B38">
              <w:t>Pre op (%)</w:t>
            </w:r>
          </w:p>
        </w:tc>
        <w:tc>
          <w:tcPr>
            <w:tcW w:w="1370" w:type="dxa"/>
          </w:tcPr>
          <w:p w14:paraId="15609E1D" w14:textId="77777777" w:rsidR="00ED76BB" w:rsidRPr="00DF1B38" w:rsidRDefault="00ED76BB" w:rsidP="003C2836">
            <w:pPr>
              <w:pStyle w:val="Tablecolhead"/>
            </w:pPr>
            <w:r w:rsidRPr="00DF1B38">
              <w:t>Intra op (%)</w:t>
            </w:r>
          </w:p>
        </w:tc>
        <w:tc>
          <w:tcPr>
            <w:tcW w:w="1370" w:type="dxa"/>
          </w:tcPr>
          <w:p w14:paraId="369E6952" w14:textId="77777777" w:rsidR="00ED76BB" w:rsidRPr="00DF1B38" w:rsidRDefault="00ED76BB" w:rsidP="003C2836">
            <w:pPr>
              <w:pStyle w:val="Tablecolhead"/>
            </w:pPr>
            <w:r w:rsidRPr="00DF1B38">
              <w:t>Post op (%)</w:t>
            </w:r>
          </w:p>
        </w:tc>
        <w:tc>
          <w:tcPr>
            <w:tcW w:w="1399" w:type="dxa"/>
          </w:tcPr>
          <w:p w14:paraId="763B3DC3" w14:textId="77777777" w:rsidR="00ED76BB" w:rsidRPr="00DF1B38" w:rsidRDefault="00ED76BB" w:rsidP="003C2836">
            <w:pPr>
              <w:pStyle w:val="Tablecolhead"/>
            </w:pPr>
            <w:r w:rsidRPr="00DF1B38">
              <w:t>Total (%)</w:t>
            </w:r>
          </w:p>
        </w:tc>
      </w:tr>
      <w:tr w:rsidR="00ED76BB" w:rsidRPr="008843F0" w14:paraId="5B435F53" w14:textId="77777777" w:rsidTr="002B2FD9">
        <w:tc>
          <w:tcPr>
            <w:tcW w:w="1979" w:type="dxa"/>
          </w:tcPr>
          <w:p w14:paraId="4E3C7636" w14:textId="77777777" w:rsidR="00ED76BB" w:rsidRPr="00DF1B38" w:rsidRDefault="00ED76BB" w:rsidP="003C2836">
            <w:pPr>
              <w:pStyle w:val="Tabletext"/>
            </w:pPr>
            <w:r w:rsidRPr="00DF1B38">
              <w:t>Orthopaedics</w:t>
            </w:r>
          </w:p>
        </w:tc>
        <w:tc>
          <w:tcPr>
            <w:tcW w:w="1515" w:type="dxa"/>
          </w:tcPr>
          <w:p w14:paraId="008FE138" w14:textId="77777777" w:rsidR="00ED76BB" w:rsidRPr="00DF1B38" w:rsidRDefault="00ED76BB" w:rsidP="002B2FD9">
            <w:pPr>
              <w:pStyle w:val="Tabletext"/>
              <w:jc w:val="right"/>
            </w:pPr>
            <w:r w:rsidRPr="00DF1B38">
              <w:t>772</w:t>
            </w:r>
          </w:p>
        </w:tc>
        <w:tc>
          <w:tcPr>
            <w:tcW w:w="1319" w:type="dxa"/>
          </w:tcPr>
          <w:p w14:paraId="2ABFCE87" w14:textId="5A62E755" w:rsidR="00ED76BB" w:rsidRPr="00DF1B38" w:rsidRDefault="00ED76BB" w:rsidP="002B2FD9">
            <w:pPr>
              <w:pStyle w:val="Tabletext"/>
              <w:jc w:val="right"/>
            </w:pPr>
            <w:r w:rsidRPr="00DF1B38">
              <w:t>1 (&lt;</w:t>
            </w:r>
            <w:r w:rsidR="008F5BD6">
              <w:t> </w:t>
            </w:r>
            <w:r w:rsidRPr="00DF1B38">
              <w:t>1</w:t>
            </w:r>
            <w:r w:rsidR="004448F1">
              <w:t>%</w:t>
            </w:r>
            <w:r w:rsidRPr="00DF1B38">
              <w:t>)</w:t>
            </w:r>
          </w:p>
        </w:tc>
        <w:tc>
          <w:tcPr>
            <w:tcW w:w="1370" w:type="dxa"/>
          </w:tcPr>
          <w:p w14:paraId="1B62D8D4" w14:textId="32F9E5E8" w:rsidR="00ED76BB" w:rsidRPr="00DF1B38" w:rsidRDefault="00ED76BB" w:rsidP="002B2FD9">
            <w:pPr>
              <w:pStyle w:val="Tabletext"/>
              <w:jc w:val="right"/>
            </w:pPr>
            <w:r w:rsidRPr="00DF1B38">
              <w:t>3 (&lt;</w:t>
            </w:r>
            <w:r w:rsidR="008F5BD6">
              <w:t> </w:t>
            </w:r>
            <w:r w:rsidRPr="00DF1B38">
              <w:t>1</w:t>
            </w:r>
            <w:r w:rsidR="004448F1">
              <w:t>%</w:t>
            </w:r>
            <w:r w:rsidRPr="00DF1B38">
              <w:t>)</w:t>
            </w:r>
          </w:p>
        </w:tc>
        <w:tc>
          <w:tcPr>
            <w:tcW w:w="1370" w:type="dxa"/>
          </w:tcPr>
          <w:p w14:paraId="3A24FC71" w14:textId="651933D5" w:rsidR="00ED76BB" w:rsidRPr="00DF1B38" w:rsidRDefault="00ED76BB" w:rsidP="002B2FD9">
            <w:pPr>
              <w:pStyle w:val="Tabletext"/>
              <w:jc w:val="right"/>
            </w:pPr>
            <w:r w:rsidRPr="00DF1B38">
              <w:t>35 (4</w:t>
            </w:r>
            <w:r w:rsidR="004448F1">
              <w:t>%</w:t>
            </w:r>
            <w:r w:rsidRPr="00DF1B38">
              <w:t>)</w:t>
            </w:r>
          </w:p>
        </w:tc>
        <w:tc>
          <w:tcPr>
            <w:tcW w:w="1399" w:type="dxa"/>
          </w:tcPr>
          <w:p w14:paraId="37F55ED2" w14:textId="3D408B55" w:rsidR="00ED76BB" w:rsidRPr="00DF1B38" w:rsidRDefault="00ED76BB" w:rsidP="002B2FD9">
            <w:pPr>
              <w:pStyle w:val="Tabletext"/>
              <w:jc w:val="right"/>
            </w:pPr>
            <w:r w:rsidRPr="00DF1B38">
              <w:t>37 (5</w:t>
            </w:r>
            <w:r w:rsidR="004448F1">
              <w:t>%</w:t>
            </w:r>
            <w:r w:rsidRPr="00DF1B38">
              <w:t>)</w:t>
            </w:r>
          </w:p>
        </w:tc>
      </w:tr>
      <w:tr w:rsidR="00ED76BB" w:rsidRPr="008843F0" w14:paraId="7812F1C4" w14:textId="77777777" w:rsidTr="002B2FD9">
        <w:tc>
          <w:tcPr>
            <w:tcW w:w="1979" w:type="dxa"/>
          </w:tcPr>
          <w:p w14:paraId="42ACE678" w14:textId="77777777" w:rsidR="00ED76BB" w:rsidRPr="00DF1B38" w:rsidRDefault="00ED76BB" w:rsidP="003C2836">
            <w:pPr>
              <w:pStyle w:val="Tabletext"/>
            </w:pPr>
            <w:r w:rsidRPr="00DF1B38">
              <w:t>Gynaecology</w:t>
            </w:r>
          </w:p>
        </w:tc>
        <w:tc>
          <w:tcPr>
            <w:tcW w:w="1515" w:type="dxa"/>
          </w:tcPr>
          <w:p w14:paraId="7E1251F9" w14:textId="77777777" w:rsidR="00ED76BB" w:rsidRPr="00DF1B38" w:rsidRDefault="00ED76BB" w:rsidP="002B2FD9">
            <w:pPr>
              <w:pStyle w:val="Tabletext"/>
              <w:jc w:val="right"/>
            </w:pPr>
            <w:r w:rsidRPr="00DF1B38">
              <w:t>343</w:t>
            </w:r>
          </w:p>
        </w:tc>
        <w:tc>
          <w:tcPr>
            <w:tcW w:w="1319" w:type="dxa"/>
          </w:tcPr>
          <w:p w14:paraId="1FDFA922" w14:textId="1F518205" w:rsidR="00ED76BB" w:rsidRPr="00DF1B38" w:rsidRDefault="00ED76BB" w:rsidP="002B2FD9">
            <w:pPr>
              <w:pStyle w:val="Tabletext"/>
              <w:jc w:val="right"/>
            </w:pPr>
            <w:r w:rsidRPr="00DF1B38">
              <w:t>3 (&lt;</w:t>
            </w:r>
            <w:r w:rsidR="008F5BD6">
              <w:t> </w:t>
            </w:r>
            <w:r w:rsidRPr="00DF1B38">
              <w:t>1</w:t>
            </w:r>
            <w:r w:rsidR="004448F1">
              <w:t>%</w:t>
            </w:r>
            <w:r w:rsidRPr="00DF1B38">
              <w:t>)</w:t>
            </w:r>
          </w:p>
        </w:tc>
        <w:tc>
          <w:tcPr>
            <w:tcW w:w="1370" w:type="dxa"/>
          </w:tcPr>
          <w:p w14:paraId="62683193" w14:textId="37F5C501" w:rsidR="00ED76BB" w:rsidRPr="00DF1B38" w:rsidRDefault="00ED76BB" w:rsidP="002B2FD9">
            <w:pPr>
              <w:pStyle w:val="Tabletext"/>
              <w:jc w:val="right"/>
            </w:pPr>
            <w:r w:rsidRPr="00DF1B38">
              <w:t>3 (&lt;</w:t>
            </w:r>
            <w:r w:rsidR="008F5BD6">
              <w:t> </w:t>
            </w:r>
            <w:r w:rsidRPr="00DF1B38">
              <w:t>1</w:t>
            </w:r>
            <w:r w:rsidR="004448F1">
              <w:t>%</w:t>
            </w:r>
            <w:r w:rsidRPr="00DF1B38">
              <w:t>)</w:t>
            </w:r>
          </w:p>
        </w:tc>
        <w:tc>
          <w:tcPr>
            <w:tcW w:w="1370" w:type="dxa"/>
          </w:tcPr>
          <w:p w14:paraId="5242C565" w14:textId="12E64D32" w:rsidR="00ED76BB" w:rsidRPr="00DF1B38" w:rsidRDefault="00ED76BB" w:rsidP="002B2FD9">
            <w:pPr>
              <w:pStyle w:val="Tabletext"/>
              <w:jc w:val="right"/>
            </w:pPr>
            <w:r w:rsidRPr="00DF1B38">
              <w:t>12 (3</w:t>
            </w:r>
            <w:r w:rsidR="004448F1">
              <w:t>%</w:t>
            </w:r>
            <w:r w:rsidRPr="00DF1B38">
              <w:t>)</w:t>
            </w:r>
          </w:p>
        </w:tc>
        <w:tc>
          <w:tcPr>
            <w:tcW w:w="1399" w:type="dxa"/>
          </w:tcPr>
          <w:p w14:paraId="669B8A3B" w14:textId="702E0036" w:rsidR="00ED76BB" w:rsidRPr="00DF1B38" w:rsidRDefault="00ED76BB" w:rsidP="002B2FD9">
            <w:pPr>
              <w:pStyle w:val="Tabletext"/>
              <w:jc w:val="right"/>
            </w:pPr>
            <w:r w:rsidRPr="00DF1B38">
              <w:t>16 (5</w:t>
            </w:r>
            <w:r w:rsidR="004448F1">
              <w:t>%</w:t>
            </w:r>
            <w:r w:rsidRPr="00DF1B38">
              <w:t>)</w:t>
            </w:r>
          </w:p>
        </w:tc>
      </w:tr>
      <w:tr w:rsidR="00ED76BB" w:rsidRPr="008843F0" w14:paraId="7A004AC1" w14:textId="77777777" w:rsidTr="002B2FD9">
        <w:tc>
          <w:tcPr>
            <w:tcW w:w="1979" w:type="dxa"/>
          </w:tcPr>
          <w:p w14:paraId="09D1E178" w14:textId="77777777" w:rsidR="00ED76BB" w:rsidRPr="00DF1B38" w:rsidRDefault="00ED76BB" w:rsidP="003C2836">
            <w:pPr>
              <w:pStyle w:val="Tabletext"/>
            </w:pPr>
            <w:r w:rsidRPr="00DF1B38">
              <w:t>Major gastrointestinal</w:t>
            </w:r>
          </w:p>
        </w:tc>
        <w:tc>
          <w:tcPr>
            <w:tcW w:w="1515" w:type="dxa"/>
          </w:tcPr>
          <w:p w14:paraId="53C37669" w14:textId="77777777" w:rsidR="00ED76BB" w:rsidRPr="00DF1B38" w:rsidRDefault="00ED76BB" w:rsidP="002B2FD9">
            <w:pPr>
              <w:pStyle w:val="Tabletext"/>
              <w:jc w:val="right"/>
            </w:pPr>
            <w:r w:rsidRPr="00DF1B38">
              <w:t>296</w:t>
            </w:r>
          </w:p>
        </w:tc>
        <w:tc>
          <w:tcPr>
            <w:tcW w:w="1319" w:type="dxa"/>
          </w:tcPr>
          <w:p w14:paraId="0CA26E5E" w14:textId="14F5C100" w:rsidR="00ED76BB" w:rsidRPr="00DF1B38" w:rsidRDefault="00ED76BB" w:rsidP="002B2FD9">
            <w:pPr>
              <w:pStyle w:val="Tabletext"/>
              <w:jc w:val="right"/>
            </w:pPr>
            <w:r w:rsidRPr="00DF1B38">
              <w:t>11 (3</w:t>
            </w:r>
            <w:r w:rsidR="004448F1">
              <w:t>%</w:t>
            </w:r>
            <w:r w:rsidRPr="00DF1B38">
              <w:t>)</w:t>
            </w:r>
          </w:p>
        </w:tc>
        <w:tc>
          <w:tcPr>
            <w:tcW w:w="1370" w:type="dxa"/>
          </w:tcPr>
          <w:p w14:paraId="4E70C5EB" w14:textId="6A939B64" w:rsidR="00ED76BB" w:rsidRPr="00DF1B38" w:rsidRDefault="00ED76BB" w:rsidP="002B2FD9">
            <w:pPr>
              <w:pStyle w:val="Tabletext"/>
              <w:jc w:val="right"/>
            </w:pPr>
            <w:r w:rsidRPr="00DF1B38">
              <w:t>19 (6</w:t>
            </w:r>
            <w:r w:rsidR="004448F1">
              <w:t>%</w:t>
            </w:r>
            <w:r w:rsidRPr="00DF1B38">
              <w:t>)</w:t>
            </w:r>
          </w:p>
        </w:tc>
        <w:tc>
          <w:tcPr>
            <w:tcW w:w="1370" w:type="dxa"/>
          </w:tcPr>
          <w:p w14:paraId="5765A3EF" w14:textId="282C3056" w:rsidR="00ED76BB" w:rsidRPr="00DF1B38" w:rsidRDefault="00ED76BB" w:rsidP="002B2FD9">
            <w:pPr>
              <w:pStyle w:val="Tabletext"/>
              <w:jc w:val="right"/>
            </w:pPr>
            <w:r w:rsidRPr="00DF1B38">
              <w:t>46 (15</w:t>
            </w:r>
            <w:r w:rsidR="004448F1">
              <w:t>%</w:t>
            </w:r>
            <w:r w:rsidRPr="00DF1B38">
              <w:t>)</w:t>
            </w:r>
          </w:p>
        </w:tc>
        <w:tc>
          <w:tcPr>
            <w:tcW w:w="1399" w:type="dxa"/>
          </w:tcPr>
          <w:p w14:paraId="714EE050" w14:textId="2FCB0AA2" w:rsidR="00ED76BB" w:rsidRPr="00DF1B38" w:rsidRDefault="00ED76BB" w:rsidP="002B2FD9">
            <w:pPr>
              <w:pStyle w:val="Tabletext"/>
              <w:jc w:val="right"/>
            </w:pPr>
            <w:r w:rsidRPr="00DF1B38">
              <w:t>57 (19</w:t>
            </w:r>
            <w:r w:rsidR="004448F1">
              <w:t>%</w:t>
            </w:r>
            <w:r w:rsidRPr="00DF1B38">
              <w:t>)</w:t>
            </w:r>
          </w:p>
        </w:tc>
      </w:tr>
      <w:tr w:rsidR="00ED76BB" w:rsidRPr="008843F0" w14:paraId="61A71240" w14:textId="77777777" w:rsidTr="002B2FD9">
        <w:tc>
          <w:tcPr>
            <w:tcW w:w="1979" w:type="dxa"/>
          </w:tcPr>
          <w:p w14:paraId="7840CB51" w14:textId="77777777" w:rsidR="00ED76BB" w:rsidRPr="00DF1B38" w:rsidRDefault="00ED76BB" w:rsidP="003C2836">
            <w:pPr>
              <w:pStyle w:val="Tabletext"/>
            </w:pPr>
            <w:r w:rsidRPr="00DF1B38">
              <w:t xml:space="preserve">Cardiothoracic </w:t>
            </w:r>
          </w:p>
        </w:tc>
        <w:tc>
          <w:tcPr>
            <w:tcW w:w="1515" w:type="dxa"/>
          </w:tcPr>
          <w:p w14:paraId="68C4D058" w14:textId="77777777" w:rsidR="00ED76BB" w:rsidRPr="00DF1B38" w:rsidRDefault="00ED76BB" w:rsidP="002B2FD9">
            <w:pPr>
              <w:pStyle w:val="Tabletext"/>
              <w:jc w:val="right"/>
            </w:pPr>
            <w:r w:rsidRPr="00DF1B38">
              <w:t>130</w:t>
            </w:r>
          </w:p>
        </w:tc>
        <w:tc>
          <w:tcPr>
            <w:tcW w:w="1319" w:type="dxa"/>
          </w:tcPr>
          <w:p w14:paraId="6179ABCA" w14:textId="77777777" w:rsidR="00ED76BB" w:rsidRPr="00DF1B38" w:rsidRDefault="00ED76BB" w:rsidP="002B2FD9">
            <w:pPr>
              <w:pStyle w:val="Tabletext"/>
              <w:jc w:val="right"/>
            </w:pPr>
            <w:r w:rsidRPr="00DF1B38">
              <w:t>0</w:t>
            </w:r>
          </w:p>
        </w:tc>
        <w:tc>
          <w:tcPr>
            <w:tcW w:w="1370" w:type="dxa"/>
          </w:tcPr>
          <w:p w14:paraId="13C04CD6" w14:textId="3BBD37FA" w:rsidR="00ED76BB" w:rsidRPr="00DF1B38" w:rsidRDefault="00ED76BB" w:rsidP="002B2FD9">
            <w:pPr>
              <w:pStyle w:val="Tabletext"/>
              <w:jc w:val="right"/>
            </w:pPr>
            <w:r w:rsidRPr="00DF1B38">
              <w:t>4 (3</w:t>
            </w:r>
            <w:r w:rsidR="004448F1">
              <w:t>%</w:t>
            </w:r>
            <w:r w:rsidRPr="00DF1B38">
              <w:t>)</w:t>
            </w:r>
          </w:p>
        </w:tc>
        <w:tc>
          <w:tcPr>
            <w:tcW w:w="1370" w:type="dxa"/>
          </w:tcPr>
          <w:p w14:paraId="53506929" w14:textId="42471D6C" w:rsidR="00ED76BB" w:rsidRPr="00DF1B38" w:rsidRDefault="00ED76BB" w:rsidP="002B2FD9">
            <w:pPr>
              <w:pStyle w:val="Tabletext"/>
              <w:jc w:val="right"/>
            </w:pPr>
            <w:r w:rsidRPr="00DF1B38">
              <w:t>23 (18</w:t>
            </w:r>
            <w:r w:rsidR="004448F1">
              <w:t>%</w:t>
            </w:r>
            <w:r w:rsidRPr="00DF1B38">
              <w:t>)</w:t>
            </w:r>
          </w:p>
        </w:tc>
        <w:tc>
          <w:tcPr>
            <w:tcW w:w="1399" w:type="dxa"/>
          </w:tcPr>
          <w:p w14:paraId="4EDF254E" w14:textId="1B63BBCD" w:rsidR="00ED76BB" w:rsidRPr="00DF1B38" w:rsidRDefault="00ED76BB" w:rsidP="002B2FD9">
            <w:pPr>
              <w:pStyle w:val="Tabletext"/>
              <w:jc w:val="right"/>
            </w:pPr>
            <w:r w:rsidRPr="00DF1B38">
              <w:t>25 (19</w:t>
            </w:r>
            <w:r w:rsidR="004448F1">
              <w:t>%</w:t>
            </w:r>
            <w:r w:rsidRPr="00DF1B38">
              <w:t>)</w:t>
            </w:r>
          </w:p>
        </w:tc>
      </w:tr>
      <w:tr w:rsidR="00ED76BB" w:rsidRPr="008843F0" w14:paraId="7E81B769" w14:textId="77777777" w:rsidTr="002B2FD9">
        <w:tc>
          <w:tcPr>
            <w:tcW w:w="1979" w:type="dxa"/>
          </w:tcPr>
          <w:p w14:paraId="6174172F" w14:textId="77777777" w:rsidR="00ED76BB" w:rsidRPr="00DF1B38" w:rsidRDefault="00ED76BB" w:rsidP="003C2836">
            <w:pPr>
              <w:pStyle w:val="Tabletext"/>
              <w:rPr>
                <w:b/>
                <w:bCs/>
              </w:rPr>
            </w:pPr>
            <w:r w:rsidRPr="00DF1B38">
              <w:rPr>
                <w:b/>
                <w:bCs/>
              </w:rPr>
              <w:t>Total (all surgical types)</w:t>
            </w:r>
          </w:p>
        </w:tc>
        <w:tc>
          <w:tcPr>
            <w:tcW w:w="1515" w:type="dxa"/>
          </w:tcPr>
          <w:p w14:paraId="3DAA6288" w14:textId="77777777" w:rsidR="00ED76BB" w:rsidRPr="00DF1B38" w:rsidRDefault="00ED76BB" w:rsidP="002B2FD9">
            <w:pPr>
              <w:pStyle w:val="Tabletext"/>
              <w:jc w:val="right"/>
              <w:rPr>
                <w:b/>
                <w:bCs/>
              </w:rPr>
            </w:pPr>
            <w:r w:rsidRPr="00DF1B38">
              <w:rPr>
                <w:b/>
                <w:bCs/>
              </w:rPr>
              <w:t>1541</w:t>
            </w:r>
          </w:p>
        </w:tc>
        <w:tc>
          <w:tcPr>
            <w:tcW w:w="1319" w:type="dxa"/>
          </w:tcPr>
          <w:p w14:paraId="4C92C9EE" w14:textId="77777777" w:rsidR="00ED76BB" w:rsidRPr="00DF1B38" w:rsidRDefault="00ED76BB" w:rsidP="002B2FD9">
            <w:pPr>
              <w:pStyle w:val="Tabletext"/>
              <w:jc w:val="right"/>
              <w:rPr>
                <w:b/>
                <w:bCs/>
              </w:rPr>
            </w:pPr>
            <w:r w:rsidRPr="00DF1B38">
              <w:rPr>
                <w:b/>
                <w:bCs/>
              </w:rPr>
              <w:t>15 (1%)</w:t>
            </w:r>
          </w:p>
        </w:tc>
        <w:tc>
          <w:tcPr>
            <w:tcW w:w="1370" w:type="dxa"/>
          </w:tcPr>
          <w:p w14:paraId="36599716" w14:textId="77777777" w:rsidR="00ED76BB" w:rsidRPr="00DF1B38" w:rsidRDefault="00ED76BB" w:rsidP="002B2FD9">
            <w:pPr>
              <w:pStyle w:val="Tabletext"/>
              <w:jc w:val="right"/>
              <w:rPr>
                <w:b/>
                <w:bCs/>
              </w:rPr>
            </w:pPr>
            <w:r w:rsidRPr="00DF1B38">
              <w:rPr>
                <w:b/>
                <w:bCs/>
              </w:rPr>
              <w:t>29 (2%)</w:t>
            </w:r>
          </w:p>
        </w:tc>
        <w:tc>
          <w:tcPr>
            <w:tcW w:w="1370" w:type="dxa"/>
          </w:tcPr>
          <w:p w14:paraId="260608DA" w14:textId="77777777" w:rsidR="00ED76BB" w:rsidRPr="00DF1B38" w:rsidRDefault="00ED76BB" w:rsidP="002B2FD9">
            <w:pPr>
              <w:pStyle w:val="Tabletext"/>
              <w:jc w:val="right"/>
              <w:rPr>
                <w:b/>
                <w:bCs/>
              </w:rPr>
            </w:pPr>
            <w:r w:rsidRPr="00DF1B38">
              <w:rPr>
                <w:b/>
                <w:bCs/>
              </w:rPr>
              <w:t>116 (7%)</w:t>
            </w:r>
          </w:p>
        </w:tc>
        <w:tc>
          <w:tcPr>
            <w:tcW w:w="1399" w:type="dxa"/>
          </w:tcPr>
          <w:p w14:paraId="508E4F36" w14:textId="77777777" w:rsidR="00ED76BB" w:rsidRPr="00DF1B38" w:rsidRDefault="00ED76BB" w:rsidP="002B2FD9">
            <w:pPr>
              <w:pStyle w:val="Tabletext"/>
              <w:jc w:val="right"/>
              <w:rPr>
                <w:b/>
                <w:bCs/>
              </w:rPr>
            </w:pPr>
            <w:r w:rsidRPr="00DF1B38">
              <w:rPr>
                <w:b/>
                <w:bCs/>
              </w:rPr>
              <w:t>135 (9%)</w:t>
            </w:r>
          </w:p>
        </w:tc>
      </w:tr>
    </w:tbl>
    <w:p w14:paraId="0329E708" w14:textId="77777777" w:rsidR="008F5BD6" w:rsidRDefault="00ED76BB" w:rsidP="00ED76BB">
      <w:pPr>
        <w:pStyle w:val="Bodyaftertablefigure"/>
      </w:pPr>
      <w:r w:rsidRPr="008843F0">
        <w:t xml:space="preserve">Auditors reported 245 (16 per cent) patients had anaemia/iron deficiency recognised and documented in the postoperative period. </w:t>
      </w:r>
    </w:p>
    <w:p w14:paraId="43E2CC98" w14:textId="77777777" w:rsidR="008F5BD6" w:rsidRDefault="00ED76BB" w:rsidP="008F5BD6">
      <w:pPr>
        <w:pStyle w:val="Body"/>
      </w:pPr>
      <w:r w:rsidRPr="008843F0">
        <w:lastRenderedPageBreak/>
        <w:t xml:space="preserve">An </w:t>
      </w:r>
      <w:r w:rsidRPr="00DF1B38">
        <w:t>additional</w:t>
      </w:r>
      <w:r w:rsidRPr="008843F0">
        <w:t xml:space="preserve"> 33 patients had a treatment </w:t>
      </w:r>
      <w:r w:rsidRPr="008F5BD6">
        <w:t>reported</w:t>
      </w:r>
      <w:r w:rsidRPr="008843F0">
        <w:t xml:space="preserve"> for anaemia/iron deficiency despite no documentation of the same. In total, 148 patients received treatment. </w:t>
      </w:r>
    </w:p>
    <w:p w14:paraId="4B9F7D3E" w14:textId="50F9F370" w:rsidR="008F5BD6" w:rsidRDefault="00ED76BB" w:rsidP="008F5BD6">
      <w:pPr>
        <w:pStyle w:val="Body"/>
      </w:pPr>
      <w:r w:rsidRPr="008843F0">
        <w:t xml:space="preserve">The most frequent </w:t>
      </w:r>
      <w:r w:rsidR="00933EA0">
        <w:t xml:space="preserve">treatment </w:t>
      </w:r>
      <w:r w:rsidRPr="008843F0">
        <w:t>(</w:t>
      </w:r>
      <w:r w:rsidR="008F5BD6">
        <w:t>Table 2</w:t>
      </w:r>
      <w:r w:rsidR="00933EA0">
        <w:t>9</w:t>
      </w:r>
      <w:r w:rsidRPr="008843F0">
        <w:t xml:space="preserve">) was the use of transfusion (42 per cent). This may be appropriate if the patient was symptomatic, but may not be appropriate if used alone, without further treatment of the underlying cause of anaemia. </w:t>
      </w:r>
    </w:p>
    <w:p w14:paraId="51662D75" w14:textId="1FFCDEF7" w:rsidR="00ED76BB" w:rsidRPr="008843F0" w:rsidRDefault="00ED76BB" w:rsidP="002B2FD9">
      <w:pPr>
        <w:pStyle w:val="Body"/>
      </w:pPr>
      <w:r w:rsidRPr="008843F0">
        <w:t>A number of patients received either oral or IV iron</w:t>
      </w:r>
      <w:r w:rsidR="008F5BD6">
        <w:t>,</w:t>
      </w:r>
      <w:r w:rsidRPr="008843F0">
        <w:t xml:space="preserve"> and </w:t>
      </w:r>
      <w:r w:rsidR="00971720">
        <w:t>four</w:t>
      </w:r>
      <w:r w:rsidRPr="008843F0">
        <w:t xml:space="preserve"> patients were referred to a specialist. </w:t>
      </w:r>
    </w:p>
    <w:p w14:paraId="57EAB426" w14:textId="4FE92775" w:rsidR="00ED76BB" w:rsidRPr="008843F0" w:rsidRDefault="00ED76BB" w:rsidP="002B2FD9">
      <w:pPr>
        <w:pStyle w:val="Tablecaption"/>
      </w:pPr>
      <w:bookmarkStart w:id="97" w:name="_Ref69835965"/>
      <w:r w:rsidRPr="008843F0">
        <w:t xml:space="preserve">Table </w:t>
      </w:r>
      <w:bookmarkEnd w:id="97"/>
      <w:r w:rsidR="008F5BD6">
        <w:t>2</w:t>
      </w:r>
      <w:r w:rsidR="006F4FEC">
        <w:t>9:</w:t>
      </w:r>
      <w:r w:rsidRPr="008843F0">
        <w:t xml:space="preserve"> Postoperative </w:t>
      </w:r>
      <w:r w:rsidRPr="00DF1B38">
        <w:t>treatment</w:t>
      </w:r>
      <w:r w:rsidRPr="008843F0">
        <w:t xml:space="preserve"> of anaemia, by </w:t>
      </w:r>
      <w:r w:rsidRPr="008F5214">
        <w:t>surgery</w:t>
      </w:r>
      <w:r w:rsidRPr="008843F0">
        <w:t xml:space="preserve"> type</w:t>
      </w:r>
    </w:p>
    <w:tbl>
      <w:tblPr>
        <w:tblStyle w:val="TableGrid5"/>
        <w:tblW w:w="0" w:type="auto"/>
        <w:tblLook w:val="04A0" w:firstRow="1" w:lastRow="0" w:firstColumn="1" w:lastColumn="0" w:noHBand="0" w:noVBand="1"/>
      </w:tblPr>
      <w:tblGrid>
        <w:gridCol w:w="1772"/>
        <w:gridCol w:w="1465"/>
        <w:gridCol w:w="962"/>
        <w:gridCol w:w="1213"/>
        <w:gridCol w:w="1422"/>
        <w:gridCol w:w="999"/>
        <w:gridCol w:w="1347"/>
      </w:tblGrid>
      <w:tr w:rsidR="00ED76BB" w:rsidRPr="008843F0" w14:paraId="6D7EAA2D" w14:textId="77777777" w:rsidTr="002B2FD9">
        <w:tc>
          <w:tcPr>
            <w:tcW w:w="1775" w:type="dxa"/>
          </w:tcPr>
          <w:p w14:paraId="620DFD0E" w14:textId="77777777" w:rsidR="00ED76BB" w:rsidRPr="00DF1B38" w:rsidRDefault="00ED76BB" w:rsidP="003C2836">
            <w:pPr>
              <w:pStyle w:val="Tablecolhead"/>
            </w:pPr>
            <w:r w:rsidRPr="00DF1B38">
              <w:t>Surgery type</w:t>
            </w:r>
          </w:p>
        </w:tc>
        <w:tc>
          <w:tcPr>
            <w:tcW w:w="1211" w:type="dxa"/>
          </w:tcPr>
          <w:p w14:paraId="4DB1E777" w14:textId="77777777" w:rsidR="00ED76BB" w:rsidRPr="00DF1B38" w:rsidRDefault="00ED76BB" w:rsidP="003C2836">
            <w:pPr>
              <w:pStyle w:val="Tablecolhead"/>
            </w:pPr>
            <w:r w:rsidRPr="00DF1B38">
              <w:t>Number of patients documented as anaemic and/or treated</w:t>
            </w:r>
          </w:p>
        </w:tc>
        <w:tc>
          <w:tcPr>
            <w:tcW w:w="967" w:type="dxa"/>
          </w:tcPr>
          <w:p w14:paraId="3D0990DB" w14:textId="77777777" w:rsidR="00ED76BB" w:rsidRPr="00DF1B38" w:rsidRDefault="00ED76BB" w:rsidP="003C2836">
            <w:pPr>
              <w:pStyle w:val="Tablecolhead"/>
            </w:pPr>
            <w:r w:rsidRPr="00DF1B38">
              <w:t>Oral iron</w:t>
            </w:r>
          </w:p>
        </w:tc>
        <w:tc>
          <w:tcPr>
            <w:tcW w:w="1218" w:type="dxa"/>
          </w:tcPr>
          <w:p w14:paraId="3306E61E" w14:textId="77777777" w:rsidR="00ED76BB" w:rsidRPr="00DF1B38" w:rsidRDefault="00ED76BB" w:rsidP="003C2836">
            <w:pPr>
              <w:pStyle w:val="Tablecolhead"/>
            </w:pPr>
            <w:r w:rsidRPr="00DF1B38">
              <w:t>Iron infusion</w:t>
            </w:r>
          </w:p>
        </w:tc>
        <w:tc>
          <w:tcPr>
            <w:tcW w:w="1422" w:type="dxa"/>
          </w:tcPr>
          <w:p w14:paraId="2AB6EE75" w14:textId="77777777" w:rsidR="00ED76BB" w:rsidRPr="00DF1B38" w:rsidRDefault="00ED76BB" w:rsidP="003C2836">
            <w:pPr>
              <w:pStyle w:val="Tablecolhead"/>
            </w:pPr>
            <w:r w:rsidRPr="00DF1B38">
              <w:t>Transfusion</w:t>
            </w:r>
          </w:p>
        </w:tc>
        <w:tc>
          <w:tcPr>
            <w:tcW w:w="1008" w:type="dxa"/>
          </w:tcPr>
          <w:p w14:paraId="46E6C503" w14:textId="77777777" w:rsidR="00ED76BB" w:rsidRPr="00DF1B38" w:rsidRDefault="00ED76BB" w:rsidP="003C2836">
            <w:pPr>
              <w:pStyle w:val="Tablecolhead"/>
            </w:pPr>
            <w:r w:rsidRPr="00DF1B38">
              <w:t>EPO</w:t>
            </w:r>
          </w:p>
        </w:tc>
        <w:tc>
          <w:tcPr>
            <w:tcW w:w="1351" w:type="dxa"/>
          </w:tcPr>
          <w:p w14:paraId="1E20DB02" w14:textId="77777777" w:rsidR="00ED76BB" w:rsidRPr="00DF1B38" w:rsidRDefault="00ED76BB" w:rsidP="003C2836">
            <w:pPr>
              <w:pStyle w:val="Tablecolhead"/>
            </w:pPr>
            <w:r w:rsidRPr="00DF1B38">
              <w:t>Specialist referral</w:t>
            </w:r>
          </w:p>
        </w:tc>
      </w:tr>
      <w:tr w:rsidR="00ED76BB" w:rsidRPr="008843F0" w14:paraId="52EA15BF" w14:textId="77777777" w:rsidTr="002B2FD9">
        <w:tc>
          <w:tcPr>
            <w:tcW w:w="1775" w:type="dxa"/>
          </w:tcPr>
          <w:p w14:paraId="2F536102" w14:textId="77777777" w:rsidR="00ED76BB" w:rsidRPr="00DF1B38" w:rsidRDefault="00ED76BB" w:rsidP="003C2836">
            <w:pPr>
              <w:pStyle w:val="Tabletext"/>
            </w:pPr>
            <w:r w:rsidRPr="00DF1B38">
              <w:t>Orthopaedics</w:t>
            </w:r>
          </w:p>
        </w:tc>
        <w:tc>
          <w:tcPr>
            <w:tcW w:w="1211" w:type="dxa"/>
          </w:tcPr>
          <w:p w14:paraId="2CBD497E" w14:textId="77777777" w:rsidR="00ED76BB" w:rsidRPr="00DF1B38" w:rsidRDefault="00ED76BB" w:rsidP="002B2FD9">
            <w:pPr>
              <w:pStyle w:val="Tabletext"/>
              <w:jc w:val="right"/>
            </w:pPr>
            <w:r w:rsidRPr="00DF1B38">
              <w:t>100</w:t>
            </w:r>
          </w:p>
        </w:tc>
        <w:tc>
          <w:tcPr>
            <w:tcW w:w="967" w:type="dxa"/>
          </w:tcPr>
          <w:p w14:paraId="74B9305A" w14:textId="77777777" w:rsidR="00ED76BB" w:rsidRPr="00DF1B38" w:rsidRDefault="00ED76BB" w:rsidP="002B2FD9">
            <w:pPr>
              <w:pStyle w:val="Tabletext"/>
              <w:jc w:val="right"/>
            </w:pPr>
            <w:r w:rsidRPr="00DF1B38">
              <w:t>9 (9%)</w:t>
            </w:r>
          </w:p>
        </w:tc>
        <w:tc>
          <w:tcPr>
            <w:tcW w:w="1218" w:type="dxa"/>
          </w:tcPr>
          <w:p w14:paraId="7F80D4C4" w14:textId="77777777" w:rsidR="00ED76BB" w:rsidRPr="00DF1B38" w:rsidRDefault="00ED76BB" w:rsidP="002B2FD9">
            <w:pPr>
              <w:pStyle w:val="Tabletext"/>
              <w:jc w:val="right"/>
            </w:pPr>
            <w:r w:rsidRPr="00DF1B38">
              <w:t>10 (10%)</w:t>
            </w:r>
          </w:p>
        </w:tc>
        <w:tc>
          <w:tcPr>
            <w:tcW w:w="1422" w:type="dxa"/>
          </w:tcPr>
          <w:p w14:paraId="0C6F6EF3" w14:textId="77777777" w:rsidR="00ED76BB" w:rsidRPr="00DF1B38" w:rsidRDefault="00ED76BB" w:rsidP="002B2FD9">
            <w:pPr>
              <w:pStyle w:val="Tabletext"/>
              <w:jc w:val="right"/>
            </w:pPr>
            <w:r w:rsidRPr="00DF1B38">
              <w:t>35 (35%)</w:t>
            </w:r>
          </w:p>
        </w:tc>
        <w:tc>
          <w:tcPr>
            <w:tcW w:w="1008" w:type="dxa"/>
          </w:tcPr>
          <w:p w14:paraId="2A000A9D" w14:textId="77777777" w:rsidR="00ED76BB" w:rsidRPr="00DF1B38" w:rsidRDefault="00ED76BB" w:rsidP="002B2FD9">
            <w:pPr>
              <w:pStyle w:val="Tabletext"/>
              <w:jc w:val="right"/>
            </w:pPr>
            <w:r w:rsidRPr="00DF1B38">
              <w:t>-</w:t>
            </w:r>
          </w:p>
        </w:tc>
        <w:tc>
          <w:tcPr>
            <w:tcW w:w="1351" w:type="dxa"/>
          </w:tcPr>
          <w:p w14:paraId="5EA3F490" w14:textId="77777777" w:rsidR="00ED76BB" w:rsidRPr="00DF1B38" w:rsidRDefault="00ED76BB" w:rsidP="002B2FD9">
            <w:pPr>
              <w:pStyle w:val="Tabletext"/>
              <w:jc w:val="right"/>
            </w:pPr>
            <w:r w:rsidRPr="00DF1B38">
              <w:t>1 (1%)</w:t>
            </w:r>
          </w:p>
        </w:tc>
      </w:tr>
      <w:tr w:rsidR="00ED76BB" w:rsidRPr="008843F0" w14:paraId="74F17027" w14:textId="77777777" w:rsidTr="002B2FD9">
        <w:tc>
          <w:tcPr>
            <w:tcW w:w="1775" w:type="dxa"/>
          </w:tcPr>
          <w:p w14:paraId="79512DA1" w14:textId="77777777" w:rsidR="00ED76BB" w:rsidRPr="00DF1B38" w:rsidRDefault="00ED76BB" w:rsidP="003C2836">
            <w:pPr>
              <w:pStyle w:val="Tabletext"/>
            </w:pPr>
            <w:r w:rsidRPr="00DF1B38">
              <w:t>Gynaecology</w:t>
            </w:r>
          </w:p>
        </w:tc>
        <w:tc>
          <w:tcPr>
            <w:tcW w:w="1211" w:type="dxa"/>
          </w:tcPr>
          <w:p w14:paraId="3A50733F" w14:textId="77777777" w:rsidR="00ED76BB" w:rsidRPr="00DF1B38" w:rsidRDefault="00ED76BB" w:rsidP="002B2FD9">
            <w:pPr>
              <w:pStyle w:val="Tabletext"/>
              <w:jc w:val="right"/>
            </w:pPr>
            <w:r w:rsidRPr="00DF1B38">
              <w:t>53</w:t>
            </w:r>
          </w:p>
        </w:tc>
        <w:tc>
          <w:tcPr>
            <w:tcW w:w="967" w:type="dxa"/>
          </w:tcPr>
          <w:p w14:paraId="3B62182C" w14:textId="77777777" w:rsidR="00ED76BB" w:rsidRPr="00DF1B38" w:rsidRDefault="00ED76BB" w:rsidP="002B2FD9">
            <w:pPr>
              <w:pStyle w:val="Tabletext"/>
              <w:jc w:val="right"/>
            </w:pPr>
            <w:r w:rsidRPr="00DF1B38">
              <w:t>10 (19%)</w:t>
            </w:r>
          </w:p>
        </w:tc>
        <w:tc>
          <w:tcPr>
            <w:tcW w:w="1218" w:type="dxa"/>
          </w:tcPr>
          <w:p w14:paraId="3D46131F" w14:textId="77777777" w:rsidR="00ED76BB" w:rsidRPr="00DF1B38" w:rsidRDefault="00ED76BB" w:rsidP="002B2FD9">
            <w:pPr>
              <w:pStyle w:val="Tabletext"/>
              <w:jc w:val="right"/>
            </w:pPr>
            <w:r w:rsidRPr="00DF1B38">
              <w:t>2 (4%)</w:t>
            </w:r>
          </w:p>
        </w:tc>
        <w:tc>
          <w:tcPr>
            <w:tcW w:w="1422" w:type="dxa"/>
          </w:tcPr>
          <w:p w14:paraId="44585C83" w14:textId="77777777" w:rsidR="00ED76BB" w:rsidRPr="00DF1B38" w:rsidRDefault="00ED76BB" w:rsidP="002B2FD9">
            <w:pPr>
              <w:pStyle w:val="Tabletext"/>
              <w:jc w:val="right"/>
            </w:pPr>
            <w:r w:rsidRPr="00DF1B38">
              <w:t>12 (23%)</w:t>
            </w:r>
          </w:p>
        </w:tc>
        <w:tc>
          <w:tcPr>
            <w:tcW w:w="1008" w:type="dxa"/>
          </w:tcPr>
          <w:p w14:paraId="0CE1D5AD" w14:textId="77777777" w:rsidR="00ED76BB" w:rsidRPr="00DF1B38" w:rsidRDefault="00ED76BB" w:rsidP="002B2FD9">
            <w:pPr>
              <w:pStyle w:val="Tabletext"/>
              <w:jc w:val="right"/>
            </w:pPr>
            <w:r w:rsidRPr="00DF1B38">
              <w:t>-</w:t>
            </w:r>
          </w:p>
        </w:tc>
        <w:tc>
          <w:tcPr>
            <w:tcW w:w="1351" w:type="dxa"/>
          </w:tcPr>
          <w:p w14:paraId="4ECEF748" w14:textId="77777777" w:rsidR="00ED76BB" w:rsidRPr="00DF1B38" w:rsidRDefault="00ED76BB" w:rsidP="002B2FD9">
            <w:pPr>
              <w:pStyle w:val="Tabletext"/>
              <w:jc w:val="right"/>
            </w:pPr>
            <w:r w:rsidRPr="00DF1B38">
              <w:t>-</w:t>
            </w:r>
          </w:p>
        </w:tc>
      </w:tr>
      <w:tr w:rsidR="00ED76BB" w:rsidRPr="008843F0" w14:paraId="183A3D90" w14:textId="77777777" w:rsidTr="002B2FD9">
        <w:tc>
          <w:tcPr>
            <w:tcW w:w="1775" w:type="dxa"/>
          </w:tcPr>
          <w:p w14:paraId="6D6870B1" w14:textId="77777777" w:rsidR="00ED76BB" w:rsidRPr="00DF1B38" w:rsidRDefault="00ED76BB" w:rsidP="003C2836">
            <w:pPr>
              <w:pStyle w:val="Tabletext"/>
            </w:pPr>
            <w:r w:rsidRPr="00DF1B38">
              <w:t>Major gastrointestinal</w:t>
            </w:r>
          </w:p>
        </w:tc>
        <w:tc>
          <w:tcPr>
            <w:tcW w:w="1211" w:type="dxa"/>
          </w:tcPr>
          <w:p w14:paraId="5AB81F20" w14:textId="77777777" w:rsidR="00ED76BB" w:rsidRPr="00DF1B38" w:rsidRDefault="00ED76BB" w:rsidP="002B2FD9">
            <w:pPr>
              <w:pStyle w:val="Tabletext"/>
              <w:jc w:val="right"/>
            </w:pPr>
            <w:r w:rsidRPr="00DF1B38">
              <w:t>96</w:t>
            </w:r>
          </w:p>
        </w:tc>
        <w:tc>
          <w:tcPr>
            <w:tcW w:w="967" w:type="dxa"/>
          </w:tcPr>
          <w:p w14:paraId="648EECF5" w14:textId="77777777" w:rsidR="00ED76BB" w:rsidRPr="00DF1B38" w:rsidRDefault="00ED76BB" w:rsidP="002B2FD9">
            <w:pPr>
              <w:pStyle w:val="Tabletext"/>
              <w:jc w:val="right"/>
            </w:pPr>
            <w:r w:rsidRPr="00DF1B38">
              <w:t>5 (5%)</w:t>
            </w:r>
          </w:p>
        </w:tc>
        <w:tc>
          <w:tcPr>
            <w:tcW w:w="1218" w:type="dxa"/>
          </w:tcPr>
          <w:p w14:paraId="5A256724" w14:textId="77777777" w:rsidR="00ED76BB" w:rsidRPr="00DF1B38" w:rsidRDefault="00ED76BB" w:rsidP="002B2FD9">
            <w:pPr>
              <w:pStyle w:val="Tabletext"/>
              <w:jc w:val="right"/>
            </w:pPr>
            <w:r w:rsidRPr="00DF1B38">
              <w:t>8 (8%)</w:t>
            </w:r>
          </w:p>
        </w:tc>
        <w:tc>
          <w:tcPr>
            <w:tcW w:w="1422" w:type="dxa"/>
          </w:tcPr>
          <w:p w14:paraId="67F2BEBF" w14:textId="77777777" w:rsidR="00ED76BB" w:rsidRPr="00DF1B38" w:rsidRDefault="00ED76BB" w:rsidP="002B2FD9">
            <w:pPr>
              <w:pStyle w:val="Tabletext"/>
              <w:jc w:val="right"/>
            </w:pPr>
            <w:r w:rsidRPr="00DF1B38">
              <w:t>46 (48%)</w:t>
            </w:r>
          </w:p>
        </w:tc>
        <w:tc>
          <w:tcPr>
            <w:tcW w:w="1008" w:type="dxa"/>
          </w:tcPr>
          <w:p w14:paraId="668C8A17" w14:textId="77777777" w:rsidR="00ED76BB" w:rsidRPr="00DF1B38" w:rsidRDefault="00ED76BB" w:rsidP="002B2FD9">
            <w:pPr>
              <w:pStyle w:val="Tabletext"/>
              <w:jc w:val="right"/>
            </w:pPr>
            <w:r w:rsidRPr="00DF1B38">
              <w:t>-</w:t>
            </w:r>
          </w:p>
        </w:tc>
        <w:tc>
          <w:tcPr>
            <w:tcW w:w="1351" w:type="dxa"/>
          </w:tcPr>
          <w:p w14:paraId="389A72FE" w14:textId="77777777" w:rsidR="00ED76BB" w:rsidRPr="00DF1B38" w:rsidRDefault="00ED76BB" w:rsidP="002B2FD9">
            <w:pPr>
              <w:pStyle w:val="Tabletext"/>
              <w:jc w:val="right"/>
            </w:pPr>
            <w:r w:rsidRPr="00DF1B38">
              <w:t>2 (2%)</w:t>
            </w:r>
          </w:p>
        </w:tc>
      </w:tr>
      <w:tr w:rsidR="00ED76BB" w:rsidRPr="008843F0" w14:paraId="7D8CF183" w14:textId="77777777" w:rsidTr="002B2FD9">
        <w:tc>
          <w:tcPr>
            <w:tcW w:w="1775" w:type="dxa"/>
          </w:tcPr>
          <w:p w14:paraId="0D587523" w14:textId="77777777" w:rsidR="00ED76BB" w:rsidRPr="00DF1B38" w:rsidRDefault="00ED76BB" w:rsidP="003C2836">
            <w:pPr>
              <w:pStyle w:val="Tabletext"/>
            </w:pPr>
            <w:r w:rsidRPr="00DF1B38">
              <w:t xml:space="preserve">Cardiothoracic </w:t>
            </w:r>
          </w:p>
        </w:tc>
        <w:tc>
          <w:tcPr>
            <w:tcW w:w="1211" w:type="dxa"/>
          </w:tcPr>
          <w:p w14:paraId="15927F8F" w14:textId="77777777" w:rsidR="00ED76BB" w:rsidRPr="00DF1B38" w:rsidRDefault="00ED76BB" w:rsidP="002B2FD9">
            <w:pPr>
              <w:pStyle w:val="Tabletext"/>
              <w:jc w:val="right"/>
            </w:pPr>
            <w:r w:rsidRPr="00DF1B38">
              <w:t>29</w:t>
            </w:r>
          </w:p>
        </w:tc>
        <w:tc>
          <w:tcPr>
            <w:tcW w:w="967" w:type="dxa"/>
          </w:tcPr>
          <w:p w14:paraId="30343B23" w14:textId="77777777" w:rsidR="00ED76BB" w:rsidRPr="00DF1B38" w:rsidRDefault="00ED76BB" w:rsidP="002B2FD9">
            <w:pPr>
              <w:pStyle w:val="Tabletext"/>
              <w:jc w:val="right"/>
            </w:pPr>
            <w:r w:rsidRPr="00DF1B38">
              <w:t>-</w:t>
            </w:r>
          </w:p>
        </w:tc>
        <w:tc>
          <w:tcPr>
            <w:tcW w:w="1218" w:type="dxa"/>
          </w:tcPr>
          <w:p w14:paraId="5ECD6B4E" w14:textId="77777777" w:rsidR="00ED76BB" w:rsidRPr="00DF1B38" w:rsidRDefault="00ED76BB" w:rsidP="002B2FD9">
            <w:pPr>
              <w:pStyle w:val="Tabletext"/>
              <w:jc w:val="right"/>
            </w:pPr>
            <w:r w:rsidRPr="00DF1B38">
              <w:t>-</w:t>
            </w:r>
          </w:p>
        </w:tc>
        <w:tc>
          <w:tcPr>
            <w:tcW w:w="1422" w:type="dxa"/>
          </w:tcPr>
          <w:p w14:paraId="099A7504" w14:textId="77777777" w:rsidR="00ED76BB" w:rsidRPr="00DF1B38" w:rsidRDefault="00ED76BB" w:rsidP="002B2FD9">
            <w:pPr>
              <w:pStyle w:val="Tabletext"/>
              <w:jc w:val="right"/>
            </w:pPr>
            <w:r w:rsidRPr="00DF1B38">
              <w:t>23 (80%)</w:t>
            </w:r>
          </w:p>
        </w:tc>
        <w:tc>
          <w:tcPr>
            <w:tcW w:w="1008" w:type="dxa"/>
          </w:tcPr>
          <w:p w14:paraId="0587E097" w14:textId="77777777" w:rsidR="00ED76BB" w:rsidRPr="00DF1B38" w:rsidRDefault="00ED76BB" w:rsidP="002B2FD9">
            <w:pPr>
              <w:pStyle w:val="Tabletext"/>
              <w:jc w:val="right"/>
            </w:pPr>
            <w:r w:rsidRPr="00DF1B38">
              <w:t>-</w:t>
            </w:r>
          </w:p>
        </w:tc>
        <w:tc>
          <w:tcPr>
            <w:tcW w:w="1351" w:type="dxa"/>
          </w:tcPr>
          <w:p w14:paraId="48BFB4EE" w14:textId="77777777" w:rsidR="00ED76BB" w:rsidRPr="00DF1B38" w:rsidRDefault="00ED76BB" w:rsidP="002B2FD9">
            <w:pPr>
              <w:pStyle w:val="Tabletext"/>
              <w:jc w:val="right"/>
            </w:pPr>
            <w:r w:rsidRPr="00DF1B38">
              <w:t>1 (3%)</w:t>
            </w:r>
          </w:p>
        </w:tc>
      </w:tr>
      <w:tr w:rsidR="00ED76BB" w:rsidRPr="008843F0" w14:paraId="0D25FE24" w14:textId="77777777" w:rsidTr="002B2FD9">
        <w:tc>
          <w:tcPr>
            <w:tcW w:w="1775" w:type="dxa"/>
          </w:tcPr>
          <w:p w14:paraId="231A33BD" w14:textId="77777777" w:rsidR="00ED76BB" w:rsidRPr="00DF1B38" w:rsidRDefault="00ED76BB" w:rsidP="003C2836">
            <w:pPr>
              <w:pStyle w:val="Tabletext"/>
              <w:rPr>
                <w:b/>
                <w:bCs/>
              </w:rPr>
            </w:pPr>
            <w:r w:rsidRPr="00DF1B38">
              <w:rPr>
                <w:b/>
                <w:bCs/>
              </w:rPr>
              <w:t>Total (all surgical types)</w:t>
            </w:r>
          </w:p>
        </w:tc>
        <w:tc>
          <w:tcPr>
            <w:tcW w:w="1211" w:type="dxa"/>
          </w:tcPr>
          <w:p w14:paraId="3F3FAAF5" w14:textId="77777777" w:rsidR="00ED76BB" w:rsidRPr="00DF1B38" w:rsidRDefault="00ED76BB" w:rsidP="002B2FD9">
            <w:pPr>
              <w:pStyle w:val="Tabletext"/>
              <w:jc w:val="right"/>
              <w:rPr>
                <w:b/>
                <w:bCs/>
              </w:rPr>
            </w:pPr>
            <w:r w:rsidRPr="00DF1B38">
              <w:rPr>
                <w:b/>
                <w:bCs/>
              </w:rPr>
              <w:t>278</w:t>
            </w:r>
          </w:p>
        </w:tc>
        <w:tc>
          <w:tcPr>
            <w:tcW w:w="967" w:type="dxa"/>
          </w:tcPr>
          <w:p w14:paraId="088E55EB" w14:textId="7290D933" w:rsidR="00ED76BB" w:rsidRPr="00DF1B38" w:rsidRDefault="00ED76BB" w:rsidP="002B2FD9">
            <w:pPr>
              <w:pStyle w:val="Tabletext"/>
              <w:jc w:val="right"/>
              <w:rPr>
                <w:b/>
                <w:bCs/>
              </w:rPr>
            </w:pPr>
            <w:r w:rsidRPr="00DF1B38">
              <w:rPr>
                <w:b/>
                <w:bCs/>
              </w:rPr>
              <w:t>24</w:t>
            </w:r>
            <w:r w:rsidR="004448F1">
              <w:rPr>
                <w:b/>
                <w:bCs/>
              </w:rPr>
              <w:t xml:space="preserve"> (9%)</w:t>
            </w:r>
          </w:p>
        </w:tc>
        <w:tc>
          <w:tcPr>
            <w:tcW w:w="1218" w:type="dxa"/>
          </w:tcPr>
          <w:p w14:paraId="5782D4D6" w14:textId="31CB015D" w:rsidR="00ED76BB" w:rsidRPr="00DF1B38" w:rsidRDefault="00ED76BB" w:rsidP="002B2FD9">
            <w:pPr>
              <w:pStyle w:val="Tabletext"/>
              <w:jc w:val="right"/>
              <w:rPr>
                <w:b/>
                <w:bCs/>
              </w:rPr>
            </w:pPr>
            <w:r w:rsidRPr="00DF1B38">
              <w:rPr>
                <w:b/>
                <w:bCs/>
              </w:rPr>
              <w:t>20</w:t>
            </w:r>
            <w:r w:rsidR="004448F1">
              <w:rPr>
                <w:b/>
                <w:bCs/>
              </w:rPr>
              <w:t xml:space="preserve"> (7%)</w:t>
            </w:r>
          </w:p>
        </w:tc>
        <w:tc>
          <w:tcPr>
            <w:tcW w:w="1422" w:type="dxa"/>
          </w:tcPr>
          <w:p w14:paraId="512C05FC" w14:textId="6A994252" w:rsidR="00ED76BB" w:rsidRPr="00DF1B38" w:rsidRDefault="00ED76BB" w:rsidP="002B2FD9">
            <w:pPr>
              <w:pStyle w:val="Tabletext"/>
              <w:jc w:val="right"/>
              <w:rPr>
                <w:b/>
                <w:bCs/>
              </w:rPr>
            </w:pPr>
            <w:r w:rsidRPr="00DF1B38">
              <w:rPr>
                <w:b/>
                <w:bCs/>
              </w:rPr>
              <w:t>116</w:t>
            </w:r>
            <w:r w:rsidR="004448F1">
              <w:rPr>
                <w:b/>
                <w:bCs/>
              </w:rPr>
              <w:t xml:space="preserve"> (42%)</w:t>
            </w:r>
          </w:p>
        </w:tc>
        <w:tc>
          <w:tcPr>
            <w:tcW w:w="1008" w:type="dxa"/>
          </w:tcPr>
          <w:p w14:paraId="20EE7222" w14:textId="77777777" w:rsidR="00ED76BB" w:rsidRPr="00DF1B38" w:rsidRDefault="00ED76BB" w:rsidP="002B2FD9">
            <w:pPr>
              <w:pStyle w:val="Tabletext"/>
              <w:jc w:val="right"/>
              <w:rPr>
                <w:b/>
                <w:bCs/>
              </w:rPr>
            </w:pPr>
            <w:r w:rsidRPr="00DF1B38">
              <w:rPr>
                <w:b/>
                <w:bCs/>
              </w:rPr>
              <w:t>-</w:t>
            </w:r>
          </w:p>
        </w:tc>
        <w:tc>
          <w:tcPr>
            <w:tcW w:w="1351" w:type="dxa"/>
          </w:tcPr>
          <w:p w14:paraId="769D572B" w14:textId="39E95E88" w:rsidR="00ED76BB" w:rsidRPr="00DF1B38" w:rsidRDefault="00ED76BB" w:rsidP="002B2FD9">
            <w:pPr>
              <w:pStyle w:val="Tabletext"/>
              <w:jc w:val="right"/>
              <w:rPr>
                <w:b/>
                <w:bCs/>
              </w:rPr>
            </w:pPr>
            <w:r w:rsidRPr="00DF1B38">
              <w:rPr>
                <w:b/>
                <w:bCs/>
              </w:rPr>
              <w:t>4</w:t>
            </w:r>
            <w:r w:rsidR="004448F1">
              <w:rPr>
                <w:b/>
                <w:bCs/>
              </w:rPr>
              <w:t xml:space="preserve"> (1%)</w:t>
            </w:r>
          </w:p>
        </w:tc>
      </w:tr>
    </w:tbl>
    <w:p w14:paraId="059365C0" w14:textId="32AADEC3" w:rsidR="00ED76BB" w:rsidRPr="008843F0" w:rsidRDefault="008F5BD6" w:rsidP="00ED76BB">
      <w:pPr>
        <w:pStyle w:val="Bodyaftertablefigure"/>
      </w:pPr>
      <w:r>
        <w:t xml:space="preserve">Only </w:t>
      </w:r>
      <w:r w:rsidR="002E2EA0">
        <w:t>two</w:t>
      </w:r>
      <w:r w:rsidRPr="008843F0">
        <w:t xml:space="preserve"> </w:t>
      </w:r>
      <w:r w:rsidR="00ED76BB" w:rsidRPr="008843F0">
        <w:t xml:space="preserve">per cent of patients were reported receiving oral iron immediately after surgery, which would be expected considering Module 2 states: </w:t>
      </w:r>
      <w:r>
        <w:t>‘</w:t>
      </w:r>
      <w:r w:rsidR="00ED76BB" w:rsidRPr="008843F0">
        <w:t>In patients with postoperative anaemia, early oral iron therapy is not clinically effective; its routine use in this setting is not recommended</w:t>
      </w:r>
      <w:r>
        <w:t>’</w:t>
      </w:r>
      <w:r w:rsidR="00ED76BB" w:rsidRPr="008843F0">
        <w:t>.</w:t>
      </w:r>
    </w:p>
    <w:p w14:paraId="5FBB220A" w14:textId="6030BDD9" w:rsidR="008F5BD6" w:rsidRDefault="00ED76BB" w:rsidP="00ED76BB">
      <w:pPr>
        <w:pStyle w:val="Body"/>
      </w:pPr>
      <w:r w:rsidRPr="008843F0">
        <w:t>The use of IV iron was slightly higher (</w:t>
      </w:r>
      <w:r w:rsidR="008F5BD6">
        <w:t>3</w:t>
      </w:r>
      <w:r w:rsidR="008F5BD6" w:rsidRPr="008843F0">
        <w:t xml:space="preserve"> </w:t>
      </w:r>
      <w:r w:rsidRPr="008843F0">
        <w:t xml:space="preserve">per cent). The National Institute for Health and Care Excellence in the UK (NICE 2015) recommends considering IV iron after surgery for patients who have iron deficiency anaemia and those who are diagnosed with functional iron deficiency. </w:t>
      </w:r>
    </w:p>
    <w:p w14:paraId="369DF624" w14:textId="48F013F6" w:rsidR="008F5BD6" w:rsidRDefault="00ED76BB" w:rsidP="00ED76BB">
      <w:pPr>
        <w:pStyle w:val="Body"/>
      </w:pPr>
      <w:r w:rsidRPr="008843F0">
        <w:t xml:space="preserve">Clinicians may be reluctant to use IV iron in the postoperative phase due to concerns of side effects such as anaphylaxis, or infectious risks associated with iron. Newer formulations of iron have reduced the risk of allergic reactions. </w:t>
      </w:r>
    </w:p>
    <w:p w14:paraId="02B332D9" w14:textId="3D3A8DF3" w:rsidR="00ED76BB" w:rsidRPr="008843F0" w:rsidRDefault="00ED76BB" w:rsidP="00ED76BB">
      <w:pPr>
        <w:pStyle w:val="Body"/>
      </w:pPr>
      <w:r w:rsidRPr="008843F0">
        <w:t>Other concerns may relate to elemental iron being an essential growth factor for bacteria; however, data from meta-analyses and large observational studies showed that perioperative IV iron did not increase postoperative infection or 30-day mortality rates in surgical patients (Munoz et</w:t>
      </w:r>
      <w:r w:rsidR="008F5BD6">
        <w:t xml:space="preserve"> </w:t>
      </w:r>
      <w:r w:rsidRPr="008843F0">
        <w:t>al. 2019).</w:t>
      </w:r>
    </w:p>
    <w:p w14:paraId="2FB255DF" w14:textId="48832337" w:rsidR="00ED76BB" w:rsidRPr="00DF1B38" w:rsidRDefault="00ED76BB" w:rsidP="00ED76BB">
      <w:pPr>
        <w:pStyle w:val="Body"/>
      </w:pPr>
      <w:r w:rsidRPr="00DF1B38">
        <w:t>Erythropoietin was not used by any clinicians in this audit in the pre or postoperative period. While it is noted as a practice point for preoperative patients with anaemia of chronic disease, it is not recommended in the postoperative period.</w:t>
      </w:r>
    </w:p>
    <w:p w14:paraId="69F9BFAD" w14:textId="69EABEA2" w:rsidR="008F5BD6" w:rsidRDefault="00ED76BB" w:rsidP="00ED76BB">
      <w:pPr>
        <w:pStyle w:val="Body"/>
      </w:pPr>
      <w:r w:rsidRPr="00DF1B38">
        <w:t>The majority of patients had a Hb available at discharge (</w:t>
      </w:r>
      <w:r w:rsidR="008F5BD6">
        <w:t xml:space="preserve">Table </w:t>
      </w:r>
      <w:r w:rsidR="00933EA0">
        <w:t>30</w:t>
      </w:r>
      <w:r w:rsidRPr="00DF1B38">
        <w:t>). Of note, two patients were recorded as having very low Hb (30 and 46</w:t>
      </w:r>
      <w:r w:rsidR="008F5BD6">
        <w:t> </w:t>
      </w:r>
      <w:r w:rsidRPr="00DF1B38">
        <w:t xml:space="preserve">g/L). </w:t>
      </w:r>
    </w:p>
    <w:p w14:paraId="77A8A3AA" w14:textId="6DA03BE5" w:rsidR="008F5BD6" w:rsidRDefault="00ED76BB" w:rsidP="00ED76BB">
      <w:pPr>
        <w:pStyle w:val="Body"/>
      </w:pPr>
      <w:r w:rsidRPr="00DF1B38">
        <w:t>Interestingly</w:t>
      </w:r>
      <w:r w:rsidR="008F5BD6">
        <w:t>,</w:t>
      </w:r>
      <w:r w:rsidRPr="00DF1B38">
        <w:t xml:space="preserve"> the patient with the Hb 30 had no Hb results recorded throughout, and no blood loss reported. </w:t>
      </w:r>
      <w:r w:rsidR="008F5BD6">
        <w:t>F</w:t>
      </w:r>
      <w:r w:rsidRPr="00DF1B38">
        <w:t>or the patient with the Hb 46</w:t>
      </w:r>
      <w:r w:rsidR="008F5BD6">
        <w:t>,</w:t>
      </w:r>
      <w:r w:rsidRPr="00DF1B38">
        <w:t xml:space="preserve"> the only other Hb recorded was preoperatively (Hb 146 and ferritin 60) and no blood loss intra or postoperatively was noted. </w:t>
      </w:r>
    </w:p>
    <w:p w14:paraId="679517D7" w14:textId="3ED47566" w:rsidR="00ED76BB" w:rsidRPr="00DF1B38" w:rsidRDefault="00ED76BB" w:rsidP="00ED76BB">
      <w:pPr>
        <w:pStyle w:val="Body"/>
      </w:pPr>
      <w:r w:rsidRPr="00DF1B38">
        <w:lastRenderedPageBreak/>
        <w:t xml:space="preserve">These results were lower than those reported in the patients who received transfusions and may have been errors in reporting. </w:t>
      </w:r>
    </w:p>
    <w:p w14:paraId="40450F14" w14:textId="77777777" w:rsidR="008F5BD6" w:rsidRDefault="00ED76BB" w:rsidP="00ED76BB">
      <w:pPr>
        <w:pStyle w:val="Body"/>
      </w:pPr>
      <w:r w:rsidRPr="00DF1B38">
        <w:t xml:space="preserve">Between day one post op Hb and discharge Hb, there appears to be very little difference. </w:t>
      </w:r>
    </w:p>
    <w:p w14:paraId="5DC07D0D" w14:textId="07EDABD0" w:rsidR="00ED76BB" w:rsidRPr="00DF1B38" w:rsidRDefault="00ED76BB" w:rsidP="00ED76BB">
      <w:pPr>
        <w:pStyle w:val="Body"/>
      </w:pPr>
      <w:r w:rsidRPr="00DF1B38">
        <w:t>On average there was a 1</w:t>
      </w:r>
      <w:r w:rsidR="008F5BD6">
        <w:t>–</w:t>
      </w:r>
      <w:r w:rsidRPr="00DF1B38">
        <w:t>3</w:t>
      </w:r>
      <w:r w:rsidR="008F5BD6">
        <w:t> </w:t>
      </w:r>
      <w:r w:rsidRPr="00DF1B38">
        <w:t xml:space="preserve">g/L rise in Hb from day </w:t>
      </w:r>
      <w:r w:rsidR="00971720">
        <w:t>one</w:t>
      </w:r>
      <w:r w:rsidR="00971720" w:rsidRPr="00DF1B38">
        <w:t xml:space="preserve"> </w:t>
      </w:r>
      <w:proofErr w:type="gramStart"/>
      <w:r w:rsidRPr="00DF1B38">
        <w:t>to day</w:t>
      </w:r>
      <w:proofErr w:type="gramEnd"/>
      <w:r w:rsidRPr="00DF1B38">
        <w:t xml:space="preserve"> of discharge, with the average Hb being </w:t>
      </w:r>
      <w:r w:rsidRPr="004448F1">
        <w:t>106</w:t>
      </w:r>
      <w:r w:rsidR="008F5BD6" w:rsidRPr="004448F1">
        <w:t>–</w:t>
      </w:r>
      <w:r w:rsidR="004448F1">
        <w:t>1</w:t>
      </w:r>
      <w:r w:rsidRPr="004448F1">
        <w:t>15g/L</w:t>
      </w:r>
      <w:r w:rsidRPr="00DF1B38">
        <w:t xml:space="preserve"> at discharge. </w:t>
      </w:r>
    </w:p>
    <w:p w14:paraId="3C8A55C8" w14:textId="40B009AB" w:rsidR="00ED76BB" w:rsidRPr="008843F0" w:rsidRDefault="00ED76BB" w:rsidP="002B2FD9">
      <w:pPr>
        <w:pStyle w:val="Tablecaption"/>
      </w:pPr>
      <w:bookmarkStart w:id="98" w:name="_Ref67411178"/>
      <w:r w:rsidRPr="008843F0">
        <w:t xml:space="preserve">Table </w:t>
      </w:r>
      <w:bookmarkEnd w:id="98"/>
      <w:r w:rsidR="006F4FEC">
        <w:t>30</w:t>
      </w:r>
      <w:r w:rsidR="008F5BD6">
        <w:t>:</w:t>
      </w:r>
      <w:r w:rsidRPr="008843F0">
        <w:t xml:space="preserve"> </w:t>
      </w:r>
      <w:r w:rsidRPr="008F5214">
        <w:t>Haemoglobin</w:t>
      </w:r>
      <w:r w:rsidRPr="008843F0">
        <w:t xml:space="preserve"> on day of </w:t>
      </w:r>
      <w:r w:rsidRPr="00DF1B38">
        <w:t>discharge</w:t>
      </w:r>
      <w:r w:rsidRPr="008843F0">
        <w:t xml:space="preserve"> by surgery type</w:t>
      </w:r>
    </w:p>
    <w:tbl>
      <w:tblPr>
        <w:tblStyle w:val="TableGrid5"/>
        <w:tblW w:w="0" w:type="auto"/>
        <w:tblLook w:val="04A0" w:firstRow="1" w:lastRow="0" w:firstColumn="1" w:lastColumn="0" w:noHBand="0" w:noVBand="1"/>
      </w:tblPr>
      <w:tblGrid>
        <w:gridCol w:w="2696"/>
        <w:gridCol w:w="2077"/>
        <w:gridCol w:w="2104"/>
        <w:gridCol w:w="2075"/>
      </w:tblGrid>
      <w:tr w:rsidR="00ED76BB" w:rsidRPr="008843F0" w14:paraId="7C49AD29" w14:textId="77777777" w:rsidTr="002B2FD9">
        <w:tc>
          <w:tcPr>
            <w:tcW w:w="2696" w:type="dxa"/>
            <w:vAlign w:val="center"/>
          </w:tcPr>
          <w:p w14:paraId="2209AF60" w14:textId="77777777" w:rsidR="00ED76BB" w:rsidRPr="00DF1B38" w:rsidRDefault="00ED76BB" w:rsidP="003C2836">
            <w:pPr>
              <w:pStyle w:val="Tablecolhead"/>
            </w:pPr>
            <w:r w:rsidRPr="00DF1B38">
              <w:t>Surgery</w:t>
            </w:r>
          </w:p>
        </w:tc>
        <w:tc>
          <w:tcPr>
            <w:tcW w:w="2077" w:type="dxa"/>
            <w:vAlign w:val="center"/>
          </w:tcPr>
          <w:p w14:paraId="6899C7EB" w14:textId="77777777" w:rsidR="00ED76BB" w:rsidRPr="00DF1B38" w:rsidRDefault="00ED76BB" w:rsidP="003C2836">
            <w:pPr>
              <w:pStyle w:val="Tablecolhead"/>
            </w:pPr>
            <w:r w:rsidRPr="00DF1B38">
              <w:t>Number of all patients</w:t>
            </w:r>
          </w:p>
        </w:tc>
        <w:tc>
          <w:tcPr>
            <w:tcW w:w="2104" w:type="dxa"/>
            <w:vAlign w:val="center"/>
          </w:tcPr>
          <w:p w14:paraId="6E977E9A" w14:textId="77777777" w:rsidR="00ED76BB" w:rsidRPr="00DF1B38" w:rsidRDefault="00ED76BB" w:rsidP="003C2836">
            <w:pPr>
              <w:pStyle w:val="Tablecolhead"/>
            </w:pPr>
            <w:r w:rsidRPr="00DF1B38">
              <w:t>Number of patients with Hb at discharge (%)</w:t>
            </w:r>
          </w:p>
        </w:tc>
        <w:tc>
          <w:tcPr>
            <w:tcW w:w="2075" w:type="dxa"/>
            <w:vAlign w:val="center"/>
          </w:tcPr>
          <w:p w14:paraId="44E0B9EE" w14:textId="77777777" w:rsidR="00ED76BB" w:rsidRPr="00DF1B38" w:rsidRDefault="00ED76BB" w:rsidP="003C2836">
            <w:pPr>
              <w:pStyle w:val="Tablecolhead"/>
            </w:pPr>
            <w:r w:rsidRPr="00DF1B38">
              <w:t>Hb results (g/L)</w:t>
            </w:r>
            <w:r w:rsidRPr="00DF1B38">
              <w:br/>
              <w:t>average (range)</w:t>
            </w:r>
          </w:p>
        </w:tc>
      </w:tr>
      <w:tr w:rsidR="00ED76BB" w:rsidRPr="008843F0" w14:paraId="4050B672" w14:textId="77777777" w:rsidTr="002B2FD9">
        <w:tc>
          <w:tcPr>
            <w:tcW w:w="2696" w:type="dxa"/>
          </w:tcPr>
          <w:p w14:paraId="3184E599" w14:textId="77777777" w:rsidR="00ED76BB" w:rsidRPr="00DF1B38" w:rsidRDefault="00ED76BB" w:rsidP="003C2836">
            <w:pPr>
              <w:pStyle w:val="Tabletext"/>
            </w:pPr>
            <w:r w:rsidRPr="00DF1B38">
              <w:t>Orthopaedics</w:t>
            </w:r>
          </w:p>
        </w:tc>
        <w:tc>
          <w:tcPr>
            <w:tcW w:w="2077" w:type="dxa"/>
          </w:tcPr>
          <w:p w14:paraId="5268E10B" w14:textId="77777777" w:rsidR="00ED76BB" w:rsidRPr="00DF1B38" w:rsidRDefault="00ED76BB" w:rsidP="002B2FD9">
            <w:pPr>
              <w:pStyle w:val="Tabletext"/>
              <w:jc w:val="right"/>
            </w:pPr>
            <w:r w:rsidRPr="00DF1B38">
              <w:t>772</w:t>
            </w:r>
          </w:p>
        </w:tc>
        <w:tc>
          <w:tcPr>
            <w:tcW w:w="2104" w:type="dxa"/>
          </w:tcPr>
          <w:p w14:paraId="1C8E4142" w14:textId="77777777" w:rsidR="00ED76BB" w:rsidRPr="00DF1B38" w:rsidRDefault="00ED76BB" w:rsidP="002B2FD9">
            <w:pPr>
              <w:pStyle w:val="Tabletext"/>
              <w:jc w:val="right"/>
            </w:pPr>
            <w:r w:rsidRPr="00DF1B38">
              <w:t>697 (90%)</w:t>
            </w:r>
          </w:p>
        </w:tc>
        <w:tc>
          <w:tcPr>
            <w:tcW w:w="2075" w:type="dxa"/>
          </w:tcPr>
          <w:p w14:paraId="186A47C9" w14:textId="2684CEF6" w:rsidR="00ED76BB" w:rsidRPr="00DF1B38" w:rsidRDefault="00ED76BB" w:rsidP="002B2FD9">
            <w:pPr>
              <w:pStyle w:val="Tabletext"/>
              <w:jc w:val="right"/>
            </w:pPr>
            <w:r w:rsidRPr="00DF1B38">
              <w:t>112 (30–150)</w:t>
            </w:r>
          </w:p>
        </w:tc>
      </w:tr>
      <w:tr w:rsidR="00ED76BB" w:rsidRPr="008843F0" w14:paraId="708AE334" w14:textId="77777777" w:rsidTr="002B2FD9">
        <w:tc>
          <w:tcPr>
            <w:tcW w:w="2696" w:type="dxa"/>
          </w:tcPr>
          <w:p w14:paraId="737417BD" w14:textId="77777777" w:rsidR="00ED76BB" w:rsidRPr="00DF1B38" w:rsidRDefault="00ED76BB" w:rsidP="003C2836">
            <w:pPr>
              <w:pStyle w:val="Tabletext"/>
            </w:pPr>
            <w:r w:rsidRPr="00DF1B38">
              <w:t>Gynaecology</w:t>
            </w:r>
          </w:p>
        </w:tc>
        <w:tc>
          <w:tcPr>
            <w:tcW w:w="2077" w:type="dxa"/>
          </w:tcPr>
          <w:p w14:paraId="47BFB62E" w14:textId="77777777" w:rsidR="00ED76BB" w:rsidRPr="00DF1B38" w:rsidRDefault="00ED76BB" w:rsidP="002B2FD9">
            <w:pPr>
              <w:pStyle w:val="Tabletext"/>
              <w:jc w:val="right"/>
            </w:pPr>
            <w:r w:rsidRPr="00DF1B38">
              <w:t>343</w:t>
            </w:r>
          </w:p>
        </w:tc>
        <w:tc>
          <w:tcPr>
            <w:tcW w:w="2104" w:type="dxa"/>
          </w:tcPr>
          <w:p w14:paraId="20BCDAC1" w14:textId="77777777" w:rsidR="00ED76BB" w:rsidRPr="00DF1B38" w:rsidRDefault="00ED76BB" w:rsidP="002B2FD9">
            <w:pPr>
              <w:pStyle w:val="Tabletext"/>
              <w:jc w:val="right"/>
            </w:pPr>
            <w:r w:rsidRPr="00DF1B38">
              <w:t>244 (71%)</w:t>
            </w:r>
          </w:p>
        </w:tc>
        <w:tc>
          <w:tcPr>
            <w:tcW w:w="2075" w:type="dxa"/>
          </w:tcPr>
          <w:p w14:paraId="0820E201" w14:textId="5950DFEF" w:rsidR="00ED76BB" w:rsidRPr="00DF1B38" w:rsidRDefault="00ED76BB" w:rsidP="002B2FD9">
            <w:pPr>
              <w:pStyle w:val="Tabletext"/>
              <w:jc w:val="right"/>
            </w:pPr>
            <w:r w:rsidRPr="00DF1B38">
              <w:t>114 (46–173)</w:t>
            </w:r>
          </w:p>
        </w:tc>
      </w:tr>
      <w:tr w:rsidR="00ED76BB" w:rsidRPr="008843F0" w14:paraId="238591D2" w14:textId="77777777" w:rsidTr="002B2FD9">
        <w:tc>
          <w:tcPr>
            <w:tcW w:w="2696" w:type="dxa"/>
          </w:tcPr>
          <w:p w14:paraId="1B3B2D7D" w14:textId="77777777" w:rsidR="00ED76BB" w:rsidRPr="00DF1B38" w:rsidRDefault="00ED76BB" w:rsidP="003C2836">
            <w:pPr>
              <w:pStyle w:val="Tabletext"/>
            </w:pPr>
            <w:r w:rsidRPr="00DF1B38">
              <w:t>Major gastrointestinal</w:t>
            </w:r>
          </w:p>
        </w:tc>
        <w:tc>
          <w:tcPr>
            <w:tcW w:w="2077" w:type="dxa"/>
          </w:tcPr>
          <w:p w14:paraId="484CE7F4" w14:textId="77777777" w:rsidR="00ED76BB" w:rsidRPr="00DF1B38" w:rsidRDefault="00ED76BB" w:rsidP="002B2FD9">
            <w:pPr>
              <w:pStyle w:val="Tabletext"/>
              <w:jc w:val="right"/>
            </w:pPr>
            <w:r w:rsidRPr="00DF1B38">
              <w:t>296</w:t>
            </w:r>
          </w:p>
        </w:tc>
        <w:tc>
          <w:tcPr>
            <w:tcW w:w="2104" w:type="dxa"/>
          </w:tcPr>
          <w:p w14:paraId="496B69C9" w14:textId="77777777" w:rsidR="00ED76BB" w:rsidRPr="00DF1B38" w:rsidRDefault="00ED76BB" w:rsidP="002B2FD9">
            <w:pPr>
              <w:pStyle w:val="Tabletext"/>
              <w:jc w:val="right"/>
            </w:pPr>
            <w:r w:rsidRPr="00DF1B38">
              <w:t>293 (99%)</w:t>
            </w:r>
          </w:p>
        </w:tc>
        <w:tc>
          <w:tcPr>
            <w:tcW w:w="2075" w:type="dxa"/>
          </w:tcPr>
          <w:p w14:paraId="38C61E4F" w14:textId="6D06AF59" w:rsidR="00ED76BB" w:rsidRPr="00DF1B38" w:rsidRDefault="00ED76BB" w:rsidP="002B2FD9">
            <w:pPr>
              <w:pStyle w:val="Tabletext"/>
              <w:jc w:val="right"/>
            </w:pPr>
            <w:r w:rsidRPr="00DF1B38">
              <w:t>115 (76–170)</w:t>
            </w:r>
          </w:p>
        </w:tc>
      </w:tr>
      <w:tr w:rsidR="00ED76BB" w:rsidRPr="008843F0" w14:paraId="653733A8" w14:textId="77777777" w:rsidTr="002B2FD9">
        <w:tc>
          <w:tcPr>
            <w:tcW w:w="2696" w:type="dxa"/>
          </w:tcPr>
          <w:p w14:paraId="5637E5F3" w14:textId="77777777" w:rsidR="00ED76BB" w:rsidRPr="00DF1B38" w:rsidRDefault="00ED76BB" w:rsidP="003C2836">
            <w:pPr>
              <w:pStyle w:val="Tabletext"/>
            </w:pPr>
            <w:r w:rsidRPr="00DF1B38">
              <w:t>Cardiothoracic</w:t>
            </w:r>
          </w:p>
        </w:tc>
        <w:tc>
          <w:tcPr>
            <w:tcW w:w="2077" w:type="dxa"/>
          </w:tcPr>
          <w:p w14:paraId="397D921D" w14:textId="77777777" w:rsidR="00ED76BB" w:rsidRPr="00DF1B38" w:rsidRDefault="00ED76BB" w:rsidP="002B2FD9">
            <w:pPr>
              <w:pStyle w:val="Tabletext"/>
              <w:jc w:val="right"/>
            </w:pPr>
            <w:r w:rsidRPr="00DF1B38">
              <w:t>130</w:t>
            </w:r>
          </w:p>
        </w:tc>
        <w:tc>
          <w:tcPr>
            <w:tcW w:w="2104" w:type="dxa"/>
          </w:tcPr>
          <w:p w14:paraId="215B3F86" w14:textId="77777777" w:rsidR="00ED76BB" w:rsidRPr="00DF1B38" w:rsidRDefault="00ED76BB" w:rsidP="002B2FD9">
            <w:pPr>
              <w:pStyle w:val="Tabletext"/>
              <w:jc w:val="right"/>
            </w:pPr>
            <w:r w:rsidRPr="00DF1B38">
              <w:t>130 (100%)</w:t>
            </w:r>
          </w:p>
        </w:tc>
        <w:tc>
          <w:tcPr>
            <w:tcW w:w="2075" w:type="dxa"/>
          </w:tcPr>
          <w:p w14:paraId="44A0BB1D" w14:textId="73E980F8" w:rsidR="00ED76BB" w:rsidRPr="00DF1B38" w:rsidRDefault="00ED76BB" w:rsidP="002B2FD9">
            <w:pPr>
              <w:pStyle w:val="Tabletext"/>
              <w:jc w:val="right"/>
            </w:pPr>
            <w:r w:rsidRPr="00DF1B38">
              <w:t>106 (78–161)</w:t>
            </w:r>
          </w:p>
        </w:tc>
      </w:tr>
      <w:tr w:rsidR="00ED76BB" w:rsidRPr="008843F0" w14:paraId="1EA0200E" w14:textId="77777777" w:rsidTr="002B2FD9">
        <w:tc>
          <w:tcPr>
            <w:tcW w:w="2696" w:type="dxa"/>
          </w:tcPr>
          <w:p w14:paraId="11C591FF" w14:textId="77777777" w:rsidR="00ED76BB" w:rsidRPr="00DF1B38" w:rsidRDefault="00ED76BB" w:rsidP="003C2836">
            <w:pPr>
              <w:pStyle w:val="Tabletext"/>
              <w:rPr>
                <w:b/>
                <w:bCs/>
              </w:rPr>
            </w:pPr>
            <w:r w:rsidRPr="00DF1B38">
              <w:rPr>
                <w:b/>
                <w:bCs/>
              </w:rPr>
              <w:t>Total (all surgical types)</w:t>
            </w:r>
          </w:p>
        </w:tc>
        <w:tc>
          <w:tcPr>
            <w:tcW w:w="2077" w:type="dxa"/>
          </w:tcPr>
          <w:p w14:paraId="637E8E92" w14:textId="77777777" w:rsidR="00ED76BB" w:rsidRPr="00DF1B38" w:rsidRDefault="00ED76BB" w:rsidP="002B2FD9">
            <w:pPr>
              <w:pStyle w:val="Tabletext"/>
              <w:jc w:val="right"/>
              <w:rPr>
                <w:b/>
                <w:bCs/>
              </w:rPr>
            </w:pPr>
            <w:r w:rsidRPr="00DF1B38">
              <w:rPr>
                <w:b/>
                <w:bCs/>
              </w:rPr>
              <w:t>1541</w:t>
            </w:r>
          </w:p>
        </w:tc>
        <w:tc>
          <w:tcPr>
            <w:tcW w:w="2104" w:type="dxa"/>
          </w:tcPr>
          <w:p w14:paraId="093053F4" w14:textId="77777777" w:rsidR="00ED76BB" w:rsidRPr="00DF1B38" w:rsidRDefault="00ED76BB" w:rsidP="002B2FD9">
            <w:pPr>
              <w:pStyle w:val="Tabletext"/>
              <w:jc w:val="right"/>
              <w:rPr>
                <w:b/>
                <w:bCs/>
              </w:rPr>
            </w:pPr>
            <w:r w:rsidRPr="00DF1B38">
              <w:rPr>
                <w:b/>
                <w:bCs/>
              </w:rPr>
              <w:t>1364 (89%)</w:t>
            </w:r>
          </w:p>
        </w:tc>
        <w:tc>
          <w:tcPr>
            <w:tcW w:w="2075" w:type="dxa"/>
          </w:tcPr>
          <w:p w14:paraId="1E11741C" w14:textId="527D2D49" w:rsidR="00ED76BB" w:rsidRPr="00DF1B38" w:rsidRDefault="00ED76BB" w:rsidP="002B2FD9">
            <w:pPr>
              <w:pStyle w:val="Tabletext"/>
              <w:jc w:val="right"/>
              <w:rPr>
                <w:b/>
                <w:bCs/>
              </w:rPr>
            </w:pPr>
            <w:r w:rsidRPr="00DF1B38">
              <w:rPr>
                <w:b/>
                <w:bCs/>
              </w:rPr>
              <w:t>113 (30–173)</w:t>
            </w:r>
          </w:p>
        </w:tc>
      </w:tr>
    </w:tbl>
    <w:p w14:paraId="2592978F" w14:textId="4390B031" w:rsidR="008F5BD6" w:rsidRDefault="00ED76BB" w:rsidP="00ED76BB">
      <w:pPr>
        <w:pStyle w:val="Bodyaftertablefigure"/>
      </w:pPr>
      <w:r w:rsidRPr="008843F0">
        <w:t>For all patients, those without anaemia o</w:t>
      </w:r>
      <w:r w:rsidR="004448F1">
        <w:t>r</w:t>
      </w:r>
      <w:r w:rsidRPr="008843F0">
        <w:t xml:space="preserve"> iron deficiency at preoperative screening appear to result in a higher average Hb at </w:t>
      </w:r>
      <w:r w:rsidRPr="00DF1B38">
        <w:t>discharge</w:t>
      </w:r>
      <w:r w:rsidRPr="008843F0">
        <w:t xml:space="preserve"> than all other groups (Table </w:t>
      </w:r>
      <w:r w:rsidR="00933EA0">
        <w:t>31</w:t>
      </w:r>
      <w:r w:rsidRPr="008843F0">
        <w:t xml:space="preserve">). </w:t>
      </w:r>
    </w:p>
    <w:p w14:paraId="3F47D0F8" w14:textId="77777777" w:rsidR="008F5BD6" w:rsidRDefault="00ED76BB" w:rsidP="008F5BD6">
      <w:pPr>
        <w:pStyle w:val="Body"/>
      </w:pPr>
      <w:r w:rsidRPr="008843F0">
        <w:t>Patients with anaemia at preoperative screening, whether or not resolved</w:t>
      </w:r>
      <w:r w:rsidR="008F5BD6">
        <w:t>,</w:t>
      </w:r>
      <w:r w:rsidRPr="008843F0">
        <w:t xml:space="preserve"> had the lowest average Hb at discharge. </w:t>
      </w:r>
    </w:p>
    <w:p w14:paraId="7FFA704E" w14:textId="6DF085BF" w:rsidR="00ED76BB" w:rsidRPr="008843F0" w:rsidRDefault="00ED76BB" w:rsidP="002B2FD9">
      <w:pPr>
        <w:pStyle w:val="Body"/>
      </w:pPr>
      <w:r w:rsidRPr="008843F0">
        <w:t xml:space="preserve">Numbers in some </w:t>
      </w:r>
      <w:r w:rsidRPr="008F5BD6">
        <w:t>groups</w:t>
      </w:r>
      <w:r w:rsidRPr="008843F0">
        <w:t xml:space="preserve"> are small, especially those patients </w:t>
      </w:r>
      <w:proofErr w:type="gramStart"/>
      <w:r w:rsidRPr="008843F0">
        <w:t>treated</w:t>
      </w:r>
      <w:proofErr w:type="gramEnd"/>
      <w:r w:rsidRPr="008843F0">
        <w:t xml:space="preserve"> and anaemia or iron deficiency resolved, so we may not be seeing the benefits of treatment that would be expected.</w:t>
      </w:r>
    </w:p>
    <w:p w14:paraId="45B35B85" w14:textId="3F24D099" w:rsidR="00ED76BB" w:rsidRPr="008843F0" w:rsidRDefault="00ED76BB" w:rsidP="002B2FD9">
      <w:pPr>
        <w:pStyle w:val="Tablecaption"/>
      </w:pPr>
      <w:r w:rsidRPr="008843F0">
        <w:t xml:space="preserve">Table </w:t>
      </w:r>
      <w:r w:rsidR="006F4FEC">
        <w:t>31</w:t>
      </w:r>
      <w:r w:rsidRPr="008843F0">
        <w:t xml:space="preserve">: </w:t>
      </w:r>
      <w:r w:rsidRPr="008F5214">
        <w:t>Haemoglobin</w:t>
      </w:r>
      <w:r w:rsidRPr="008843F0">
        <w:t xml:space="preserve"> on day of discharge by preoperative anaemia status</w:t>
      </w:r>
    </w:p>
    <w:tbl>
      <w:tblPr>
        <w:tblStyle w:val="TableGrid5"/>
        <w:tblW w:w="0" w:type="auto"/>
        <w:tblLook w:val="04A0" w:firstRow="1" w:lastRow="0" w:firstColumn="1" w:lastColumn="0" w:noHBand="0" w:noVBand="1"/>
      </w:tblPr>
      <w:tblGrid>
        <w:gridCol w:w="4619"/>
        <w:gridCol w:w="2077"/>
        <w:gridCol w:w="2075"/>
      </w:tblGrid>
      <w:tr w:rsidR="00ED76BB" w:rsidRPr="008843F0" w14:paraId="3DC547A4" w14:textId="77777777" w:rsidTr="002B2FD9">
        <w:trPr>
          <w:tblHeader/>
        </w:trPr>
        <w:tc>
          <w:tcPr>
            <w:tcW w:w="4619" w:type="dxa"/>
            <w:vAlign w:val="center"/>
          </w:tcPr>
          <w:p w14:paraId="0CCAC879" w14:textId="77777777" w:rsidR="00ED76BB" w:rsidRPr="00DF1B38" w:rsidRDefault="00ED76BB" w:rsidP="003C2836">
            <w:pPr>
              <w:pStyle w:val="Tablecolhead"/>
            </w:pPr>
            <w:r w:rsidRPr="00DF1B38">
              <w:t>Preoperative anaemia status</w:t>
            </w:r>
          </w:p>
        </w:tc>
        <w:tc>
          <w:tcPr>
            <w:tcW w:w="2077" w:type="dxa"/>
            <w:vAlign w:val="center"/>
          </w:tcPr>
          <w:p w14:paraId="5A79848D" w14:textId="77777777" w:rsidR="00ED76BB" w:rsidRPr="00DF1B38" w:rsidRDefault="00ED76BB" w:rsidP="003C2836">
            <w:pPr>
              <w:pStyle w:val="Tablecolhead"/>
            </w:pPr>
            <w:r w:rsidRPr="00DF1B38">
              <w:t>Number of patients</w:t>
            </w:r>
          </w:p>
        </w:tc>
        <w:tc>
          <w:tcPr>
            <w:tcW w:w="2075" w:type="dxa"/>
            <w:vAlign w:val="center"/>
          </w:tcPr>
          <w:p w14:paraId="02DEF0B7" w14:textId="77777777" w:rsidR="00ED76BB" w:rsidRPr="00DF1B38" w:rsidRDefault="00ED76BB" w:rsidP="003C2836">
            <w:pPr>
              <w:pStyle w:val="Tablecolhead"/>
            </w:pPr>
            <w:r w:rsidRPr="00DF1B38">
              <w:t>Hb (g/L) at discharge</w:t>
            </w:r>
            <w:r w:rsidRPr="00DF1B38">
              <w:br/>
              <w:t>average (range)</w:t>
            </w:r>
          </w:p>
        </w:tc>
      </w:tr>
      <w:tr w:rsidR="00ED76BB" w:rsidRPr="008843F0" w14:paraId="4169C331" w14:textId="77777777" w:rsidTr="002B2FD9">
        <w:tc>
          <w:tcPr>
            <w:tcW w:w="4619" w:type="dxa"/>
          </w:tcPr>
          <w:p w14:paraId="545A2A08" w14:textId="77777777" w:rsidR="00ED76BB" w:rsidRPr="008843F0" w:rsidRDefault="00ED76BB" w:rsidP="003C2836">
            <w:pPr>
              <w:pStyle w:val="Tabletext"/>
            </w:pPr>
            <w:r w:rsidRPr="008843F0">
              <w:t>No assessment (or no pathology at assessment)</w:t>
            </w:r>
          </w:p>
        </w:tc>
        <w:tc>
          <w:tcPr>
            <w:tcW w:w="2077" w:type="dxa"/>
          </w:tcPr>
          <w:p w14:paraId="220B6261" w14:textId="77777777" w:rsidR="00ED76BB" w:rsidRPr="008843F0" w:rsidRDefault="00ED76BB" w:rsidP="002B2FD9">
            <w:pPr>
              <w:pStyle w:val="Tabletext"/>
              <w:jc w:val="right"/>
              <w:rPr>
                <w:lang w:eastAsia="en-AU"/>
              </w:rPr>
            </w:pPr>
            <w:r w:rsidRPr="008843F0">
              <w:rPr>
                <w:lang w:eastAsia="en-AU"/>
              </w:rPr>
              <w:t>340</w:t>
            </w:r>
          </w:p>
        </w:tc>
        <w:tc>
          <w:tcPr>
            <w:tcW w:w="2075" w:type="dxa"/>
          </w:tcPr>
          <w:p w14:paraId="29C9E52D" w14:textId="3911F0EA" w:rsidR="00ED76BB" w:rsidRPr="008843F0" w:rsidRDefault="00ED76BB" w:rsidP="002B2FD9">
            <w:pPr>
              <w:pStyle w:val="Tabletext"/>
              <w:jc w:val="right"/>
              <w:rPr>
                <w:lang w:eastAsia="en-AU"/>
              </w:rPr>
            </w:pPr>
            <w:r w:rsidRPr="008843F0">
              <w:rPr>
                <w:lang w:eastAsia="en-AU"/>
              </w:rPr>
              <w:t>113 (30–173)</w:t>
            </w:r>
          </w:p>
        </w:tc>
      </w:tr>
      <w:tr w:rsidR="00ED76BB" w:rsidRPr="008843F0" w14:paraId="4360915E" w14:textId="77777777" w:rsidTr="002B2FD9">
        <w:tc>
          <w:tcPr>
            <w:tcW w:w="4619" w:type="dxa"/>
          </w:tcPr>
          <w:p w14:paraId="11721275" w14:textId="77777777" w:rsidR="00ED76BB" w:rsidRPr="008843F0" w:rsidRDefault="00ED76BB" w:rsidP="003C2836">
            <w:pPr>
              <w:pStyle w:val="Tabletext"/>
              <w:rPr>
                <w:lang w:eastAsia="en-AU"/>
              </w:rPr>
            </w:pPr>
            <w:r w:rsidRPr="008843F0">
              <w:rPr>
                <w:lang w:eastAsia="en-AU"/>
              </w:rPr>
              <w:t>Assessed (no anaemia/iron deficiency)</w:t>
            </w:r>
          </w:p>
        </w:tc>
        <w:tc>
          <w:tcPr>
            <w:tcW w:w="2077" w:type="dxa"/>
          </w:tcPr>
          <w:p w14:paraId="603ADC4E" w14:textId="77777777" w:rsidR="00ED76BB" w:rsidRPr="008843F0" w:rsidRDefault="00ED76BB" w:rsidP="002B2FD9">
            <w:pPr>
              <w:pStyle w:val="Tabletext"/>
              <w:jc w:val="right"/>
              <w:rPr>
                <w:lang w:eastAsia="en-AU"/>
              </w:rPr>
            </w:pPr>
            <w:r w:rsidRPr="008843F0">
              <w:rPr>
                <w:lang w:eastAsia="en-AU"/>
              </w:rPr>
              <w:t>779</w:t>
            </w:r>
          </w:p>
        </w:tc>
        <w:tc>
          <w:tcPr>
            <w:tcW w:w="2075" w:type="dxa"/>
          </w:tcPr>
          <w:p w14:paraId="4D229951" w14:textId="34C508F3" w:rsidR="00ED76BB" w:rsidRPr="008843F0" w:rsidRDefault="00ED76BB" w:rsidP="002B2FD9">
            <w:pPr>
              <w:pStyle w:val="Tabletext"/>
              <w:jc w:val="right"/>
              <w:rPr>
                <w:lang w:eastAsia="en-AU"/>
              </w:rPr>
            </w:pPr>
            <w:r w:rsidRPr="008843F0">
              <w:rPr>
                <w:lang w:eastAsia="en-AU"/>
              </w:rPr>
              <w:t>116 (76–170)</w:t>
            </w:r>
          </w:p>
        </w:tc>
      </w:tr>
      <w:tr w:rsidR="00ED76BB" w:rsidRPr="008843F0" w14:paraId="77FAFBC8" w14:textId="77777777" w:rsidTr="002B2FD9">
        <w:tc>
          <w:tcPr>
            <w:tcW w:w="4619" w:type="dxa"/>
          </w:tcPr>
          <w:p w14:paraId="6AB58DED" w14:textId="77777777" w:rsidR="00ED76BB" w:rsidRPr="008843F0" w:rsidRDefault="00ED76BB" w:rsidP="003C2836">
            <w:pPr>
              <w:pStyle w:val="Tabletext"/>
            </w:pPr>
            <w:r w:rsidRPr="008843F0">
              <w:t>Iron depletion (resolved)</w:t>
            </w:r>
          </w:p>
        </w:tc>
        <w:tc>
          <w:tcPr>
            <w:tcW w:w="2077" w:type="dxa"/>
          </w:tcPr>
          <w:p w14:paraId="5212A193" w14:textId="77777777" w:rsidR="00ED76BB" w:rsidRPr="008843F0" w:rsidRDefault="00ED76BB" w:rsidP="002B2FD9">
            <w:pPr>
              <w:pStyle w:val="Tabletext"/>
              <w:jc w:val="right"/>
            </w:pPr>
            <w:r w:rsidRPr="008843F0">
              <w:rPr>
                <w:lang w:eastAsia="en-AU"/>
              </w:rPr>
              <w:t>6</w:t>
            </w:r>
          </w:p>
        </w:tc>
        <w:tc>
          <w:tcPr>
            <w:tcW w:w="2075" w:type="dxa"/>
          </w:tcPr>
          <w:p w14:paraId="2FCD747F" w14:textId="05F51C89" w:rsidR="00ED76BB" w:rsidRPr="008843F0" w:rsidRDefault="00ED76BB" w:rsidP="002B2FD9">
            <w:pPr>
              <w:pStyle w:val="Tabletext"/>
              <w:jc w:val="right"/>
            </w:pPr>
            <w:r w:rsidRPr="008843F0">
              <w:rPr>
                <w:lang w:eastAsia="en-AU"/>
              </w:rPr>
              <w:t>114 (98</w:t>
            </w:r>
            <w:r w:rsidR="008F5BD6">
              <w:rPr>
                <w:lang w:eastAsia="en-AU"/>
              </w:rPr>
              <w:t>–</w:t>
            </w:r>
            <w:r w:rsidRPr="008843F0">
              <w:rPr>
                <w:lang w:eastAsia="en-AU"/>
              </w:rPr>
              <w:t>121)</w:t>
            </w:r>
          </w:p>
        </w:tc>
      </w:tr>
      <w:tr w:rsidR="00ED76BB" w:rsidRPr="008843F0" w14:paraId="17090F45" w14:textId="77777777" w:rsidTr="002B2FD9">
        <w:tc>
          <w:tcPr>
            <w:tcW w:w="4619" w:type="dxa"/>
          </w:tcPr>
          <w:p w14:paraId="729A2B14" w14:textId="77777777" w:rsidR="00ED76BB" w:rsidRPr="008843F0" w:rsidRDefault="00ED76BB" w:rsidP="003C2836">
            <w:pPr>
              <w:pStyle w:val="Tabletext"/>
            </w:pPr>
            <w:r w:rsidRPr="008843F0">
              <w:t>Iron depletion (not resolved)</w:t>
            </w:r>
          </w:p>
        </w:tc>
        <w:tc>
          <w:tcPr>
            <w:tcW w:w="2077" w:type="dxa"/>
          </w:tcPr>
          <w:p w14:paraId="1F738F2F" w14:textId="77777777" w:rsidR="00ED76BB" w:rsidRPr="008843F0" w:rsidRDefault="00ED76BB" w:rsidP="002B2FD9">
            <w:pPr>
              <w:pStyle w:val="Tabletext"/>
              <w:jc w:val="right"/>
              <w:rPr>
                <w:lang w:eastAsia="en-AU"/>
              </w:rPr>
            </w:pPr>
            <w:r w:rsidRPr="008843F0">
              <w:rPr>
                <w:lang w:eastAsia="en-AU"/>
              </w:rPr>
              <w:t>168</w:t>
            </w:r>
          </w:p>
        </w:tc>
        <w:tc>
          <w:tcPr>
            <w:tcW w:w="2075" w:type="dxa"/>
          </w:tcPr>
          <w:p w14:paraId="2F48CDB9" w14:textId="275475DC" w:rsidR="00ED76BB" w:rsidRPr="008843F0" w:rsidRDefault="00ED76BB" w:rsidP="002B2FD9">
            <w:pPr>
              <w:pStyle w:val="Tabletext"/>
              <w:jc w:val="right"/>
              <w:rPr>
                <w:lang w:eastAsia="en-AU"/>
              </w:rPr>
            </w:pPr>
            <w:r w:rsidRPr="008843F0">
              <w:rPr>
                <w:lang w:eastAsia="en-AU"/>
              </w:rPr>
              <w:t>113 (46</w:t>
            </w:r>
            <w:r w:rsidR="008F5BD6">
              <w:rPr>
                <w:lang w:eastAsia="en-AU"/>
              </w:rPr>
              <w:t>–</w:t>
            </w:r>
            <w:r w:rsidRPr="008843F0">
              <w:rPr>
                <w:lang w:eastAsia="en-AU"/>
              </w:rPr>
              <w:t>157)</w:t>
            </w:r>
          </w:p>
        </w:tc>
      </w:tr>
      <w:tr w:rsidR="00ED76BB" w:rsidRPr="008843F0" w14:paraId="5714255C" w14:textId="77777777" w:rsidTr="002B2FD9">
        <w:tc>
          <w:tcPr>
            <w:tcW w:w="4619" w:type="dxa"/>
          </w:tcPr>
          <w:p w14:paraId="519B9478" w14:textId="77777777" w:rsidR="00ED76BB" w:rsidRPr="008843F0" w:rsidRDefault="00ED76BB" w:rsidP="003C2836">
            <w:pPr>
              <w:pStyle w:val="Tabletext"/>
            </w:pPr>
            <w:r w:rsidRPr="008843F0">
              <w:t>Non anaemia iron deficiency (resolved)</w:t>
            </w:r>
          </w:p>
        </w:tc>
        <w:tc>
          <w:tcPr>
            <w:tcW w:w="2077" w:type="dxa"/>
          </w:tcPr>
          <w:p w14:paraId="589BA798" w14:textId="77777777" w:rsidR="00ED76BB" w:rsidRPr="008843F0" w:rsidRDefault="00ED76BB" w:rsidP="002B2FD9">
            <w:pPr>
              <w:pStyle w:val="Tabletext"/>
              <w:jc w:val="right"/>
              <w:rPr>
                <w:lang w:eastAsia="en-AU"/>
              </w:rPr>
            </w:pPr>
            <w:r w:rsidRPr="008843F0">
              <w:rPr>
                <w:lang w:eastAsia="en-AU"/>
              </w:rPr>
              <w:t>9</w:t>
            </w:r>
          </w:p>
        </w:tc>
        <w:tc>
          <w:tcPr>
            <w:tcW w:w="2075" w:type="dxa"/>
          </w:tcPr>
          <w:p w14:paraId="6679508D" w14:textId="49F6C905" w:rsidR="00ED76BB" w:rsidRPr="008843F0" w:rsidRDefault="00ED76BB" w:rsidP="002B2FD9">
            <w:pPr>
              <w:pStyle w:val="Tabletext"/>
              <w:jc w:val="right"/>
              <w:rPr>
                <w:lang w:eastAsia="en-AU"/>
              </w:rPr>
            </w:pPr>
            <w:r w:rsidRPr="008843F0">
              <w:rPr>
                <w:lang w:eastAsia="en-AU"/>
              </w:rPr>
              <w:t>112 (102–122)</w:t>
            </w:r>
          </w:p>
        </w:tc>
      </w:tr>
      <w:tr w:rsidR="00ED76BB" w:rsidRPr="008843F0" w14:paraId="48AC1147" w14:textId="77777777" w:rsidTr="002B2FD9">
        <w:tc>
          <w:tcPr>
            <w:tcW w:w="4619" w:type="dxa"/>
          </w:tcPr>
          <w:p w14:paraId="3AEA2917" w14:textId="77777777" w:rsidR="00ED76BB" w:rsidRPr="008843F0" w:rsidRDefault="00ED76BB" w:rsidP="003C2836">
            <w:pPr>
              <w:pStyle w:val="Tabletext"/>
            </w:pPr>
            <w:r w:rsidRPr="008843F0">
              <w:t>Non anaemia iron deficiency (not resolved)</w:t>
            </w:r>
          </w:p>
        </w:tc>
        <w:tc>
          <w:tcPr>
            <w:tcW w:w="2077" w:type="dxa"/>
          </w:tcPr>
          <w:p w14:paraId="44373C0F" w14:textId="77777777" w:rsidR="00ED76BB" w:rsidRPr="008843F0" w:rsidRDefault="00ED76BB" w:rsidP="002B2FD9">
            <w:pPr>
              <w:pStyle w:val="Tabletext"/>
              <w:jc w:val="right"/>
              <w:rPr>
                <w:lang w:eastAsia="en-AU"/>
              </w:rPr>
            </w:pPr>
            <w:r w:rsidRPr="008843F0">
              <w:rPr>
                <w:lang w:eastAsia="en-AU"/>
              </w:rPr>
              <w:t>46</w:t>
            </w:r>
          </w:p>
        </w:tc>
        <w:tc>
          <w:tcPr>
            <w:tcW w:w="2075" w:type="dxa"/>
          </w:tcPr>
          <w:p w14:paraId="1607EA16" w14:textId="2DAAFF16" w:rsidR="00ED76BB" w:rsidRPr="008843F0" w:rsidRDefault="00ED76BB" w:rsidP="002B2FD9">
            <w:pPr>
              <w:pStyle w:val="Tabletext"/>
              <w:jc w:val="right"/>
              <w:rPr>
                <w:lang w:eastAsia="en-AU"/>
              </w:rPr>
            </w:pPr>
            <w:r w:rsidRPr="008843F0">
              <w:rPr>
                <w:lang w:eastAsia="en-AU"/>
              </w:rPr>
              <w:t>111 (92–138)</w:t>
            </w:r>
          </w:p>
        </w:tc>
      </w:tr>
      <w:tr w:rsidR="00ED76BB" w:rsidRPr="008843F0" w14:paraId="4AEA4C86" w14:textId="77777777" w:rsidTr="002B2FD9">
        <w:tc>
          <w:tcPr>
            <w:tcW w:w="4619" w:type="dxa"/>
          </w:tcPr>
          <w:p w14:paraId="0C1FAEFB" w14:textId="77777777" w:rsidR="00ED76BB" w:rsidRPr="008843F0" w:rsidRDefault="00ED76BB" w:rsidP="003C2836">
            <w:pPr>
              <w:pStyle w:val="Tabletext"/>
            </w:pPr>
            <w:r w:rsidRPr="008843F0">
              <w:t>Iron deficiency anaemia (resolved)</w:t>
            </w:r>
          </w:p>
        </w:tc>
        <w:tc>
          <w:tcPr>
            <w:tcW w:w="2077" w:type="dxa"/>
          </w:tcPr>
          <w:p w14:paraId="36889306" w14:textId="77777777" w:rsidR="00ED76BB" w:rsidRPr="008843F0" w:rsidRDefault="00ED76BB" w:rsidP="002B2FD9">
            <w:pPr>
              <w:pStyle w:val="Tabletext"/>
              <w:jc w:val="right"/>
              <w:rPr>
                <w:lang w:eastAsia="en-AU"/>
              </w:rPr>
            </w:pPr>
            <w:r w:rsidRPr="008843F0">
              <w:rPr>
                <w:lang w:eastAsia="en-AU"/>
              </w:rPr>
              <w:t>9</w:t>
            </w:r>
          </w:p>
        </w:tc>
        <w:tc>
          <w:tcPr>
            <w:tcW w:w="2075" w:type="dxa"/>
          </w:tcPr>
          <w:p w14:paraId="307D1DBB" w14:textId="1408C516" w:rsidR="00ED76BB" w:rsidRPr="008843F0" w:rsidRDefault="00ED76BB" w:rsidP="002B2FD9">
            <w:pPr>
              <w:pStyle w:val="Tabletext"/>
              <w:jc w:val="right"/>
              <w:rPr>
                <w:lang w:eastAsia="en-AU"/>
              </w:rPr>
            </w:pPr>
            <w:r w:rsidRPr="008843F0">
              <w:rPr>
                <w:lang w:eastAsia="en-AU"/>
              </w:rPr>
              <w:t>106 (85</w:t>
            </w:r>
            <w:r w:rsidR="008F5BD6">
              <w:rPr>
                <w:lang w:eastAsia="en-AU"/>
              </w:rPr>
              <w:t>–</w:t>
            </w:r>
            <w:r w:rsidRPr="008843F0">
              <w:rPr>
                <w:lang w:eastAsia="en-AU"/>
              </w:rPr>
              <w:t>124)</w:t>
            </w:r>
          </w:p>
        </w:tc>
      </w:tr>
      <w:tr w:rsidR="00ED76BB" w:rsidRPr="008843F0" w14:paraId="62BE583C" w14:textId="77777777" w:rsidTr="002B2FD9">
        <w:tc>
          <w:tcPr>
            <w:tcW w:w="4619" w:type="dxa"/>
          </w:tcPr>
          <w:p w14:paraId="1986965C" w14:textId="77777777" w:rsidR="00ED76BB" w:rsidRPr="008843F0" w:rsidRDefault="00ED76BB" w:rsidP="003C2836">
            <w:pPr>
              <w:pStyle w:val="Tabletext"/>
            </w:pPr>
            <w:r w:rsidRPr="008843F0">
              <w:t>Iron deficiency anaemia (not resolved)</w:t>
            </w:r>
          </w:p>
        </w:tc>
        <w:tc>
          <w:tcPr>
            <w:tcW w:w="2077" w:type="dxa"/>
          </w:tcPr>
          <w:p w14:paraId="5B430D8E" w14:textId="77777777" w:rsidR="00ED76BB" w:rsidRPr="008843F0" w:rsidRDefault="00ED76BB" w:rsidP="002B2FD9">
            <w:pPr>
              <w:pStyle w:val="Tabletext"/>
              <w:jc w:val="right"/>
              <w:rPr>
                <w:lang w:eastAsia="en-AU"/>
              </w:rPr>
            </w:pPr>
            <w:r w:rsidRPr="008843F0">
              <w:rPr>
                <w:lang w:eastAsia="en-AU"/>
              </w:rPr>
              <w:t>34</w:t>
            </w:r>
          </w:p>
        </w:tc>
        <w:tc>
          <w:tcPr>
            <w:tcW w:w="2075" w:type="dxa"/>
          </w:tcPr>
          <w:p w14:paraId="366BDB06" w14:textId="0329CE95" w:rsidR="00ED76BB" w:rsidRPr="008843F0" w:rsidRDefault="00ED76BB" w:rsidP="002B2FD9">
            <w:pPr>
              <w:pStyle w:val="Tabletext"/>
              <w:jc w:val="right"/>
              <w:rPr>
                <w:lang w:eastAsia="en-AU"/>
              </w:rPr>
            </w:pPr>
            <w:r w:rsidRPr="008843F0">
              <w:rPr>
                <w:lang w:eastAsia="en-AU"/>
              </w:rPr>
              <w:t>100 (80–159)</w:t>
            </w:r>
          </w:p>
        </w:tc>
      </w:tr>
      <w:tr w:rsidR="00ED76BB" w:rsidRPr="008843F0" w14:paraId="59E54F2A" w14:textId="77777777" w:rsidTr="002B2FD9">
        <w:tc>
          <w:tcPr>
            <w:tcW w:w="4619" w:type="dxa"/>
          </w:tcPr>
          <w:p w14:paraId="3B4BD495" w14:textId="77777777" w:rsidR="00ED76BB" w:rsidRPr="008843F0" w:rsidRDefault="00ED76BB" w:rsidP="003C2836">
            <w:pPr>
              <w:pStyle w:val="Tabletext"/>
            </w:pPr>
            <w:r w:rsidRPr="008843F0">
              <w:t>Anaemia (resolved)</w:t>
            </w:r>
          </w:p>
        </w:tc>
        <w:tc>
          <w:tcPr>
            <w:tcW w:w="2077" w:type="dxa"/>
          </w:tcPr>
          <w:p w14:paraId="67272959" w14:textId="77777777" w:rsidR="00ED76BB" w:rsidRPr="008843F0" w:rsidRDefault="00ED76BB" w:rsidP="002B2FD9">
            <w:pPr>
              <w:pStyle w:val="Tabletext"/>
              <w:jc w:val="right"/>
              <w:rPr>
                <w:lang w:eastAsia="en-AU"/>
              </w:rPr>
            </w:pPr>
            <w:r w:rsidRPr="008843F0">
              <w:rPr>
                <w:lang w:eastAsia="en-AU"/>
              </w:rPr>
              <w:t>10</w:t>
            </w:r>
          </w:p>
        </w:tc>
        <w:tc>
          <w:tcPr>
            <w:tcW w:w="2075" w:type="dxa"/>
          </w:tcPr>
          <w:p w14:paraId="646A37A3" w14:textId="3603E725" w:rsidR="00ED76BB" w:rsidRPr="008843F0" w:rsidRDefault="00ED76BB" w:rsidP="002B2FD9">
            <w:pPr>
              <w:pStyle w:val="Tabletext"/>
              <w:jc w:val="right"/>
              <w:rPr>
                <w:lang w:eastAsia="en-AU"/>
              </w:rPr>
            </w:pPr>
            <w:r w:rsidRPr="008843F0">
              <w:rPr>
                <w:lang w:eastAsia="en-AU"/>
              </w:rPr>
              <w:t>97 (84–111)</w:t>
            </w:r>
          </w:p>
        </w:tc>
      </w:tr>
      <w:tr w:rsidR="00ED76BB" w:rsidRPr="008843F0" w14:paraId="62C617B3" w14:textId="77777777" w:rsidTr="002B2FD9">
        <w:tc>
          <w:tcPr>
            <w:tcW w:w="4619" w:type="dxa"/>
          </w:tcPr>
          <w:p w14:paraId="4D1AEE20" w14:textId="77777777" w:rsidR="00ED76BB" w:rsidRPr="008843F0" w:rsidRDefault="00ED76BB" w:rsidP="003C2836">
            <w:pPr>
              <w:pStyle w:val="Tabletext"/>
            </w:pPr>
            <w:r w:rsidRPr="008843F0">
              <w:t>Anaemia (not resolved)</w:t>
            </w:r>
          </w:p>
        </w:tc>
        <w:tc>
          <w:tcPr>
            <w:tcW w:w="2077" w:type="dxa"/>
          </w:tcPr>
          <w:p w14:paraId="1D2E22BC" w14:textId="77777777" w:rsidR="00ED76BB" w:rsidRPr="008843F0" w:rsidRDefault="00ED76BB" w:rsidP="002B2FD9">
            <w:pPr>
              <w:pStyle w:val="Tabletext"/>
              <w:jc w:val="right"/>
              <w:rPr>
                <w:lang w:eastAsia="en-AU"/>
              </w:rPr>
            </w:pPr>
            <w:r w:rsidRPr="008843F0">
              <w:rPr>
                <w:lang w:eastAsia="en-AU"/>
              </w:rPr>
              <w:t>140</w:t>
            </w:r>
          </w:p>
        </w:tc>
        <w:tc>
          <w:tcPr>
            <w:tcW w:w="2075" w:type="dxa"/>
          </w:tcPr>
          <w:p w14:paraId="0DF7495C" w14:textId="4FE9A59F" w:rsidR="00ED76BB" w:rsidRPr="008843F0" w:rsidRDefault="00ED76BB" w:rsidP="002B2FD9">
            <w:pPr>
              <w:pStyle w:val="Tabletext"/>
              <w:jc w:val="right"/>
              <w:rPr>
                <w:lang w:eastAsia="en-AU"/>
              </w:rPr>
            </w:pPr>
            <w:r w:rsidRPr="008843F0">
              <w:rPr>
                <w:lang w:eastAsia="en-AU"/>
              </w:rPr>
              <w:t>99 (75–137)</w:t>
            </w:r>
          </w:p>
        </w:tc>
      </w:tr>
    </w:tbl>
    <w:p w14:paraId="3A45F34E" w14:textId="4D823331" w:rsidR="008F5BD6" w:rsidRDefault="008F5BD6" w:rsidP="00ED76BB">
      <w:pPr>
        <w:pStyle w:val="Bodyaftertablefigure"/>
      </w:pPr>
      <w:r>
        <w:t>Preoperative anaemia is associated with t</w:t>
      </w:r>
      <w:r w:rsidR="00ED76BB" w:rsidRPr="008843F0">
        <w:t xml:space="preserve">he risk of mortality (in hospital and 30 day) and other serious adverse events </w:t>
      </w:r>
      <w:r>
        <w:t>(</w:t>
      </w:r>
      <w:r w:rsidR="00ED76BB" w:rsidRPr="008843F0">
        <w:t>Pasricha et</w:t>
      </w:r>
      <w:r>
        <w:t xml:space="preserve"> </w:t>
      </w:r>
      <w:r w:rsidR="00ED76BB" w:rsidRPr="008843F0">
        <w:t>al</w:t>
      </w:r>
      <w:r>
        <w:t>.</w:t>
      </w:r>
      <w:r w:rsidR="00ED76BB" w:rsidRPr="008843F0">
        <w:t xml:space="preserve"> 2021). </w:t>
      </w:r>
    </w:p>
    <w:p w14:paraId="2348425E" w14:textId="110067A0" w:rsidR="008F5BD6" w:rsidRDefault="00ED76BB" w:rsidP="008F5BD6">
      <w:pPr>
        <w:pStyle w:val="Body"/>
      </w:pPr>
      <w:proofErr w:type="spellStart"/>
      <w:r w:rsidRPr="008843F0">
        <w:lastRenderedPageBreak/>
        <w:t>Delaforce</w:t>
      </w:r>
      <w:proofErr w:type="spellEnd"/>
      <w:r w:rsidRPr="008843F0">
        <w:t xml:space="preserve"> et</w:t>
      </w:r>
      <w:r w:rsidR="008F5BD6">
        <w:t xml:space="preserve"> </w:t>
      </w:r>
      <w:r w:rsidRPr="008843F0">
        <w:t>al. (2020) also supports this</w:t>
      </w:r>
      <w:r w:rsidR="008F5BD6">
        <w:t>:</w:t>
      </w:r>
      <w:r w:rsidR="008F5BD6" w:rsidRPr="008843F0">
        <w:t xml:space="preserve"> </w:t>
      </w:r>
      <w:r w:rsidRPr="008843F0">
        <w:t xml:space="preserve">in </w:t>
      </w:r>
      <w:r w:rsidRPr="008F5BD6">
        <w:t>surgical</w:t>
      </w:r>
      <w:r w:rsidRPr="008843F0">
        <w:t xml:space="preserve"> patients, there is an association between preoperative anaemia and adverse outcomes, including increased length of stay, </w:t>
      </w:r>
      <w:r w:rsidRPr="00DF1B38">
        <w:t>risk</w:t>
      </w:r>
      <w:r w:rsidRPr="008843F0">
        <w:t xml:space="preserve"> of infection, and risk of receiving a blood transfusion. </w:t>
      </w:r>
    </w:p>
    <w:p w14:paraId="210648EF" w14:textId="20C424B7" w:rsidR="008F5BD6" w:rsidRDefault="00ED76BB" w:rsidP="004448F1">
      <w:pPr>
        <w:pStyle w:val="Bodyaftertablefigure"/>
      </w:pPr>
      <w:r w:rsidRPr="008843F0">
        <w:t>For most surgical groups in this audit, there appears to be an increased length of stay for those patients who had no or incomplete preoperative assessment and management</w:t>
      </w:r>
      <w:r w:rsidR="00933EA0">
        <w:t xml:space="preserve"> (Table 32</w:t>
      </w:r>
      <w:r w:rsidRPr="008843F0">
        <w:t xml:space="preserve">). </w:t>
      </w:r>
      <w:r w:rsidR="00A77FD0">
        <w:t xml:space="preserve">In addition, Appendix </w:t>
      </w:r>
      <w:r w:rsidR="0081407B">
        <w:t>7</w:t>
      </w:r>
      <w:r w:rsidR="00A77FD0">
        <w:t xml:space="preserve"> shows impact of anaemia severity at time of surgery on length of stay. </w:t>
      </w:r>
    </w:p>
    <w:p w14:paraId="5701119B" w14:textId="77777777" w:rsidR="008F5BD6" w:rsidRDefault="00ED76BB" w:rsidP="008F5BD6">
      <w:pPr>
        <w:pStyle w:val="Body"/>
      </w:pPr>
      <w:r w:rsidRPr="008843F0">
        <w:t xml:space="preserve">This difference was small in the orthopaedic group, but more significant in the cardiothoracic and gynaecology groups. </w:t>
      </w:r>
    </w:p>
    <w:p w14:paraId="3BF539FC" w14:textId="59F840A9" w:rsidR="008F5BD6" w:rsidRDefault="00ED76BB" w:rsidP="008F5BD6">
      <w:pPr>
        <w:pStyle w:val="Body"/>
      </w:pPr>
      <w:r w:rsidRPr="008843F0">
        <w:t xml:space="preserve">For the gastrointestinal group, anaemia </w:t>
      </w:r>
      <w:r w:rsidR="008F5BD6">
        <w:t>(</w:t>
      </w:r>
      <w:r w:rsidRPr="008843F0">
        <w:t>whether treated or not</w:t>
      </w:r>
      <w:r w:rsidR="008F5BD6">
        <w:t>)</w:t>
      </w:r>
      <w:r w:rsidRPr="008843F0">
        <w:t xml:space="preserve"> seems to be associated with an increased length of stay. </w:t>
      </w:r>
    </w:p>
    <w:p w14:paraId="64882097" w14:textId="298A5BEC" w:rsidR="00ED76BB" w:rsidRPr="008843F0" w:rsidRDefault="00ED76BB" w:rsidP="002B2FD9">
      <w:pPr>
        <w:pStyle w:val="Body"/>
      </w:pPr>
      <w:r w:rsidRPr="008843F0">
        <w:t>The numbers are small in some of these groups, so it is difficult to make an association with length of stay.</w:t>
      </w:r>
    </w:p>
    <w:p w14:paraId="555736A4" w14:textId="23D584FD" w:rsidR="00ED76BB" w:rsidRPr="008843F0" w:rsidRDefault="00ED76BB" w:rsidP="002B2FD9">
      <w:pPr>
        <w:pStyle w:val="Tablecaption"/>
      </w:pPr>
      <w:bookmarkStart w:id="99" w:name="_Ref67411335"/>
      <w:r w:rsidRPr="008843F0">
        <w:t xml:space="preserve">Table </w:t>
      </w:r>
      <w:bookmarkEnd w:id="99"/>
      <w:r w:rsidR="008F5BD6">
        <w:t>3</w:t>
      </w:r>
      <w:r w:rsidR="006F4FEC">
        <w:t>2</w:t>
      </w:r>
      <w:r w:rsidRPr="008843F0">
        <w:t xml:space="preserve">: Average </w:t>
      </w:r>
      <w:r w:rsidRPr="00DF1B38">
        <w:t>length</w:t>
      </w:r>
      <w:r w:rsidRPr="008843F0">
        <w:t xml:space="preserve"> of stay by preoperative anaemia assessment outcome and surgical type</w:t>
      </w:r>
    </w:p>
    <w:tbl>
      <w:tblPr>
        <w:tblStyle w:val="TableGrid5"/>
        <w:tblW w:w="0" w:type="auto"/>
        <w:tblLook w:val="04A0" w:firstRow="1" w:lastRow="0" w:firstColumn="1" w:lastColumn="0" w:noHBand="0" w:noVBand="1"/>
      </w:tblPr>
      <w:tblGrid>
        <w:gridCol w:w="1494"/>
        <w:gridCol w:w="1570"/>
        <w:gridCol w:w="1535"/>
        <w:gridCol w:w="1780"/>
        <w:gridCol w:w="1698"/>
      </w:tblGrid>
      <w:tr w:rsidR="00ED76BB" w:rsidRPr="008843F0" w14:paraId="52BB3D3D" w14:textId="77777777" w:rsidTr="002B2FD9">
        <w:tc>
          <w:tcPr>
            <w:tcW w:w="1494" w:type="dxa"/>
          </w:tcPr>
          <w:p w14:paraId="0DD8201A" w14:textId="1A5FF509" w:rsidR="00ED76BB" w:rsidRPr="00DF1B38" w:rsidRDefault="006B4402" w:rsidP="003C2836">
            <w:pPr>
              <w:pStyle w:val="Tablecolhead"/>
            </w:pPr>
            <w:r>
              <w:t>Assessment</w:t>
            </w:r>
          </w:p>
        </w:tc>
        <w:tc>
          <w:tcPr>
            <w:tcW w:w="1506" w:type="dxa"/>
          </w:tcPr>
          <w:p w14:paraId="375435DA" w14:textId="77777777" w:rsidR="00ED76BB" w:rsidRPr="00DF1B38" w:rsidRDefault="00ED76BB" w:rsidP="003C2836">
            <w:pPr>
              <w:pStyle w:val="Tablecolhead"/>
            </w:pPr>
            <w:r w:rsidRPr="00DF1B38">
              <w:t>Orthopaedics</w:t>
            </w:r>
          </w:p>
        </w:tc>
        <w:tc>
          <w:tcPr>
            <w:tcW w:w="1528" w:type="dxa"/>
          </w:tcPr>
          <w:p w14:paraId="34A2ACB6" w14:textId="77777777" w:rsidR="00ED76BB" w:rsidRPr="00DF1B38" w:rsidRDefault="00ED76BB" w:rsidP="003C2836">
            <w:pPr>
              <w:pStyle w:val="Tablecolhead"/>
            </w:pPr>
            <w:r w:rsidRPr="00DF1B38">
              <w:t>Gynaecology</w:t>
            </w:r>
          </w:p>
        </w:tc>
        <w:tc>
          <w:tcPr>
            <w:tcW w:w="1712" w:type="dxa"/>
          </w:tcPr>
          <w:p w14:paraId="5FC884A7" w14:textId="77777777" w:rsidR="00ED76BB" w:rsidRPr="00DF1B38" w:rsidRDefault="00ED76BB" w:rsidP="003C2836">
            <w:pPr>
              <w:pStyle w:val="Tablecolhead"/>
            </w:pPr>
            <w:r w:rsidRPr="00DF1B38">
              <w:t>Major gastrointestinal</w:t>
            </w:r>
          </w:p>
        </w:tc>
        <w:tc>
          <w:tcPr>
            <w:tcW w:w="1628" w:type="dxa"/>
          </w:tcPr>
          <w:p w14:paraId="2A95DFE6" w14:textId="77777777" w:rsidR="00ED76BB" w:rsidRPr="00DF1B38" w:rsidRDefault="00ED76BB" w:rsidP="003C2836">
            <w:pPr>
              <w:pStyle w:val="Tablecolhead"/>
            </w:pPr>
            <w:r w:rsidRPr="00DF1B38">
              <w:t>Cardiothoracic</w:t>
            </w:r>
          </w:p>
        </w:tc>
      </w:tr>
      <w:tr w:rsidR="00ED76BB" w:rsidRPr="008843F0" w14:paraId="2763D046" w14:textId="77777777" w:rsidTr="002B2FD9">
        <w:tc>
          <w:tcPr>
            <w:tcW w:w="1494" w:type="dxa"/>
          </w:tcPr>
          <w:p w14:paraId="74294052" w14:textId="77777777" w:rsidR="00ED76BB" w:rsidRPr="008843F0" w:rsidRDefault="00ED76BB" w:rsidP="003C2836">
            <w:pPr>
              <w:pStyle w:val="Tabletext"/>
            </w:pPr>
            <w:r w:rsidRPr="008843F0">
              <w:t>No preoperative anaemia assessment</w:t>
            </w:r>
          </w:p>
        </w:tc>
        <w:tc>
          <w:tcPr>
            <w:tcW w:w="1506" w:type="dxa"/>
          </w:tcPr>
          <w:p w14:paraId="6D9590F5" w14:textId="77777777" w:rsidR="00ED76BB" w:rsidRPr="008843F0" w:rsidRDefault="00ED76BB" w:rsidP="002B2FD9">
            <w:pPr>
              <w:pStyle w:val="Tabletext"/>
              <w:jc w:val="right"/>
            </w:pPr>
            <w:r w:rsidRPr="008843F0">
              <w:t>5.1 days</w:t>
            </w:r>
            <w:r w:rsidRPr="008843F0">
              <w:br/>
              <w:t>n = 118</w:t>
            </w:r>
          </w:p>
        </w:tc>
        <w:tc>
          <w:tcPr>
            <w:tcW w:w="1528" w:type="dxa"/>
          </w:tcPr>
          <w:p w14:paraId="1DE6FAEC" w14:textId="77777777" w:rsidR="00ED76BB" w:rsidRPr="008843F0" w:rsidRDefault="00ED76BB" w:rsidP="002B2FD9">
            <w:pPr>
              <w:pStyle w:val="Tabletext"/>
              <w:jc w:val="right"/>
            </w:pPr>
            <w:r w:rsidRPr="008843F0">
              <w:t>3.8 days</w:t>
            </w:r>
            <w:r w:rsidRPr="008843F0">
              <w:br/>
              <w:t>n = 102</w:t>
            </w:r>
          </w:p>
        </w:tc>
        <w:tc>
          <w:tcPr>
            <w:tcW w:w="1712" w:type="dxa"/>
          </w:tcPr>
          <w:p w14:paraId="4134E336" w14:textId="77777777" w:rsidR="00ED76BB" w:rsidRPr="008843F0" w:rsidRDefault="00ED76BB" w:rsidP="002B2FD9">
            <w:pPr>
              <w:pStyle w:val="Tabletext"/>
              <w:jc w:val="right"/>
            </w:pPr>
            <w:r w:rsidRPr="008843F0">
              <w:t>7.1 days</w:t>
            </w:r>
            <w:r w:rsidRPr="008843F0">
              <w:br/>
              <w:t>n = 51</w:t>
            </w:r>
          </w:p>
        </w:tc>
        <w:tc>
          <w:tcPr>
            <w:tcW w:w="1628" w:type="dxa"/>
          </w:tcPr>
          <w:p w14:paraId="24FD604A" w14:textId="77777777" w:rsidR="00ED76BB" w:rsidRPr="008843F0" w:rsidRDefault="00ED76BB" w:rsidP="002B2FD9">
            <w:pPr>
              <w:pStyle w:val="Tabletext"/>
              <w:jc w:val="right"/>
            </w:pPr>
            <w:r w:rsidRPr="008843F0">
              <w:t>10.2 days</w:t>
            </w:r>
            <w:r w:rsidRPr="008843F0">
              <w:br/>
              <w:t>n = 20</w:t>
            </w:r>
          </w:p>
        </w:tc>
      </w:tr>
      <w:tr w:rsidR="00ED76BB" w:rsidRPr="008843F0" w14:paraId="17C93963" w14:textId="77777777" w:rsidTr="002B2FD9">
        <w:tc>
          <w:tcPr>
            <w:tcW w:w="1494" w:type="dxa"/>
          </w:tcPr>
          <w:p w14:paraId="3B39DBA8" w14:textId="088E8F91" w:rsidR="00ED76BB" w:rsidRPr="008843F0" w:rsidRDefault="00ED76BB" w:rsidP="003C2836">
            <w:pPr>
              <w:pStyle w:val="Tabletext"/>
            </w:pPr>
            <w:r w:rsidRPr="008843F0">
              <w:t>Preoperative assessment – no anaemia</w:t>
            </w:r>
            <w:r w:rsidR="00F40323">
              <w:t xml:space="preserve">/iron </w:t>
            </w:r>
            <w:r w:rsidR="00A205DD">
              <w:t xml:space="preserve">depletion/iron </w:t>
            </w:r>
            <w:r w:rsidR="00F40323">
              <w:t>deficiency</w:t>
            </w:r>
          </w:p>
        </w:tc>
        <w:tc>
          <w:tcPr>
            <w:tcW w:w="1506" w:type="dxa"/>
          </w:tcPr>
          <w:p w14:paraId="35AC87C9" w14:textId="77777777" w:rsidR="00ED76BB" w:rsidRPr="008843F0" w:rsidRDefault="00ED76BB" w:rsidP="002B2FD9">
            <w:pPr>
              <w:pStyle w:val="Tabletext"/>
              <w:jc w:val="right"/>
            </w:pPr>
            <w:r w:rsidRPr="008843F0">
              <w:t>5.2 days</w:t>
            </w:r>
            <w:r w:rsidRPr="008843F0">
              <w:br/>
              <w:t>n = 444</w:t>
            </w:r>
          </w:p>
        </w:tc>
        <w:tc>
          <w:tcPr>
            <w:tcW w:w="1528" w:type="dxa"/>
          </w:tcPr>
          <w:p w14:paraId="36E1F5FF" w14:textId="77777777" w:rsidR="00ED76BB" w:rsidRPr="008843F0" w:rsidRDefault="00ED76BB" w:rsidP="002B2FD9">
            <w:pPr>
              <w:pStyle w:val="Tabletext"/>
              <w:jc w:val="right"/>
            </w:pPr>
            <w:r w:rsidRPr="008843F0">
              <w:t>3.4 days</w:t>
            </w:r>
            <w:r w:rsidRPr="008843F0">
              <w:br/>
              <w:t>n = 151</w:t>
            </w:r>
          </w:p>
        </w:tc>
        <w:tc>
          <w:tcPr>
            <w:tcW w:w="1712" w:type="dxa"/>
          </w:tcPr>
          <w:p w14:paraId="15A71886" w14:textId="77777777" w:rsidR="00ED76BB" w:rsidRPr="008843F0" w:rsidRDefault="00ED76BB" w:rsidP="002B2FD9">
            <w:pPr>
              <w:pStyle w:val="Tabletext"/>
              <w:jc w:val="right"/>
            </w:pPr>
            <w:r w:rsidRPr="008843F0">
              <w:t>9.0 days</w:t>
            </w:r>
            <w:r w:rsidRPr="008843F0">
              <w:br/>
              <w:t>n = 146</w:t>
            </w:r>
          </w:p>
        </w:tc>
        <w:tc>
          <w:tcPr>
            <w:tcW w:w="1628" w:type="dxa"/>
          </w:tcPr>
          <w:p w14:paraId="46647AD6" w14:textId="77777777" w:rsidR="00ED76BB" w:rsidRPr="008843F0" w:rsidRDefault="00ED76BB" w:rsidP="002B2FD9">
            <w:pPr>
              <w:pStyle w:val="Tabletext"/>
              <w:jc w:val="right"/>
            </w:pPr>
            <w:r w:rsidRPr="008843F0">
              <w:t>7.2 days</w:t>
            </w:r>
            <w:r w:rsidRPr="008843F0">
              <w:br/>
              <w:t>n = 85</w:t>
            </w:r>
          </w:p>
        </w:tc>
      </w:tr>
      <w:tr w:rsidR="00ED76BB" w:rsidRPr="008843F0" w14:paraId="4E621325" w14:textId="77777777" w:rsidTr="002B2FD9">
        <w:tc>
          <w:tcPr>
            <w:tcW w:w="1494" w:type="dxa"/>
          </w:tcPr>
          <w:p w14:paraId="1DAB560C" w14:textId="14D5E8BF" w:rsidR="00ED76BB" w:rsidRPr="008843F0" w:rsidRDefault="00ED76BB" w:rsidP="003C2836">
            <w:pPr>
              <w:pStyle w:val="Tabletext"/>
            </w:pPr>
            <w:bookmarkStart w:id="100" w:name="_Hlk75939137"/>
            <w:r w:rsidRPr="008843F0">
              <w:t>Preoperative anaemia</w:t>
            </w:r>
            <w:r w:rsidR="00A205DD">
              <w:t>/</w:t>
            </w:r>
            <w:r w:rsidRPr="008843F0">
              <w:t xml:space="preserve"> </w:t>
            </w:r>
            <w:r w:rsidR="00A205DD" w:rsidRPr="00A205DD">
              <w:t xml:space="preserve">iron depletion/iron deficiency </w:t>
            </w:r>
            <w:r w:rsidRPr="008843F0">
              <w:t>identified – treated</w:t>
            </w:r>
            <w:r w:rsidR="00A205DD">
              <w:t xml:space="preserve"> and </w:t>
            </w:r>
            <w:r w:rsidRPr="008843F0">
              <w:rPr>
                <w:b/>
              </w:rPr>
              <w:t>not resolved</w:t>
            </w:r>
            <w:bookmarkEnd w:id="100"/>
          </w:p>
        </w:tc>
        <w:tc>
          <w:tcPr>
            <w:tcW w:w="1506" w:type="dxa"/>
          </w:tcPr>
          <w:p w14:paraId="5110BDFC" w14:textId="636EE4D5" w:rsidR="00ED76BB" w:rsidRPr="008843F0" w:rsidRDefault="00ED76BB" w:rsidP="002B2FD9">
            <w:pPr>
              <w:pStyle w:val="Tabletext"/>
              <w:jc w:val="right"/>
            </w:pPr>
            <w:r w:rsidRPr="008843F0">
              <w:t>3.9</w:t>
            </w:r>
            <w:r w:rsidR="00585CDF">
              <w:t xml:space="preserve"> days</w:t>
            </w:r>
            <w:r w:rsidRPr="008843F0">
              <w:br/>
              <w:t>n = 10</w:t>
            </w:r>
          </w:p>
        </w:tc>
        <w:tc>
          <w:tcPr>
            <w:tcW w:w="1528" w:type="dxa"/>
          </w:tcPr>
          <w:p w14:paraId="0A554C29" w14:textId="55361325" w:rsidR="00ED76BB" w:rsidRPr="008843F0" w:rsidRDefault="00ED76BB" w:rsidP="002B2FD9">
            <w:pPr>
              <w:pStyle w:val="Tabletext"/>
              <w:jc w:val="right"/>
            </w:pPr>
            <w:r w:rsidRPr="008843F0">
              <w:t>2.2</w:t>
            </w:r>
            <w:r w:rsidR="00585CDF">
              <w:t xml:space="preserve"> days</w:t>
            </w:r>
            <w:r w:rsidRPr="008843F0">
              <w:br/>
              <w:t>n=15</w:t>
            </w:r>
          </w:p>
        </w:tc>
        <w:tc>
          <w:tcPr>
            <w:tcW w:w="1712" w:type="dxa"/>
          </w:tcPr>
          <w:p w14:paraId="05576BAF" w14:textId="41F30B95" w:rsidR="00ED76BB" w:rsidRPr="008843F0" w:rsidRDefault="00ED76BB" w:rsidP="002B2FD9">
            <w:pPr>
              <w:pStyle w:val="Tabletext"/>
              <w:jc w:val="right"/>
            </w:pPr>
            <w:r w:rsidRPr="008843F0">
              <w:t>12.6</w:t>
            </w:r>
            <w:r w:rsidR="00585CDF">
              <w:t xml:space="preserve"> days</w:t>
            </w:r>
            <w:r w:rsidRPr="008843F0">
              <w:br/>
              <w:t>n = 21</w:t>
            </w:r>
          </w:p>
        </w:tc>
        <w:tc>
          <w:tcPr>
            <w:tcW w:w="1628" w:type="dxa"/>
          </w:tcPr>
          <w:p w14:paraId="05CAC130" w14:textId="603FCA38" w:rsidR="00ED76BB" w:rsidRPr="008843F0" w:rsidRDefault="00ED76BB" w:rsidP="002B2FD9">
            <w:pPr>
              <w:pStyle w:val="Tabletext"/>
              <w:jc w:val="right"/>
            </w:pPr>
            <w:r w:rsidRPr="008843F0">
              <w:t>3.0</w:t>
            </w:r>
            <w:r w:rsidR="00585CDF">
              <w:t xml:space="preserve"> days</w:t>
            </w:r>
            <w:r w:rsidRPr="008843F0">
              <w:br/>
              <w:t>n=1</w:t>
            </w:r>
          </w:p>
        </w:tc>
      </w:tr>
      <w:tr w:rsidR="00ED76BB" w:rsidRPr="008843F0" w14:paraId="002CDB7F" w14:textId="77777777" w:rsidTr="002B2FD9">
        <w:tc>
          <w:tcPr>
            <w:tcW w:w="1494" w:type="dxa"/>
          </w:tcPr>
          <w:p w14:paraId="238561F0" w14:textId="6D4E96E4" w:rsidR="00ED76BB" w:rsidRPr="008843F0" w:rsidRDefault="00ED76BB" w:rsidP="003C2836">
            <w:pPr>
              <w:pStyle w:val="Tabletext"/>
            </w:pPr>
            <w:r w:rsidRPr="008843F0">
              <w:t>Preoperative anaemia</w:t>
            </w:r>
            <w:r w:rsidR="00A205DD">
              <w:t xml:space="preserve"> </w:t>
            </w:r>
            <w:r w:rsidR="00A205DD" w:rsidRPr="00A205DD">
              <w:t>iron depletion/iron deficiency</w:t>
            </w:r>
            <w:r w:rsidRPr="008843F0">
              <w:t xml:space="preserve"> identified – treated</w:t>
            </w:r>
            <w:r w:rsidR="00A205DD">
              <w:t xml:space="preserve"> and </w:t>
            </w:r>
            <w:r w:rsidRPr="008843F0">
              <w:rPr>
                <w:b/>
              </w:rPr>
              <w:t>resolved</w:t>
            </w:r>
          </w:p>
        </w:tc>
        <w:tc>
          <w:tcPr>
            <w:tcW w:w="1506" w:type="dxa"/>
          </w:tcPr>
          <w:p w14:paraId="4F0AF274" w14:textId="536E67D5" w:rsidR="00ED76BB" w:rsidRPr="008843F0" w:rsidRDefault="00ED76BB" w:rsidP="002B2FD9">
            <w:pPr>
              <w:pStyle w:val="Tabletext"/>
              <w:jc w:val="right"/>
            </w:pPr>
            <w:r w:rsidRPr="008843F0">
              <w:t>4.1</w:t>
            </w:r>
            <w:r w:rsidR="00585CDF">
              <w:t xml:space="preserve"> days</w:t>
            </w:r>
            <w:r w:rsidRPr="008843F0">
              <w:br/>
              <w:t>n = 9</w:t>
            </w:r>
          </w:p>
        </w:tc>
        <w:tc>
          <w:tcPr>
            <w:tcW w:w="1528" w:type="dxa"/>
          </w:tcPr>
          <w:p w14:paraId="720423CE" w14:textId="0ACA3DAD" w:rsidR="00ED76BB" w:rsidRPr="008843F0" w:rsidRDefault="00ED76BB" w:rsidP="002B2FD9">
            <w:pPr>
              <w:pStyle w:val="Tabletext"/>
              <w:jc w:val="right"/>
            </w:pPr>
            <w:r w:rsidRPr="008843F0">
              <w:t>2.4</w:t>
            </w:r>
            <w:r w:rsidR="00585CDF">
              <w:t xml:space="preserve"> days</w:t>
            </w:r>
            <w:r w:rsidRPr="008843F0">
              <w:br/>
              <w:t>n=14</w:t>
            </w:r>
          </w:p>
        </w:tc>
        <w:tc>
          <w:tcPr>
            <w:tcW w:w="1712" w:type="dxa"/>
          </w:tcPr>
          <w:p w14:paraId="23DE839C" w14:textId="65ED935C" w:rsidR="00ED76BB" w:rsidRPr="008843F0" w:rsidRDefault="00ED76BB" w:rsidP="002B2FD9">
            <w:pPr>
              <w:pStyle w:val="Tabletext"/>
              <w:jc w:val="right"/>
            </w:pPr>
            <w:r w:rsidRPr="008843F0">
              <w:t>9.0</w:t>
            </w:r>
            <w:r w:rsidR="00585CDF">
              <w:t xml:space="preserve"> days</w:t>
            </w:r>
            <w:r w:rsidRPr="008843F0">
              <w:br/>
              <w:t>n = 10</w:t>
            </w:r>
          </w:p>
        </w:tc>
        <w:tc>
          <w:tcPr>
            <w:tcW w:w="1628" w:type="dxa"/>
          </w:tcPr>
          <w:p w14:paraId="2A6BAF32" w14:textId="013FF130" w:rsidR="00ED76BB" w:rsidRPr="008843F0" w:rsidRDefault="00ED76BB" w:rsidP="002B2FD9">
            <w:pPr>
              <w:pStyle w:val="Tabletext"/>
              <w:jc w:val="right"/>
            </w:pPr>
            <w:r w:rsidRPr="008843F0">
              <w:t>7.0</w:t>
            </w:r>
            <w:r w:rsidR="00585CDF">
              <w:t xml:space="preserve"> days</w:t>
            </w:r>
            <w:r w:rsidRPr="008843F0">
              <w:br/>
              <w:t>n=1</w:t>
            </w:r>
          </w:p>
        </w:tc>
      </w:tr>
      <w:tr w:rsidR="00ED76BB" w:rsidRPr="008843F0" w14:paraId="0620A94F" w14:textId="77777777" w:rsidTr="002B2FD9">
        <w:tc>
          <w:tcPr>
            <w:tcW w:w="1494" w:type="dxa"/>
          </w:tcPr>
          <w:p w14:paraId="53ED51CE" w14:textId="191C6487" w:rsidR="00ED76BB" w:rsidRPr="008843F0" w:rsidRDefault="00ED76BB" w:rsidP="003C2836">
            <w:pPr>
              <w:pStyle w:val="Tabletext"/>
            </w:pPr>
            <w:r w:rsidRPr="008843F0">
              <w:t>Preoperative anaemia</w:t>
            </w:r>
            <w:r w:rsidR="00A205DD">
              <w:t xml:space="preserve"> </w:t>
            </w:r>
            <w:r w:rsidR="00A205DD" w:rsidRPr="00A205DD">
              <w:t>iron depletion/iron deficiency</w:t>
            </w:r>
            <w:r w:rsidRPr="008843F0">
              <w:t xml:space="preserve"> identified - untreated</w:t>
            </w:r>
          </w:p>
        </w:tc>
        <w:tc>
          <w:tcPr>
            <w:tcW w:w="1506" w:type="dxa"/>
          </w:tcPr>
          <w:p w14:paraId="52682E4B" w14:textId="77777777" w:rsidR="00ED76BB" w:rsidRPr="008843F0" w:rsidRDefault="00ED76BB" w:rsidP="002B2FD9">
            <w:pPr>
              <w:pStyle w:val="Tabletext"/>
              <w:jc w:val="right"/>
            </w:pPr>
            <w:r w:rsidRPr="008843F0">
              <w:t>5.0 days</w:t>
            </w:r>
            <w:r w:rsidRPr="008843F0">
              <w:br/>
              <w:t>n = 191</w:t>
            </w:r>
          </w:p>
        </w:tc>
        <w:tc>
          <w:tcPr>
            <w:tcW w:w="1528" w:type="dxa"/>
          </w:tcPr>
          <w:p w14:paraId="01C4CF0A" w14:textId="77777777" w:rsidR="00ED76BB" w:rsidRPr="008843F0" w:rsidRDefault="00ED76BB" w:rsidP="002B2FD9">
            <w:pPr>
              <w:pStyle w:val="Tabletext"/>
              <w:jc w:val="right"/>
            </w:pPr>
            <w:r w:rsidRPr="008843F0">
              <w:t>2.7 days</w:t>
            </w:r>
            <w:r w:rsidRPr="008843F0">
              <w:br/>
              <w:t>n = 61</w:t>
            </w:r>
          </w:p>
        </w:tc>
        <w:tc>
          <w:tcPr>
            <w:tcW w:w="1712" w:type="dxa"/>
          </w:tcPr>
          <w:p w14:paraId="7647534C" w14:textId="77777777" w:rsidR="00ED76BB" w:rsidRPr="008843F0" w:rsidRDefault="00ED76BB" w:rsidP="002B2FD9">
            <w:pPr>
              <w:pStyle w:val="Tabletext"/>
              <w:jc w:val="right"/>
            </w:pPr>
            <w:r w:rsidRPr="008843F0">
              <w:t>11.5 days</w:t>
            </w:r>
            <w:r w:rsidRPr="008843F0">
              <w:br/>
              <w:t>n = 68</w:t>
            </w:r>
          </w:p>
        </w:tc>
        <w:tc>
          <w:tcPr>
            <w:tcW w:w="1628" w:type="dxa"/>
          </w:tcPr>
          <w:p w14:paraId="2953924F" w14:textId="77777777" w:rsidR="00ED76BB" w:rsidRPr="008843F0" w:rsidRDefault="00ED76BB" w:rsidP="002B2FD9">
            <w:pPr>
              <w:pStyle w:val="Tabletext"/>
              <w:jc w:val="right"/>
            </w:pPr>
            <w:r w:rsidRPr="008843F0">
              <w:t>9.0 days</w:t>
            </w:r>
            <w:r w:rsidRPr="008843F0">
              <w:br/>
              <w:t>n = 23</w:t>
            </w:r>
          </w:p>
        </w:tc>
      </w:tr>
    </w:tbl>
    <w:p w14:paraId="1AF1C260" w14:textId="5729B0C8" w:rsidR="00ED76BB" w:rsidRPr="008843F0" w:rsidRDefault="00ED76BB" w:rsidP="00ED76BB">
      <w:pPr>
        <w:pStyle w:val="Bodyaftertablefigure"/>
      </w:pPr>
      <w:r w:rsidRPr="008843F0">
        <w:lastRenderedPageBreak/>
        <w:t xml:space="preserve">Consistently across all groups, transfusion was associated with an increased average length of stay, up to twice the length of </w:t>
      </w:r>
      <w:r w:rsidRPr="00DF1B38">
        <w:t>stay</w:t>
      </w:r>
      <w:r w:rsidRPr="008843F0">
        <w:t xml:space="preserve"> for those not transfused (</w:t>
      </w:r>
      <w:r w:rsidR="006B4402" w:rsidRPr="008843F0">
        <w:fldChar w:fldCharType="begin"/>
      </w:r>
      <w:r w:rsidR="006B4402" w:rsidRPr="008843F0">
        <w:instrText xml:space="preserve"> REF _Ref67411303 \h  \* MERGEFORMAT </w:instrText>
      </w:r>
      <w:r w:rsidR="006B4402" w:rsidRPr="008843F0">
        <w:fldChar w:fldCharType="separate"/>
      </w:r>
      <w:r w:rsidR="00857812" w:rsidRPr="008843F0">
        <w:t xml:space="preserve">Table </w:t>
      </w:r>
      <w:r w:rsidR="006B4402" w:rsidRPr="008843F0">
        <w:fldChar w:fldCharType="end"/>
      </w:r>
      <w:r w:rsidR="006B4402">
        <w:t xml:space="preserve"> 3</w:t>
      </w:r>
      <w:r w:rsidR="00933EA0">
        <w:t>3</w:t>
      </w:r>
      <w:r w:rsidRPr="008843F0">
        <w:t xml:space="preserve">). </w:t>
      </w:r>
    </w:p>
    <w:p w14:paraId="47BAA1A9" w14:textId="34A28E0D" w:rsidR="00ED76BB" w:rsidRPr="008843F0" w:rsidRDefault="00ED76BB" w:rsidP="002B2FD9">
      <w:pPr>
        <w:pStyle w:val="Tablecaption"/>
        <w:spacing w:line="240" w:lineRule="auto"/>
      </w:pPr>
      <w:bookmarkStart w:id="101" w:name="_Ref67411303"/>
      <w:r w:rsidRPr="008843F0">
        <w:t xml:space="preserve">Table </w:t>
      </w:r>
      <w:bookmarkEnd w:id="101"/>
      <w:r w:rsidR="006B4402">
        <w:t>3</w:t>
      </w:r>
      <w:r w:rsidR="006F4FEC">
        <w:t>3</w:t>
      </w:r>
      <w:r w:rsidRPr="008843F0">
        <w:t xml:space="preserve">: Average </w:t>
      </w:r>
      <w:r w:rsidRPr="008F5214">
        <w:t>length</w:t>
      </w:r>
      <w:r w:rsidRPr="008843F0">
        <w:t xml:space="preserve"> of stay by surgery and </w:t>
      </w:r>
      <w:r w:rsidRPr="00DF1B38">
        <w:t>transfusion</w:t>
      </w:r>
    </w:p>
    <w:tbl>
      <w:tblPr>
        <w:tblStyle w:val="TableGrid5"/>
        <w:tblW w:w="0" w:type="auto"/>
        <w:tblLook w:val="04A0" w:firstRow="1" w:lastRow="0" w:firstColumn="1" w:lastColumn="0" w:noHBand="0" w:noVBand="1"/>
      </w:tblPr>
      <w:tblGrid>
        <w:gridCol w:w="1629"/>
        <w:gridCol w:w="1570"/>
        <w:gridCol w:w="1535"/>
        <w:gridCol w:w="1780"/>
        <w:gridCol w:w="1698"/>
        <w:gridCol w:w="968"/>
      </w:tblGrid>
      <w:tr w:rsidR="00ED76BB" w:rsidRPr="008843F0" w14:paraId="20EED407" w14:textId="77777777" w:rsidTr="002B2FD9">
        <w:tc>
          <w:tcPr>
            <w:tcW w:w="1586" w:type="dxa"/>
          </w:tcPr>
          <w:p w14:paraId="5DD8A07E" w14:textId="4F5E02A2" w:rsidR="00ED76BB" w:rsidRPr="008843F0" w:rsidRDefault="006B4402" w:rsidP="002B2FD9">
            <w:pPr>
              <w:pStyle w:val="Tablecolhead"/>
              <w:keepNext/>
              <w:keepLines/>
            </w:pPr>
            <w:r>
              <w:t>Assessment</w:t>
            </w:r>
          </w:p>
        </w:tc>
        <w:tc>
          <w:tcPr>
            <w:tcW w:w="1506" w:type="dxa"/>
          </w:tcPr>
          <w:p w14:paraId="5A91E248" w14:textId="77777777" w:rsidR="00ED76BB" w:rsidRPr="008843F0" w:rsidRDefault="00ED76BB" w:rsidP="002B2FD9">
            <w:pPr>
              <w:pStyle w:val="Tablecolhead"/>
              <w:keepNext/>
              <w:keepLines/>
            </w:pPr>
            <w:r w:rsidRPr="008843F0">
              <w:t>Orthopaedics</w:t>
            </w:r>
          </w:p>
        </w:tc>
        <w:tc>
          <w:tcPr>
            <w:tcW w:w="1486" w:type="dxa"/>
          </w:tcPr>
          <w:p w14:paraId="29A2BC33" w14:textId="77777777" w:rsidR="00ED76BB" w:rsidRPr="008843F0" w:rsidRDefault="00ED76BB" w:rsidP="002B2FD9">
            <w:pPr>
              <w:pStyle w:val="Tablecolhead"/>
              <w:keepNext/>
              <w:keepLines/>
            </w:pPr>
            <w:r w:rsidRPr="008843F0">
              <w:t>Gynaecology</w:t>
            </w:r>
          </w:p>
        </w:tc>
        <w:tc>
          <w:tcPr>
            <w:tcW w:w="1708" w:type="dxa"/>
          </w:tcPr>
          <w:p w14:paraId="631AB469" w14:textId="77777777" w:rsidR="00ED76BB" w:rsidRPr="008843F0" w:rsidRDefault="00ED76BB" w:rsidP="002B2FD9">
            <w:pPr>
              <w:pStyle w:val="Tablecolhead"/>
              <w:keepNext/>
              <w:keepLines/>
            </w:pPr>
            <w:r w:rsidRPr="008843F0">
              <w:t>Major gastrointestinal</w:t>
            </w:r>
          </w:p>
        </w:tc>
        <w:tc>
          <w:tcPr>
            <w:tcW w:w="1628" w:type="dxa"/>
          </w:tcPr>
          <w:p w14:paraId="12880FB7" w14:textId="77777777" w:rsidR="00ED76BB" w:rsidRPr="008843F0" w:rsidRDefault="00ED76BB" w:rsidP="002B2FD9">
            <w:pPr>
              <w:pStyle w:val="Tablecolhead"/>
              <w:keepNext/>
              <w:keepLines/>
            </w:pPr>
            <w:r w:rsidRPr="008843F0">
              <w:t>Cardiothoracic</w:t>
            </w:r>
          </w:p>
        </w:tc>
        <w:tc>
          <w:tcPr>
            <w:tcW w:w="1038" w:type="dxa"/>
          </w:tcPr>
          <w:p w14:paraId="08CFA4B8" w14:textId="77777777" w:rsidR="00ED76BB" w:rsidRPr="008843F0" w:rsidRDefault="00ED76BB" w:rsidP="002B2FD9">
            <w:pPr>
              <w:pStyle w:val="Tablecolhead"/>
              <w:keepNext/>
              <w:keepLines/>
            </w:pPr>
            <w:r w:rsidRPr="008843F0">
              <w:t xml:space="preserve">Total </w:t>
            </w:r>
          </w:p>
        </w:tc>
      </w:tr>
      <w:tr w:rsidR="00ED76BB" w:rsidRPr="008843F0" w14:paraId="6CC2A697" w14:textId="77777777" w:rsidTr="002B2FD9">
        <w:tc>
          <w:tcPr>
            <w:tcW w:w="1586" w:type="dxa"/>
          </w:tcPr>
          <w:p w14:paraId="0548D854" w14:textId="77777777" w:rsidR="00ED76BB" w:rsidRPr="008843F0" w:rsidRDefault="00ED76BB" w:rsidP="002B2FD9">
            <w:pPr>
              <w:pStyle w:val="Tabletext"/>
              <w:keepNext/>
              <w:keepLines/>
            </w:pPr>
            <w:r w:rsidRPr="008843F0">
              <w:t>Transfusion intra- or postoperatively</w:t>
            </w:r>
          </w:p>
        </w:tc>
        <w:tc>
          <w:tcPr>
            <w:tcW w:w="1506" w:type="dxa"/>
          </w:tcPr>
          <w:p w14:paraId="569FC271" w14:textId="77777777" w:rsidR="00ED76BB" w:rsidRPr="008843F0" w:rsidRDefault="00ED76BB" w:rsidP="002B2FD9">
            <w:pPr>
              <w:pStyle w:val="Tabletext"/>
              <w:keepNext/>
              <w:keepLines/>
              <w:jc w:val="right"/>
            </w:pPr>
            <w:r w:rsidRPr="008843F0">
              <w:t>6 day</w:t>
            </w:r>
            <w:r w:rsidRPr="008843F0">
              <w:br/>
              <w:t>n = 37</w:t>
            </w:r>
          </w:p>
        </w:tc>
        <w:tc>
          <w:tcPr>
            <w:tcW w:w="1486" w:type="dxa"/>
          </w:tcPr>
          <w:p w14:paraId="49F33E2B" w14:textId="77777777" w:rsidR="00ED76BB" w:rsidRPr="008843F0" w:rsidRDefault="00ED76BB" w:rsidP="002B2FD9">
            <w:pPr>
              <w:pStyle w:val="Tabletext"/>
              <w:keepNext/>
              <w:keepLines/>
              <w:jc w:val="right"/>
            </w:pPr>
            <w:r w:rsidRPr="008843F0">
              <w:t>5 days</w:t>
            </w:r>
            <w:r w:rsidRPr="008843F0">
              <w:br/>
              <w:t>n = 13</w:t>
            </w:r>
          </w:p>
        </w:tc>
        <w:tc>
          <w:tcPr>
            <w:tcW w:w="1708" w:type="dxa"/>
          </w:tcPr>
          <w:p w14:paraId="13A4DEA7" w14:textId="77777777" w:rsidR="00ED76BB" w:rsidRPr="008843F0" w:rsidRDefault="00ED76BB" w:rsidP="002B2FD9">
            <w:pPr>
              <w:pStyle w:val="Tabletext"/>
              <w:keepNext/>
              <w:keepLines/>
              <w:jc w:val="right"/>
            </w:pPr>
            <w:r w:rsidRPr="008843F0">
              <w:t>16 days</w:t>
            </w:r>
            <w:r w:rsidRPr="008843F0">
              <w:br/>
              <w:t>n = 49</w:t>
            </w:r>
          </w:p>
        </w:tc>
        <w:tc>
          <w:tcPr>
            <w:tcW w:w="1628" w:type="dxa"/>
          </w:tcPr>
          <w:p w14:paraId="36FE56C7" w14:textId="77777777" w:rsidR="00ED76BB" w:rsidRPr="008843F0" w:rsidRDefault="00ED76BB" w:rsidP="002B2FD9">
            <w:pPr>
              <w:pStyle w:val="Tabletext"/>
              <w:keepNext/>
              <w:keepLines/>
              <w:jc w:val="right"/>
            </w:pPr>
            <w:r w:rsidRPr="008843F0">
              <w:t>14 days</w:t>
            </w:r>
            <w:r w:rsidRPr="008843F0">
              <w:br/>
              <w:t>n = 25</w:t>
            </w:r>
          </w:p>
        </w:tc>
        <w:tc>
          <w:tcPr>
            <w:tcW w:w="1038" w:type="dxa"/>
          </w:tcPr>
          <w:p w14:paraId="5653ED47" w14:textId="77777777" w:rsidR="00ED76BB" w:rsidRPr="008843F0" w:rsidRDefault="00ED76BB" w:rsidP="002B2FD9">
            <w:pPr>
              <w:pStyle w:val="Tabletext"/>
              <w:keepNext/>
              <w:keepLines/>
              <w:jc w:val="right"/>
            </w:pPr>
            <w:r w:rsidRPr="008843F0">
              <w:t>10.25</w:t>
            </w:r>
          </w:p>
        </w:tc>
      </w:tr>
      <w:tr w:rsidR="00ED76BB" w:rsidRPr="008843F0" w14:paraId="465AB858" w14:textId="77777777" w:rsidTr="002B2FD9">
        <w:tc>
          <w:tcPr>
            <w:tcW w:w="1586" w:type="dxa"/>
          </w:tcPr>
          <w:p w14:paraId="027DDAFB" w14:textId="77777777" w:rsidR="00ED76BB" w:rsidRPr="008843F0" w:rsidRDefault="00ED76BB" w:rsidP="002B2FD9">
            <w:pPr>
              <w:pStyle w:val="Tabletext"/>
              <w:keepNext/>
              <w:keepLines/>
            </w:pPr>
            <w:r w:rsidRPr="008843F0">
              <w:t>No transfusion intra- or postoperatively</w:t>
            </w:r>
          </w:p>
        </w:tc>
        <w:tc>
          <w:tcPr>
            <w:tcW w:w="1506" w:type="dxa"/>
          </w:tcPr>
          <w:p w14:paraId="314686DB" w14:textId="77777777" w:rsidR="00ED76BB" w:rsidRPr="008843F0" w:rsidRDefault="00ED76BB" w:rsidP="002B2FD9">
            <w:pPr>
              <w:pStyle w:val="Tabletext"/>
              <w:keepNext/>
              <w:keepLines/>
              <w:jc w:val="right"/>
            </w:pPr>
            <w:r w:rsidRPr="008843F0">
              <w:t>5 days</w:t>
            </w:r>
            <w:r w:rsidRPr="008843F0">
              <w:br/>
              <w:t>n = 735</w:t>
            </w:r>
          </w:p>
        </w:tc>
        <w:tc>
          <w:tcPr>
            <w:tcW w:w="1486" w:type="dxa"/>
          </w:tcPr>
          <w:p w14:paraId="79B057D3" w14:textId="77777777" w:rsidR="00ED76BB" w:rsidRPr="008843F0" w:rsidRDefault="00ED76BB" w:rsidP="002B2FD9">
            <w:pPr>
              <w:pStyle w:val="Tabletext"/>
              <w:keepNext/>
              <w:keepLines/>
              <w:jc w:val="right"/>
            </w:pPr>
            <w:r w:rsidRPr="008843F0">
              <w:t>3 days</w:t>
            </w:r>
            <w:r w:rsidRPr="008843F0">
              <w:br/>
              <w:t>n = 330</w:t>
            </w:r>
          </w:p>
        </w:tc>
        <w:tc>
          <w:tcPr>
            <w:tcW w:w="1708" w:type="dxa"/>
          </w:tcPr>
          <w:p w14:paraId="7D262971" w14:textId="77777777" w:rsidR="00ED76BB" w:rsidRPr="008843F0" w:rsidRDefault="00ED76BB" w:rsidP="002B2FD9">
            <w:pPr>
              <w:pStyle w:val="Tabletext"/>
              <w:keepNext/>
              <w:keepLines/>
              <w:jc w:val="right"/>
            </w:pPr>
            <w:r w:rsidRPr="008843F0">
              <w:t>8 days</w:t>
            </w:r>
            <w:r w:rsidRPr="008843F0">
              <w:br/>
              <w:t>n = 247</w:t>
            </w:r>
          </w:p>
        </w:tc>
        <w:tc>
          <w:tcPr>
            <w:tcW w:w="1628" w:type="dxa"/>
          </w:tcPr>
          <w:p w14:paraId="3C10D48E" w14:textId="77777777" w:rsidR="00ED76BB" w:rsidRPr="008843F0" w:rsidRDefault="00ED76BB" w:rsidP="002B2FD9">
            <w:pPr>
              <w:pStyle w:val="Tabletext"/>
              <w:keepNext/>
              <w:keepLines/>
              <w:jc w:val="right"/>
            </w:pPr>
            <w:r w:rsidRPr="008843F0">
              <w:t>7 days</w:t>
            </w:r>
            <w:r w:rsidRPr="008843F0">
              <w:br/>
              <w:t>n = 105</w:t>
            </w:r>
          </w:p>
        </w:tc>
        <w:tc>
          <w:tcPr>
            <w:tcW w:w="1038" w:type="dxa"/>
          </w:tcPr>
          <w:p w14:paraId="6CB712D7" w14:textId="77777777" w:rsidR="00ED76BB" w:rsidRPr="008843F0" w:rsidRDefault="00ED76BB" w:rsidP="002B2FD9">
            <w:pPr>
              <w:pStyle w:val="Tabletext"/>
              <w:keepNext/>
              <w:keepLines/>
              <w:jc w:val="right"/>
            </w:pPr>
            <w:r w:rsidRPr="008843F0">
              <w:t>5.75</w:t>
            </w:r>
          </w:p>
        </w:tc>
      </w:tr>
    </w:tbl>
    <w:p w14:paraId="1752FCCB" w14:textId="6792FEE4" w:rsidR="006B4402" w:rsidRDefault="006B4402" w:rsidP="00ED76BB">
      <w:pPr>
        <w:pStyle w:val="Bodyaftertablefigure"/>
      </w:pPr>
      <w:r>
        <w:t>Table 3</w:t>
      </w:r>
      <w:r w:rsidR="00933EA0">
        <w:t>4</w:t>
      </w:r>
      <w:r w:rsidRPr="008843F0">
        <w:t xml:space="preserve"> </w:t>
      </w:r>
      <w:r w:rsidR="00ED76BB" w:rsidRPr="008843F0">
        <w:t xml:space="preserve">shows that the majority of patients in all groups were anaemic by Module 2 definition at time of discharge. </w:t>
      </w:r>
    </w:p>
    <w:p w14:paraId="7C3C67F6" w14:textId="77777777" w:rsidR="006B4402" w:rsidRDefault="00ED76BB" w:rsidP="006B4402">
      <w:pPr>
        <w:pStyle w:val="Body"/>
      </w:pPr>
      <w:r w:rsidRPr="008843F0">
        <w:t xml:space="preserve">Only small numbers had a plan for discharge that included anaemia management. </w:t>
      </w:r>
    </w:p>
    <w:p w14:paraId="56F781F2" w14:textId="0D496412" w:rsidR="006B4402" w:rsidRDefault="00ED76BB" w:rsidP="006B4402">
      <w:pPr>
        <w:pStyle w:val="Body"/>
      </w:pPr>
      <w:r w:rsidRPr="008843F0">
        <w:t>This may be because many of these patients are tolerating the anaemia and surgery has corrected the problem</w:t>
      </w:r>
      <w:r w:rsidR="006B4402">
        <w:t>, that is,</w:t>
      </w:r>
      <w:r w:rsidRPr="008843F0">
        <w:t xml:space="preserve"> bleeding that was leading to their anaemia. </w:t>
      </w:r>
    </w:p>
    <w:p w14:paraId="4A45B0FF" w14:textId="77777777" w:rsidR="006B4402" w:rsidRDefault="00ED76BB" w:rsidP="006B4402">
      <w:pPr>
        <w:pStyle w:val="Body"/>
      </w:pPr>
      <w:r w:rsidRPr="008843F0">
        <w:t>As per pillar 3 of PBM, in the postoperative phase</w:t>
      </w:r>
      <w:r w:rsidR="006B4402">
        <w:t>,</w:t>
      </w:r>
      <w:r w:rsidRPr="008843F0">
        <w:t xml:space="preserve"> tolerance of anaemia and restrictive transfusion strategies should be in place. </w:t>
      </w:r>
    </w:p>
    <w:p w14:paraId="215ED3B9" w14:textId="7453A511" w:rsidR="00ED76BB" w:rsidRPr="008843F0" w:rsidRDefault="00ED76BB" w:rsidP="002B2FD9">
      <w:pPr>
        <w:pStyle w:val="Body"/>
      </w:pPr>
      <w:r w:rsidRPr="008843F0">
        <w:t>However, for some patients who were not investigated properly prior to surgery, there may be another cause for their anaemia that has not been found and managed appropriately</w:t>
      </w:r>
      <w:r w:rsidR="006B4402">
        <w:t>. This puts them</w:t>
      </w:r>
      <w:r w:rsidR="006B4402" w:rsidRPr="008843F0">
        <w:t xml:space="preserve"> </w:t>
      </w:r>
      <w:r w:rsidRPr="008843F0">
        <w:t xml:space="preserve">at risk of ongoing anaemia. </w:t>
      </w:r>
    </w:p>
    <w:p w14:paraId="4DED2C2F" w14:textId="70124377" w:rsidR="00ED76BB" w:rsidRPr="008843F0" w:rsidRDefault="00ED76BB" w:rsidP="002B2FD9">
      <w:pPr>
        <w:pStyle w:val="Tablecaption"/>
      </w:pPr>
      <w:bookmarkStart w:id="102" w:name="_Ref70407710"/>
      <w:r w:rsidRPr="008843F0">
        <w:t xml:space="preserve">Table </w:t>
      </w:r>
      <w:bookmarkEnd w:id="102"/>
      <w:r w:rsidR="008474D6">
        <w:t>3</w:t>
      </w:r>
      <w:r w:rsidR="006F4FEC">
        <w:t>4</w:t>
      </w:r>
      <w:r w:rsidRPr="008843F0">
        <w:t xml:space="preserve">: Patients anaemic </w:t>
      </w:r>
      <w:r w:rsidRPr="008F5214">
        <w:t>at</w:t>
      </w:r>
      <w:r w:rsidRPr="008843F0">
        <w:t xml:space="preserve"> discharge and number with management plan for anaemia</w:t>
      </w:r>
    </w:p>
    <w:tbl>
      <w:tblPr>
        <w:tblStyle w:val="TableGrid5"/>
        <w:tblW w:w="0" w:type="auto"/>
        <w:tblLook w:val="04A0" w:firstRow="1" w:lastRow="0" w:firstColumn="1" w:lastColumn="0" w:noHBand="0" w:noVBand="1"/>
      </w:tblPr>
      <w:tblGrid>
        <w:gridCol w:w="2696"/>
        <w:gridCol w:w="2077"/>
        <w:gridCol w:w="2077"/>
        <w:gridCol w:w="2077"/>
      </w:tblGrid>
      <w:tr w:rsidR="00ED76BB" w:rsidRPr="008843F0" w14:paraId="66DD3F6C" w14:textId="77777777" w:rsidTr="002B2FD9">
        <w:trPr>
          <w:tblHeader/>
        </w:trPr>
        <w:tc>
          <w:tcPr>
            <w:tcW w:w="2696" w:type="dxa"/>
            <w:vAlign w:val="center"/>
          </w:tcPr>
          <w:p w14:paraId="1EC4E7F5" w14:textId="77777777" w:rsidR="00ED76BB" w:rsidRPr="008843F0" w:rsidRDefault="00ED76BB" w:rsidP="003C2836">
            <w:pPr>
              <w:pStyle w:val="Tablecolhead"/>
            </w:pPr>
            <w:r w:rsidRPr="008843F0">
              <w:rPr>
                <w:lang w:eastAsia="en-AU"/>
              </w:rPr>
              <w:t>Surgery</w:t>
            </w:r>
          </w:p>
        </w:tc>
        <w:tc>
          <w:tcPr>
            <w:tcW w:w="2077" w:type="dxa"/>
            <w:vAlign w:val="center"/>
          </w:tcPr>
          <w:p w14:paraId="03037687" w14:textId="77777777" w:rsidR="00ED76BB" w:rsidRPr="008843F0" w:rsidRDefault="00ED76BB" w:rsidP="003C2836">
            <w:pPr>
              <w:pStyle w:val="Tablecolhead"/>
              <w:rPr>
                <w:lang w:eastAsia="en-AU"/>
              </w:rPr>
            </w:pPr>
            <w:r w:rsidRPr="008843F0">
              <w:rPr>
                <w:lang w:eastAsia="en-AU"/>
              </w:rPr>
              <w:t>Number of patients with Hb at discharge (%)</w:t>
            </w:r>
          </w:p>
        </w:tc>
        <w:tc>
          <w:tcPr>
            <w:tcW w:w="2077" w:type="dxa"/>
            <w:vAlign w:val="center"/>
          </w:tcPr>
          <w:p w14:paraId="36E6C853" w14:textId="77777777" w:rsidR="00ED76BB" w:rsidRPr="008843F0" w:rsidRDefault="00ED76BB" w:rsidP="003C2836">
            <w:pPr>
              <w:pStyle w:val="Tablecolhead"/>
              <w:rPr>
                <w:lang w:eastAsia="en-AU"/>
              </w:rPr>
            </w:pPr>
            <w:r w:rsidRPr="008843F0">
              <w:rPr>
                <w:lang w:eastAsia="en-AU"/>
              </w:rPr>
              <w:t xml:space="preserve">Number of </w:t>
            </w:r>
            <w:proofErr w:type="gramStart"/>
            <w:r w:rsidRPr="008843F0">
              <w:rPr>
                <w:lang w:eastAsia="en-AU"/>
              </w:rPr>
              <w:t>patients</w:t>
            </w:r>
            <w:proofErr w:type="gramEnd"/>
            <w:r w:rsidRPr="008843F0">
              <w:rPr>
                <w:lang w:eastAsia="en-AU"/>
              </w:rPr>
              <w:t xml:space="preserve"> anaemic at discharge</w:t>
            </w:r>
          </w:p>
        </w:tc>
        <w:tc>
          <w:tcPr>
            <w:tcW w:w="2077" w:type="dxa"/>
          </w:tcPr>
          <w:p w14:paraId="4E9FE33B" w14:textId="77777777" w:rsidR="00ED76BB" w:rsidRPr="008843F0" w:rsidRDefault="00ED76BB" w:rsidP="003C2836">
            <w:pPr>
              <w:pStyle w:val="Tablecolhead"/>
              <w:rPr>
                <w:lang w:eastAsia="en-AU"/>
              </w:rPr>
            </w:pPr>
            <w:r w:rsidRPr="008843F0">
              <w:rPr>
                <w:lang w:eastAsia="en-AU"/>
              </w:rPr>
              <w:t>Number of patients with discharge plan including anaemia management</w:t>
            </w:r>
          </w:p>
        </w:tc>
      </w:tr>
      <w:tr w:rsidR="00ED76BB" w:rsidRPr="008843F0" w14:paraId="0AB067E7" w14:textId="77777777" w:rsidTr="002B2FD9">
        <w:tc>
          <w:tcPr>
            <w:tcW w:w="2696" w:type="dxa"/>
          </w:tcPr>
          <w:p w14:paraId="50D70F24" w14:textId="77777777" w:rsidR="00ED76BB" w:rsidRPr="00DF1B38" w:rsidRDefault="00ED76BB" w:rsidP="003C2836">
            <w:pPr>
              <w:pStyle w:val="Tabletext"/>
            </w:pPr>
            <w:r w:rsidRPr="00DF1B38">
              <w:t>Orthopaedics</w:t>
            </w:r>
          </w:p>
        </w:tc>
        <w:tc>
          <w:tcPr>
            <w:tcW w:w="2077" w:type="dxa"/>
          </w:tcPr>
          <w:p w14:paraId="656CAA0C" w14:textId="77777777" w:rsidR="00ED76BB" w:rsidRPr="00DF1B38" w:rsidRDefault="00ED76BB" w:rsidP="002B2FD9">
            <w:pPr>
              <w:pStyle w:val="Tabletext"/>
              <w:jc w:val="right"/>
            </w:pPr>
            <w:r w:rsidRPr="00DF1B38">
              <w:t>697 (90%)</w:t>
            </w:r>
          </w:p>
        </w:tc>
        <w:tc>
          <w:tcPr>
            <w:tcW w:w="2077" w:type="dxa"/>
          </w:tcPr>
          <w:p w14:paraId="14C483A0" w14:textId="77777777" w:rsidR="00ED76BB" w:rsidRPr="00DF1B38" w:rsidRDefault="00ED76BB" w:rsidP="002B2FD9">
            <w:pPr>
              <w:pStyle w:val="Tabletext"/>
              <w:jc w:val="right"/>
            </w:pPr>
            <w:r w:rsidRPr="00DF1B38">
              <w:t>553 (79%)</w:t>
            </w:r>
          </w:p>
        </w:tc>
        <w:tc>
          <w:tcPr>
            <w:tcW w:w="2077" w:type="dxa"/>
          </w:tcPr>
          <w:p w14:paraId="51FA4EDD" w14:textId="77777777" w:rsidR="00ED76BB" w:rsidRPr="00DF1B38" w:rsidRDefault="00ED76BB" w:rsidP="002B2FD9">
            <w:pPr>
              <w:pStyle w:val="Tabletext"/>
              <w:jc w:val="right"/>
            </w:pPr>
            <w:r w:rsidRPr="00DF1B38">
              <w:t>26 (5%)</w:t>
            </w:r>
          </w:p>
        </w:tc>
      </w:tr>
      <w:tr w:rsidR="00ED76BB" w:rsidRPr="008843F0" w14:paraId="3F1DB072" w14:textId="77777777" w:rsidTr="002B2FD9">
        <w:tc>
          <w:tcPr>
            <w:tcW w:w="2696" w:type="dxa"/>
          </w:tcPr>
          <w:p w14:paraId="2C8EC6CF" w14:textId="77777777" w:rsidR="00ED76BB" w:rsidRPr="00DF1B38" w:rsidRDefault="00ED76BB" w:rsidP="003C2836">
            <w:pPr>
              <w:pStyle w:val="Tabletext"/>
            </w:pPr>
            <w:r w:rsidRPr="00DF1B38">
              <w:t>Gynaecology</w:t>
            </w:r>
          </w:p>
        </w:tc>
        <w:tc>
          <w:tcPr>
            <w:tcW w:w="2077" w:type="dxa"/>
          </w:tcPr>
          <w:p w14:paraId="7C6DCE62" w14:textId="77777777" w:rsidR="00ED76BB" w:rsidRPr="00DF1B38" w:rsidRDefault="00ED76BB" w:rsidP="002B2FD9">
            <w:pPr>
              <w:pStyle w:val="Tabletext"/>
              <w:jc w:val="right"/>
            </w:pPr>
            <w:r w:rsidRPr="00DF1B38">
              <w:t>244 (71%)</w:t>
            </w:r>
          </w:p>
        </w:tc>
        <w:tc>
          <w:tcPr>
            <w:tcW w:w="2077" w:type="dxa"/>
          </w:tcPr>
          <w:p w14:paraId="1B9387FB" w14:textId="77777777" w:rsidR="00ED76BB" w:rsidRPr="00DF1B38" w:rsidRDefault="00ED76BB" w:rsidP="002B2FD9">
            <w:pPr>
              <w:pStyle w:val="Tabletext"/>
              <w:jc w:val="right"/>
            </w:pPr>
            <w:r w:rsidRPr="00DF1B38">
              <w:t>154 (63%)</w:t>
            </w:r>
          </w:p>
        </w:tc>
        <w:tc>
          <w:tcPr>
            <w:tcW w:w="2077" w:type="dxa"/>
          </w:tcPr>
          <w:p w14:paraId="05D45DC3" w14:textId="77777777" w:rsidR="00ED76BB" w:rsidRPr="00DF1B38" w:rsidRDefault="00ED76BB" w:rsidP="002B2FD9">
            <w:pPr>
              <w:pStyle w:val="Tabletext"/>
              <w:jc w:val="right"/>
            </w:pPr>
            <w:r w:rsidRPr="00DF1B38">
              <w:t>25 (16%)</w:t>
            </w:r>
          </w:p>
        </w:tc>
      </w:tr>
      <w:tr w:rsidR="00ED76BB" w:rsidRPr="008843F0" w14:paraId="091B5014" w14:textId="77777777" w:rsidTr="002B2FD9">
        <w:tc>
          <w:tcPr>
            <w:tcW w:w="2696" w:type="dxa"/>
          </w:tcPr>
          <w:p w14:paraId="7106DE80" w14:textId="77777777" w:rsidR="00ED76BB" w:rsidRPr="00DF1B38" w:rsidRDefault="00ED76BB" w:rsidP="003C2836">
            <w:pPr>
              <w:pStyle w:val="Tabletext"/>
            </w:pPr>
            <w:r w:rsidRPr="00DF1B38">
              <w:t>Major gastrointestinal</w:t>
            </w:r>
          </w:p>
        </w:tc>
        <w:tc>
          <w:tcPr>
            <w:tcW w:w="2077" w:type="dxa"/>
          </w:tcPr>
          <w:p w14:paraId="2F92D394" w14:textId="77777777" w:rsidR="00ED76BB" w:rsidRPr="00DF1B38" w:rsidRDefault="00ED76BB" w:rsidP="002B2FD9">
            <w:pPr>
              <w:pStyle w:val="Tabletext"/>
              <w:jc w:val="right"/>
            </w:pPr>
            <w:r w:rsidRPr="00DF1B38">
              <w:t>293 (99%)</w:t>
            </w:r>
          </w:p>
        </w:tc>
        <w:tc>
          <w:tcPr>
            <w:tcW w:w="2077" w:type="dxa"/>
          </w:tcPr>
          <w:p w14:paraId="2ECBB101" w14:textId="77777777" w:rsidR="00ED76BB" w:rsidRPr="00DF1B38" w:rsidRDefault="00ED76BB" w:rsidP="002B2FD9">
            <w:pPr>
              <w:pStyle w:val="Tabletext"/>
              <w:jc w:val="right"/>
            </w:pPr>
            <w:r w:rsidRPr="00DF1B38">
              <w:t>203 (69%)</w:t>
            </w:r>
          </w:p>
        </w:tc>
        <w:tc>
          <w:tcPr>
            <w:tcW w:w="2077" w:type="dxa"/>
          </w:tcPr>
          <w:p w14:paraId="57523DD7" w14:textId="77777777" w:rsidR="00ED76BB" w:rsidRPr="00DF1B38" w:rsidRDefault="00ED76BB" w:rsidP="002B2FD9">
            <w:pPr>
              <w:pStyle w:val="Tabletext"/>
              <w:jc w:val="right"/>
            </w:pPr>
            <w:r w:rsidRPr="00DF1B38">
              <w:t>17 (8%)</w:t>
            </w:r>
          </w:p>
        </w:tc>
      </w:tr>
      <w:tr w:rsidR="00ED76BB" w:rsidRPr="008843F0" w14:paraId="7C435C8C" w14:textId="77777777" w:rsidTr="002B2FD9">
        <w:tc>
          <w:tcPr>
            <w:tcW w:w="2696" w:type="dxa"/>
          </w:tcPr>
          <w:p w14:paraId="77DBC31D" w14:textId="77777777" w:rsidR="00ED76BB" w:rsidRPr="00DF1B38" w:rsidRDefault="00ED76BB" w:rsidP="003C2836">
            <w:pPr>
              <w:pStyle w:val="Tabletext"/>
            </w:pPr>
            <w:r w:rsidRPr="00DF1B38">
              <w:t>Cardiothoracic</w:t>
            </w:r>
          </w:p>
        </w:tc>
        <w:tc>
          <w:tcPr>
            <w:tcW w:w="2077" w:type="dxa"/>
          </w:tcPr>
          <w:p w14:paraId="44D9240C" w14:textId="77777777" w:rsidR="00ED76BB" w:rsidRPr="00DF1B38" w:rsidRDefault="00ED76BB" w:rsidP="002B2FD9">
            <w:pPr>
              <w:pStyle w:val="Tabletext"/>
              <w:jc w:val="right"/>
            </w:pPr>
            <w:r w:rsidRPr="00DF1B38">
              <w:t>130 (100%)</w:t>
            </w:r>
          </w:p>
        </w:tc>
        <w:tc>
          <w:tcPr>
            <w:tcW w:w="2077" w:type="dxa"/>
          </w:tcPr>
          <w:p w14:paraId="5948CB95" w14:textId="77777777" w:rsidR="00ED76BB" w:rsidRPr="00DF1B38" w:rsidRDefault="00ED76BB" w:rsidP="002B2FD9">
            <w:pPr>
              <w:pStyle w:val="Tabletext"/>
              <w:jc w:val="right"/>
            </w:pPr>
            <w:r w:rsidRPr="00DF1B38">
              <w:t>116 (89%)</w:t>
            </w:r>
          </w:p>
        </w:tc>
        <w:tc>
          <w:tcPr>
            <w:tcW w:w="2077" w:type="dxa"/>
          </w:tcPr>
          <w:p w14:paraId="58B6EA32" w14:textId="77777777" w:rsidR="00ED76BB" w:rsidRPr="00DF1B38" w:rsidRDefault="00ED76BB" w:rsidP="002B2FD9">
            <w:pPr>
              <w:pStyle w:val="Tabletext"/>
              <w:jc w:val="right"/>
            </w:pPr>
            <w:r w:rsidRPr="00DF1B38">
              <w:t>2 (2%)</w:t>
            </w:r>
          </w:p>
        </w:tc>
      </w:tr>
      <w:tr w:rsidR="00ED76BB" w:rsidRPr="008843F0" w14:paraId="6917A67D" w14:textId="77777777" w:rsidTr="002B2FD9">
        <w:tc>
          <w:tcPr>
            <w:tcW w:w="2696" w:type="dxa"/>
          </w:tcPr>
          <w:p w14:paraId="3F4265A3" w14:textId="77777777" w:rsidR="00ED76BB" w:rsidRPr="00DF1B38" w:rsidRDefault="00ED76BB" w:rsidP="003C2836">
            <w:pPr>
              <w:pStyle w:val="Tabletext"/>
              <w:rPr>
                <w:b/>
                <w:bCs/>
              </w:rPr>
            </w:pPr>
            <w:r w:rsidRPr="00DF1B38">
              <w:rPr>
                <w:b/>
                <w:bCs/>
              </w:rPr>
              <w:t>Total (all surgical types)</w:t>
            </w:r>
          </w:p>
        </w:tc>
        <w:tc>
          <w:tcPr>
            <w:tcW w:w="2077" w:type="dxa"/>
          </w:tcPr>
          <w:p w14:paraId="714204F0" w14:textId="77777777" w:rsidR="00ED76BB" w:rsidRPr="00DF1B38" w:rsidRDefault="00ED76BB" w:rsidP="002B2FD9">
            <w:pPr>
              <w:pStyle w:val="Tabletext"/>
              <w:jc w:val="right"/>
              <w:rPr>
                <w:b/>
                <w:bCs/>
              </w:rPr>
            </w:pPr>
            <w:r w:rsidRPr="00DF1B38">
              <w:rPr>
                <w:b/>
                <w:bCs/>
              </w:rPr>
              <w:t>1364 (89%)</w:t>
            </w:r>
          </w:p>
        </w:tc>
        <w:tc>
          <w:tcPr>
            <w:tcW w:w="2077" w:type="dxa"/>
          </w:tcPr>
          <w:p w14:paraId="0CC46C84" w14:textId="77777777" w:rsidR="00ED76BB" w:rsidRPr="00DF1B38" w:rsidRDefault="00ED76BB" w:rsidP="002B2FD9">
            <w:pPr>
              <w:pStyle w:val="Tabletext"/>
              <w:jc w:val="right"/>
              <w:rPr>
                <w:b/>
                <w:bCs/>
              </w:rPr>
            </w:pPr>
            <w:r w:rsidRPr="00DF1B38">
              <w:rPr>
                <w:b/>
                <w:bCs/>
              </w:rPr>
              <w:t>1026 (75%)</w:t>
            </w:r>
          </w:p>
        </w:tc>
        <w:tc>
          <w:tcPr>
            <w:tcW w:w="2077" w:type="dxa"/>
          </w:tcPr>
          <w:p w14:paraId="6683CB35" w14:textId="77777777" w:rsidR="00ED76BB" w:rsidRPr="00DF1B38" w:rsidRDefault="00ED76BB" w:rsidP="002B2FD9">
            <w:pPr>
              <w:pStyle w:val="Tabletext"/>
              <w:jc w:val="right"/>
              <w:rPr>
                <w:b/>
                <w:bCs/>
              </w:rPr>
            </w:pPr>
            <w:r w:rsidRPr="00DF1B38">
              <w:rPr>
                <w:b/>
                <w:bCs/>
              </w:rPr>
              <w:t>70 (7%)</w:t>
            </w:r>
          </w:p>
        </w:tc>
      </w:tr>
    </w:tbl>
    <w:p w14:paraId="4B5AFB60" w14:textId="77777777" w:rsidR="00ED76BB" w:rsidRPr="00DF1B38" w:rsidRDefault="00ED76BB" w:rsidP="00ED76BB">
      <w:pPr>
        <w:pStyle w:val="Body"/>
      </w:pPr>
    </w:p>
    <w:p w14:paraId="7C6A7647" w14:textId="07B32279" w:rsidR="00ED76BB" w:rsidRPr="008843F0" w:rsidRDefault="00ED76BB" w:rsidP="002B2FD9">
      <w:pPr>
        <w:pStyle w:val="Tablecaption"/>
        <w:spacing w:line="240" w:lineRule="auto"/>
      </w:pPr>
      <w:r w:rsidRPr="008843F0">
        <w:lastRenderedPageBreak/>
        <w:t xml:space="preserve">Table </w:t>
      </w:r>
      <w:r w:rsidR="008474D6">
        <w:t>3</w:t>
      </w:r>
      <w:r w:rsidR="006F4FEC">
        <w:t>5</w:t>
      </w:r>
      <w:r w:rsidRPr="008843F0">
        <w:t xml:space="preserve">: Number of </w:t>
      </w:r>
      <w:r w:rsidRPr="00DF1B38">
        <w:t>patients</w:t>
      </w:r>
      <w:r w:rsidRPr="008843F0">
        <w:t xml:space="preserve"> readmitted </w:t>
      </w:r>
      <w:r w:rsidRPr="008F5214">
        <w:t>within</w:t>
      </w:r>
      <w:r w:rsidRPr="008843F0">
        <w:t xml:space="preserve"> 30 days and number who received a transfusion</w:t>
      </w:r>
    </w:p>
    <w:tbl>
      <w:tblPr>
        <w:tblStyle w:val="TableGrid5"/>
        <w:tblW w:w="0" w:type="auto"/>
        <w:tblLook w:val="04A0" w:firstRow="1" w:lastRow="0" w:firstColumn="1" w:lastColumn="0" w:noHBand="0" w:noVBand="1"/>
      </w:tblPr>
      <w:tblGrid>
        <w:gridCol w:w="2696"/>
        <w:gridCol w:w="2077"/>
        <w:gridCol w:w="2077"/>
        <w:gridCol w:w="2077"/>
      </w:tblGrid>
      <w:tr w:rsidR="00ED76BB" w:rsidRPr="008843F0" w14:paraId="43FD3B6F" w14:textId="77777777" w:rsidTr="002B2FD9">
        <w:tc>
          <w:tcPr>
            <w:tcW w:w="2696" w:type="dxa"/>
          </w:tcPr>
          <w:p w14:paraId="1B486AEC" w14:textId="77777777" w:rsidR="00ED76BB" w:rsidRPr="008843F0" w:rsidRDefault="00ED76BB" w:rsidP="002B2FD9">
            <w:pPr>
              <w:pStyle w:val="Tablecolhead"/>
              <w:keepNext/>
              <w:keepLines/>
            </w:pPr>
            <w:r w:rsidRPr="008843F0">
              <w:rPr>
                <w:lang w:eastAsia="en-AU"/>
              </w:rPr>
              <w:t>Surgery</w:t>
            </w:r>
          </w:p>
        </w:tc>
        <w:tc>
          <w:tcPr>
            <w:tcW w:w="2077" w:type="dxa"/>
          </w:tcPr>
          <w:p w14:paraId="443A8D37" w14:textId="77777777" w:rsidR="00ED76BB" w:rsidRPr="008843F0" w:rsidRDefault="00ED76BB" w:rsidP="002B2FD9">
            <w:pPr>
              <w:pStyle w:val="Tablecolhead"/>
              <w:keepNext/>
              <w:keepLines/>
              <w:rPr>
                <w:lang w:eastAsia="en-AU"/>
              </w:rPr>
            </w:pPr>
            <w:r w:rsidRPr="008843F0">
              <w:rPr>
                <w:lang w:eastAsia="en-AU"/>
              </w:rPr>
              <w:t xml:space="preserve">Number of patients readmitted within 30 days </w:t>
            </w:r>
          </w:p>
        </w:tc>
        <w:tc>
          <w:tcPr>
            <w:tcW w:w="2077" w:type="dxa"/>
          </w:tcPr>
          <w:p w14:paraId="15485AA3" w14:textId="77777777" w:rsidR="00ED76BB" w:rsidRPr="008843F0" w:rsidRDefault="00ED76BB" w:rsidP="002B2FD9">
            <w:pPr>
              <w:pStyle w:val="Tablecolhead"/>
              <w:keepNext/>
              <w:keepLines/>
              <w:rPr>
                <w:highlight w:val="yellow"/>
                <w:lang w:eastAsia="en-AU"/>
              </w:rPr>
            </w:pPr>
            <w:r w:rsidRPr="008843F0">
              <w:rPr>
                <w:lang w:eastAsia="en-AU"/>
              </w:rPr>
              <w:t xml:space="preserve">Number of patients readmitted within 30 days who had received a transfusion </w:t>
            </w:r>
          </w:p>
        </w:tc>
        <w:tc>
          <w:tcPr>
            <w:tcW w:w="2077" w:type="dxa"/>
          </w:tcPr>
          <w:p w14:paraId="13C9E906" w14:textId="77777777" w:rsidR="00ED76BB" w:rsidRPr="008843F0" w:rsidRDefault="00ED76BB" w:rsidP="002B2FD9">
            <w:pPr>
              <w:pStyle w:val="Tablecolhead"/>
              <w:keepNext/>
              <w:keepLines/>
              <w:rPr>
                <w:highlight w:val="yellow"/>
                <w:lang w:eastAsia="en-AU"/>
              </w:rPr>
            </w:pPr>
            <w:r w:rsidRPr="008843F0">
              <w:rPr>
                <w:lang w:eastAsia="en-AU"/>
              </w:rPr>
              <w:t>Number of patients readmitted within 30 days that were anaemic on discharge</w:t>
            </w:r>
          </w:p>
        </w:tc>
      </w:tr>
      <w:tr w:rsidR="00ED76BB" w:rsidRPr="008843F0" w14:paraId="5DD5198F" w14:textId="77777777" w:rsidTr="002B2FD9">
        <w:tc>
          <w:tcPr>
            <w:tcW w:w="2696" w:type="dxa"/>
          </w:tcPr>
          <w:p w14:paraId="64DDEA43" w14:textId="77777777" w:rsidR="00ED76BB" w:rsidRPr="00DF1B38" w:rsidRDefault="00ED76BB" w:rsidP="002B2FD9">
            <w:pPr>
              <w:pStyle w:val="Tabletext"/>
              <w:keepNext/>
              <w:keepLines/>
            </w:pPr>
            <w:r w:rsidRPr="00DF1B38">
              <w:t>Orthopaedics</w:t>
            </w:r>
          </w:p>
        </w:tc>
        <w:tc>
          <w:tcPr>
            <w:tcW w:w="2077" w:type="dxa"/>
          </w:tcPr>
          <w:p w14:paraId="3070FD7C" w14:textId="77777777" w:rsidR="00ED76BB" w:rsidRPr="00DF1B38" w:rsidRDefault="00ED76BB" w:rsidP="002B2FD9">
            <w:pPr>
              <w:pStyle w:val="Tabletext"/>
              <w:keepNext/>
              <w:keepLines/>
              <w:jc w:val="right"/>
            </w:pPr>
            <w:r w:rsidRPr="00DF1B38">
              <w:t>22 (3%)</w:t>
            </w:r>
          </w:p>
        </w:tc>
        <w:tc>
          <w:tcPr>
            <w:tcW w:w="2077" w:type="dxa"/>
          </w:tcPr>
          <w:p w14:paraId="79B93C29" w14:textId="77777777" w:rsidR="00ED76BB" w:rsidRPr="00DF1B38" w:rsidRDefault="00ED76BB" w:rsidP="002B2FD9">
            <w:pPr>
              <w:pStyle w:val="Tabletext"/>
              <w:keepNext/>
              <w:keepLines/>
              <w:jc w:val="right"/>
            </w:pPr>
            <w:r w:rsidRPr="00DF1B38">
              <w:t>3 (14%)</w:t>
            </w:r>
          </w:p>
        </w:tc>
        <w:tc>
          <w:tcPr>
            <w:tcW w:w="2077" w:type="dxa"/>
          </w:tcPr>
          <w:p w14:paraId="5245E0FD" w14:textId="77777777" w:rsidR="00ED76BB" w:rsidRPr="00DF1B38" w:rsidRDefault="00ED76BB" w:rsidP="002B2FD9">
            <w:pPr>
              <w:pStyle w:val="Tabletext"/>
              <w:keepNext/>
              <w:keepLines/>
              <w:jc w:val="right"/>
            </w:pPr>
            <w:r w:rsidRPr="00DF1B38">
              <w:t>19 (86%)</w:t>
            </w:r>
          </w:p>
        </w:tc>
      </w:tr>
      <w:tr w:rsidR="00ED76BB" w:rsidRPr="008843F0" w14:paraId="581B827A" w14:textId="77777777" w:rsidTr="002B2FD9">
        <w:tc>
          <w:tcPr>
            <w:tcW w:w="2696" w:type="dxa"/>
          </w:tcPr>
          <w:p w14:paraId="53426002" w14:textId="77777777" w:rsidR="00ED76BB" w:rsidRPr="00DF1B38" w:rsidRDefault="00ED76BB" w:rsidP="002B2FD9">
            <w:pPr>
              <w:pStyle w:val="Tabletext"/>
              <w:keepNext/>
              <w:keepLines/>
            </w:pPr>
            <w:r w:rsidRPr="00DF1B38">
              <w:t>Gynaecology</w:t>
            </w:r>
          </w:p>
        </w:tc>
        <w:tc>
          <w:tcPr>
            <w:tcW w:w="2077" w:type="dxa"/>
          </w:tcPr>
          <w:p w14:paraId="346A1D7F" w14:textId="77777777" w:rsidR="00ED76BB" w:rsidRPr="00DF1B38" w:rsidRDefault="00ED76BB" w:rsidP="002B2FD9">
            <w:pPr>
              <w:pStyle w:val="Tabletext"/>
              <w:keepNext/>
              <w:keepLines/>
              <w:jc w:val="right"/>
            </w:pPr>
            <w:r w:rsidRPr="00DF1B38">
              <w:t>8 (2%)</w:t>
            </w:r>
          </w:p>
        </w:tc>
        <w:tc>
          <w:tcPr>
            <w:tcW w:w="2077" w:type="dxa"/>
          </w:tcPr>
          <w:p w14:paraId="65FA52C6" w14:textId="77777777" w:rsidR="00ED76BB" w:rsidRPr="00DF1B38" w:rsidRDefault="00ED76BB" w:rsidP="002B2FD9">
            <w:pPr>
              <w:pStyle w:val="Tabletext"/>
              <w:keepNext/>
              <w:keepLines/>
              <w:jc w:val="right"/>
            </w:pPr>
            <w:r w:rsidRPr="00DF1B38">
              <w:t>2 (25%)</w:t>
            </w:r>
          </w:p>
        </w:tc>
        <w:tc>
          <w:tcPr>
            <w:tcW w:w="2077" w:type="dxa"/>
          </w:tcPr>
          <w:p w14:paraId="4F465444" w14:textId="77777777" w:rsidR="00ED76BB" w:rsidRPr="00DF1B38" w:rsidRDefault="00ED76BB" w:rsidP="002B2FD9">
            <w:pPr>
              <w:pStyle w:val="Tabletext"/>
              <w:keepNext/>
              <w:keepLines/>
              <w:jc w:val="right"/>
            </w:pPr>
            <w:r w:rsidRPr="00DF1B38">
              <w:t>8 (100%)</w:t>
            </w:r>
          </w:p>
        </w:tc>
      </w:tr>
      <w:tr w:rsidR="00ED76BB" w:rsidRPr="008843F0" w14:paraId="50B6EBC0" w14:textId="77777777" w:rsidTr="002B2FD9">
        <w:tc>
          <w:tcPr>
            <w:tcW w:w="2696" w:type="dxa"/>
          </w:tcPr>
          <w:p w14:paraId="326970FE" w14:textId="77777777" w:rsidR="00ED76BB" w:rsidRPr="00DF1B38" w:rsidRDefault="00ED76BB" w:rsidP="002B2FD9">
            <w:pPr>
              <w:pStyle w:val="Tabletext"/>
              <w:keepNext/>
              <w:keepLines/>
            </w:pPr>
            <w:r w:rsidRPr="00DF1B38">
              <w:t>Major gastrointestinal</w:t>
            </w:r>
          </w:p>
        </w:tc>
        <w:tc>
          <w:tcPr>
            <w:tcW w:w="2077" w:type="dxa"/>
          </w:tcPr>
          <w:p w14:paraId="12207E9E" w14:textId="77777777" w:rsidR="00ED76BB" w:rsidRPr="00DF1B38" w:rsidRDefault="00ED76BB" w:rsidP="002B2FD9">
            <w:pPr>
              <w:pStyle w:val="Tabletext"/>
              <w:keepNext/>
              <w:keepLines/>
              <w:jc w:val="right"/>
            </w:pPr>
            <w:r w:rsidRPr="00DF1B38">
              <w:t>34 (11%)</w:t>
            </w:r>
          </w:p>
        </w:tc>
        <w:tc>
          <w:tcPr>
            <w:tcW w:w="2077" w:type="dxa"/>
          </w:tcPr>
          <w:p w14:paraId="03A62BAC" w14:textId="77777777" w:rsidR="00ED76BB" w:rsidRPr="00DF1B38" w:rsidRDefault="00ED76BB" w:rsidP="002B2FD9">
            <w:pPr>
              <w:pStyle w:val="Tabletext"/>
              <w:keepNext/>
              <w:keepLines/>
              <w:jc w:val="right"/>
            </w:pPr>
            <w:r w:rsidRPr="00DF1B38">
              <w:t>8 (24%)</w:t>
            </w:r>
          </w:p>
        </w:tc>
        <w:tc>
          <w:tcPr>
            <w:tcW w:w="2077" w:type="dxa"/>
          </w:tcPr>
          <w:p w14:paraId="18E628C6" w14:textId="77777777" w:rsidR="00ED76BB" w:rsidRPr="00DF1B38" w:rsidRDefault="00ED76BB" w:rsidP="002B2FD9">
            <w:pPr>
              <w:pStyle w:val="Tabletext"/>
              <w:keepNext/>
              <w:keepLines/>
              <w:jc w:val="right"/>
            </w:pPr>
            <w:r w:rsidRPr="00DF1B38">
              <w:t>26 (76%)</w:t>
            </w:r>
          </w:p>
        </w:tc>
      </w:tr>
      <w:tr w:rsidR="00ED76BB" w:rsidRPr="008843F0" w14:paraId="007BB8DD" w14:textId="77777777" w:rsidTr="002B2FD9">
        <w:tc>
          <w:tcPr>
            <w:tcW w:w="2696" w:type="dxa"/>
          </w:tcPr>
          <w:p w14:paraId="147F0AF5" w14:textId="77777777" w:rsidR="00ED76BB" w:rsidRPr="00DF1B38" w:rsidRDefault="00ED76BB" w:rsidP="002B2FD9">
            <w:pPr>
              <w:pStyle w:val="Tabletext"/>
              <w:keepNext/>
              <w:keepLines/>
            </w:pPr>
            <w:r w:rsidRPr="00DF1B38">
              <w:t>Cardiothoracic</w:t>
            </w:r>
          </w:p>
        </w:tc>
        <w:tc>
          <w:tcPr>
            <w:tcW w:w="2077" w:type="dxa"/>
          </w:tcPr>
          <w:p w14:paraId="68D40330" w14:textId="77777777" w:rsidR="00ED76BB" w:rsidRPr="00DF1B38" w:rsidRDefault="00ED76BB" w:rsidP="002B2FD9">
            <w:pPr>
              <w:pStyle w:val="Tabletext"/>
              <w:keepNext/>
              <w:keepLines/>
              <w:jc w:val="right"/>
            </w:pPr>
            <w:r w:rsidRPr="00DF1B38">
              <w:t>10 (8%)</w:t>
            </w:r>
          </w:p>
        </w:tc>
        <w:tc>
          <w:tcPr>
            <w:tcW w:w="2077" w:type="dxa"/>
          </w:tcPr>
          <w:p w14:paraId="288B2C65" w14:textId="77777777" w:rsidR="00ED76BB" w:rsidRPr="00DF1B38" w:rsidRDefault="00ED76BB" w:rsidP="002B2FD9">
            <w:pPr>
              <w:pStyle w:val="Tabletext"/>
              <w:keepNext/>
              <w:keepLines/>
              <w:jc w:val="right"/>
            </w:pPr>
            <w:r w:rsidRPr="00DF1B38">
              <w:t>3 (30%)</w:t>
            </w:r>
          </w:p>
        </w:tc>
        <w:tc>
          <w:tcPr>
            <w:tcW w:w="2077" w:type="dxa"/>
          </w:tcPr>
          <w:p w14:paraId="7E32DE01" w14:textId="77777777" w:rsidR="00ED76BB" w:rsidRPr="00DF1B38" w:rsidRDefault="00ED76BB" w:rsidP="002B2FD9">
            <w:pPr>
              <w:pStyle w:val="Tabletext"/>
              <w:keepNext/>
              <w:keepLines/>
              <w:jc w:val="right"/>
            </w:pPr>
            <w:r w:rsidRPr="00DF1B38">
              <w:t>9 (90%)</w:t>
            </w:r>
          </w:p>
        </w:tc>
      </w:tr>
      <w:tr w:rsidR="00ED76BB" w:rsidRPr="008843F0" w14:paraId="53EC0500" w14:textId="77777777" w:rsidTr="002B2FD9">
        <w:tc>
          <w:tcPr>
            <w:tcW w:w="2696" w:type="dxa"/>
          </w:tcPr>
          <w:p w14:paraId="256FAA5D" w14:textId="77777777" w:rsidR="00ED76BB" w:rsidRPr="00DF1B38" w:rsidRDefault="00ED76BB" w:rsidP="002B2FD9">
            <w:pPr>
              <w:pStyle w:val="Tabletext"/>
              <w:keepNext/>
              <w:keepLines/>
              <w:rPr>
                <w:b/>
                <w:bCs/>
              </w:rPr>
            </w:pPr>
            <w:r w:rsidRPr="00DF1B38">
              <w:rPr>
                <w:b/>
                <w:bCs/>
              </w:rPr>
              <w:t>Total (all surgical types)</w:t>
            </w:r>
          </w:p>
        </w:tc>
        <w:tc>
          <w:tcPr>
            <w:tcW w:w="2077" w:type="dxa"/>
          </w:tcPr>
          <w:p w14:paraId="47E76E7A" w14:textId="77777777" w:rsidR="00ED76BB" w:rsidRPr="00DF1B38" w:rsidRDefault="00ED76BB" w:rsidP="002B2FD9">
            <w:pPr>
              <w:pStyle w:val="Tabletext"/>
              <w:keepNext/>
              <w:keepLines/>
              <w:jc w:val="right"/>
              <w:rPr>
                <w:b/>
                <w:bCs/>
              </w:rPr>
            </w:pPr>
            <w:r w:rsidRPr="00DF1B38">
              <w:rPr>
                <w:b/>
                <w:bCs/>
              </w:rPr>
              <w:t>74 (5%)</w:t>
            </w:r>
          </w:p>
        </w:tc>
        <w:tc>
          <w:tcPr>
            <w:tcW w:w="2077" w:type="dxa"/>
          </w:tcPr>
          <w:p w14:paraId="1486289C" w14:textId="77777777" w:rsidR="00ED76BB" w:rsidRPr="00DF1B38" w:rsidRDefault="00ED76BB" w:rsidP="002B2FD9">
            <w:pPr>
              <w:pStyle w:val="Tabletext"/>
              <w:keepNext/>
              <w:keepLines/>
              <w:jc w:val="right"/>
              <w:rPr>
                <w:b/>
                <w:bCs/>
              </w:rPr>
            </w:pPr>
            <w:r w:rsidRPr="00DF1B38">
              <w:rPr>
                <w:b/>
                <w:bCs/>
              </w:rPr>
              <w:t>16 (22%)</w:t>
            </w:r>
          </w:p>
        </w:tc>
        <w:tc>
          <w:tcPr>
            <w:tcW w:w="2077" w:type="dxa"/>
          </w:tcPr>
          <w:p w14:paraId="79D0A237" w14:textId="77777777" w:rsidR="00ED76BB" w:rsidRPr="00DF1B38" w:rsidRDefault="00ED76BB" w:rsidP="002B2FD9">
            <w:pPr>
              <w:pStyle w:val="Tabletext"/>
              <w:keepNext/>
              <w:keepLines/>
              <w:jc w:val="right"/>
              <w:rPr>
                <w:b/>
                <w:bCs/>
                <w:highlight w:val="yellow"/>
              </w:rPr>
            </w:pPr>
            <w:r w:rsidRPr="00DF1B38">
              <w:rPr>
                <w:b/>
                <w:bCs/>
              </w:rPr>
              <w:t>62 (84%)</w:t>
            </w:r>
          </w:p>
        </w:tc>
      </w:tr>
    </w:tbl>
    <w:p w14:paraId="1D3874C9" w14:textId="371544BA" w:rsidR="008474D6" w:rsidRDefault="00ED76BB" w:rsidP="00ED76BB">
      <w:pPr>
        <w:pStyle w:val="Bodyaftertablefigure"/>
      </w:pPr>
      <w:r w:rsidRPr="008843F0">
        <w:t xml:space="preserve">Table </w:t>
      </w:r>
      <w:r w:rsidR="008474D6">
        <w:t>3</w:t>
      </w:r>
      <w:r w:rsidR="00933EA0">
        <w:t>5</w:t>
      </w:r>
      <w:r w:rsidR="008474D6" w:rsidRPr="008843F0">
        <w:t xml:space="preserve"> </w:t>
      </w:r>
      <w:r w:rsidR="008474D6">
        <w:t>shows</w:t>
      </w:r>
      <w:r w:rsidR="008474D6" w:rsidRPr="008843F0">
        <w:t xml:space="preserve"> </w:t>
      </w:r>
      <w:r w:rsidRPr="008843F0">
        <w:t>the number of patients readmitted within 30 day</w:t>
      </w:r>
      <w:r w:rsidR="008474D6">
        <w:t>s</w:t>
      </w:r>
      <w:r w:rsidRPr="008843F0">
        <w:t xml:space="preserve"> (n</w:t>
      </w:r>
      <w:r w:rsidR="008474D6">
        <w:t xml:space="preserve"> </w:t>
      </w:r>
      <w:r w:rsidRPr="008843F0">
        <w:t>=</w:t>
      </w:r>
      <w:r w:rsidR="008474D6">
        <w:t xml:space="preserve"> </w:t>
      </w:r>
      <w:r w:rsidRPr="008843F0">
        <w:t>74</w:t>
      </w:r>
      <w:r w:rsidR="008474D6" w:rsidRPr="008843F0">
        <w:t>)</w:t>
      </w:r>
      <w:r w:rsidR="008474D6">
        <w:t>. Th</w:t>
      </w:r>
      <w:r w:rsidRPr="008843F0">
        <w:t xml:space="preserve">e audit did not include questions about the reason for readmission. </w:t>
      </w:r>
      <w:r w:rsidR="00585CDF">
        <w:t xml:space="preserve">(Appendix </w:t>
      </w:r>
      <w:r w:rsidR="0081407B">
        <w:t>7</w:t>
      </w:r>
      <w:r w:rsidR="00585CDF">
        <w:t xml:space="preserve"> shows readmission rates based on anaemia severity at discharge). </w:t>
      </w:r>
    </w:p>
    <w:p w14:paraId="37B838A3" w14:textId="0B410B1E" w:rsidR="00ED76BB" w:rsidRPr="008843F0" w:rsidRDefault="00ED76BB" w:rsidP="002B2FD9">
      <w:pPr>
        <w:pStyle w:val="Body"/>
      </w:pPr>
      <w:r w:rsidRPr="008843F0">
        <w:t>It is interesting to note that of those readmitted</w:t>
      </w:r>
      <w:r w:rsidR="008474D6">
        <w:t>,</w:t>
      </w:r>
      <w:r w:rsidRPr="008843F0">
        <w:t xml:space="preserve"> </w:t>
      </w:r>
      <w:r w:rsidRPr="008474D6">
        <w:t>62</w:t>
      </w:r>
      <w:r w:rsidRPr="008843F0">
        <w:t xml:space="preserve"> (84</w:t>
      </w:r>
      <w:r w:rsidR="008474D6">
        <w:t xml:space="preserve"> per cent</w:t>
      </w:r>
      <w:r w:rsidR="008474D6" w:rsidRPr="008843F0">
        <w:t xml:space="preserve">) </w:t>
      </w:r>
      <w:r w:rsidRPr="008843F0">
        <w:t>were anaemic on discharge</w:t>
      </w:r>
      <w:r w:rsidR="008474D6">
        <w:t>.</w:t>
      </w:r>
      <w:r w:rsidR="008474D6" w:rsidRPr="008843F0">
        <w:t xml:space="preserve"> </w:t>
      </w:r>
      <w:r w:rsidR="008474D6">
        <w:t>H</w:t>
      </w:r>
      <w:r w:rsidR="008474D6" w:rsidRPr="008843F0">
        <w:t>owever</w:t>
      </w:r>
      <w:r w:rsidR="008474D6">
        <w:t>,</w:t>
      </w:r>
      <w:r w:rsidR="008474D6" w:rsidRPr="008843F0">
        <w:t xml:space="preserve"> </w:t>
      </w:r>
      <w:r w:rsidRPr="008843F0">
        <w:t>it is unknown if anaemia contributed to the readmission.</w:t>
      </w:r>
    </w:p>
    <w:p w14:paraId="3161A280" w14:textId="77777777" w:rsidR="00ED76BB" w:rsidRPr="00DF1B38" w:rsidRDefault="00ED76BB" w:rsidP="00ED76BB">
      <w:pPr>
        <w:pStyle w:val="Heading3"/>
      </w:pPr>
      <w:bookmarkStart w:id="103" w:name="_Toc72314132"/>
      <w:r w:rsidRPr="008843F0">
        <w:t>Postoperative: summary</w:t>
      </w:r>
      <w:bookmarkEnd w:id="103"/>
      <w:r w:rsidRPr="008843F0">
        <w:t xml:space="preserve"> </w:t>
      </w:r>
    </w:p>
    <w:p w14:paraId="0CD73AC5" w14:textId="0EBD58A0" w:rsidR="008474D6" w:rsidRDefault="00ED76BB" w:rsidP="00ED76BB">
      <w:pPr>
        <w:pStyle w:val="Body"/>
      </w:pPr>
      <w:r w:rsidRPr="00DF1B38">
        <w:t xml:space="preserve">While the main focus of PBM activities in health services </w:t>
      </w:r>
      <w:r w:rsidR="008474D6">
        <w:t>has</w:t>
      </w:r>
      <w:r w:rsidR="008474D6" w:rsidRPr="00DF1B38">
        <w:t xml:space="preserve"> </w:t>
      </w:r>
      <w:r w:rsidRPr="00DF1B38">
        <w:t xml:space="preserve">generally been in the pre and intraoperative periods, there is room for improvement in the postoperative period for the management of those patients with ongoing or postoperative anaemia. </w:t>
      </w:r>
    </w:p>
    <w:p w14:paraId="09A3E7D0" w14:textId="5760336C" w:rsidR="00ED76BB" w:rsidRPr="00DF1B38" w:rsidRDefault="00ED76BB" w:rsidP="00ED76BB">
      <w:pPr>
        <w:pStyle w:val="Body"/>
      </w:pPr>
      <w:r w:rsidRPr="00DF1B38">
        <w:t>This audit indicate</w:t>
      </w:r>
      <w:r w:rsidR="008474D6">
        <w:t>s</w:t>
      </w:r>
      <w:r w:rsidRPr="00DF1B38">
        <w:t xml:space="preserve"> there is generally a tolerance of anaemia in patients, leading to low rates of transfusion</w:t>
      </w:r>
      <w:r w:rsidR="008474D6">
        <w:t>.</w:t>
      </w:r>
      <w:r w:rsidR="008474D6" w:rsidRPr="00DF1B38">
        <w:t xml:space="preserve"> </w:t>
      </w:r>
      <w:r w:rsidR="008474D6">
        <w:t>However,</w:t>
      </w:r>
      <w:r w:rsidR="008474D6" w:rsidRPr="00DF1B38">
        <w:t xml:space="preserve"> </w:t>
      </w:r>
      <w:r w:rsidRPr="00DF1B38">
        <w:t>tolerance of anaemia should not include failing to treat the reversible causes</w:t>
      </w:r>
      <w:r w:rsidR="008474D6">
        <w:t>,</w:t>
      </w:r>
      <w:r w:rsidRPr="00DF1B38">
        <w:t xml:space="preserve"> such as iron deficiency in the preoperative period.</w:t>
      </w:r>
    </w:p>
    <w:p w14:paraId="79D70980" w14:textId="28B78374" w:rsidR="008474D6" w:rsidRDefault="00ED76BB" w:rsidP="00ED76BB">
      <w:pPr>
        <w:pStyle w:val="Body"/>
      </w:pPr>
      <w:r w:rsidRPr="00DF1B38">
        <w:t>In the postoperative period</w:t>
      </w:r>
      <w:r w:rsidR="008474D6">
        <w:t>,</w:t>
      </w:r>
      <w:r w:rsidRPr="00DF1B38">
        <w:t xml:space="preserve"> there appear</w:t>
      </w:r>
      <w:r w:rsidR="004448F1">
        <w:t>s</w:t>
      </w:r>
      <w:r w:rsidRPr="00DF1B38">
        <w:t xml:space="preserve"> to be </w:t>
      </w:r>
      <w:r w:rsidR="004448F1">
        <w:t xml:space="preserve">very little </w:t>
      </w:r>
      <w:r w:rsidR="008474D6" w:rsidRPr="00DF1B38">
        <w:t>follow</w:t>
      </w:r>
      <w:r w:rsidR="008474D6">
        <w:t>-</w:t>
      </w:r>
      <w:r w:rsidRPr="00DF1B38">
        <w:t>up of patients who are anaemic or may be at risk of ongoing anaemia</w:t>
      </w:r>
      <w:r w:rsidR="008474D6">
        <w:t>.</w:t>
      </w:r>
      <w:r w:rsidR="008474D6" w:rsidRPr="00DF1B38">
        <w:t xml:space="preserve"> </w:t>
      </w:r>
      <w:r w:rsidR="008474D6">
        <w:t>O</w:t>
      </w:r>
      <w:r w:rsidRPr="00DF1B38">
        <w:t xml:space="preserve">nly 70 (7 per cent) of patients </w:t>
      </w:r>
      <w:r w:rsidR="008474D6">
        <w:t>had</w:t>
      </w:r>
      <w:r w:rsidR="008474D6" w:rsidRPr="00DF1B38">
        <w:t xml:space="preserve"> </w:t>
      </w:r>
      <w:r w:rsidRPr="00DF1B38">
        <w:t xml:space="preserve">any documented plan for </w:t>
      </w:r>
      <w:r w:rsidR="008474D6" w:rsidRPr="00DF1B38">
        <w:t>follow</w:t>
      </w:r>
      <w:r w:rsidR="008474D6">
        <w:t>-</w:t>
      </w:r>
      <w:r w:rsidRPr="00DF1B38">
        <w:t xml:space="preserve">up. </w:t>
      </w:r>
    </w:p>
    <w:p w14:paraId="7000CBD5" w14:textId="01B23148" w:rsidR="00ED76BB" w:rsidRPr="00DF1B38" w:rsidRDefault="00ED76BB" w:rsidP="00ED76BB">
      <w:pPr>
        <w:pStyle w:val="Body"/>
      </w:pPr>
      <w:r w:rsidRPr="00DF1B38">
        <w:t>This is a chance to engage with GPs to continue the management of patients who leave the health service with anaemia</w:t>
      </w:r>
      <w:r w:rsidR="008474D6">
        <w:t>.</w:t>
      </w:r>
      <w:r w:rsidR="008474D6" w:rsidRPr="00DF1B38">
        <w:t xml:space="preserve"> </w:t>
      </w:r>
      <w:r w:rsidR="008474D6">
        <w:t>H</w:t>
      </w:r>
      <w:r w:rsidR="008474D6" w:rsidRPr="00DF1B38">
        <w:t>owever</w:t>
      </w:r>
      <w:r w:rsidRPr="00DF1B38">
        <w:t xml:space="preserve">, this audit suggests </w:t>
      </w:r>
      <w:r w:rsidR="008474D6">
        <w:t>this</w:t>
      </w:r>
      <w:r w:rsidR="008474D6" w:rsidRPr="00DF1B38">
        <w:t xml:space="preserve"> </w:t>
      </w:r>
      <w:r w:rsidRPr="00DF1B38">
        <w:t>is not occurring.</w:t>
      </w:r>
    </w:p>
    <w:p w14:paraId="0C2277AA" w14:textId="2C1957D2" w:rsidR="008474D6" w:rsidRDefault="008474D6" w:rsidP="00245F23">
      <w:pPr>
        <w:pStyle w:val="Body"/>
      </w:pPr>
      <w:r>
        <w:t>Compared</w:t>
      </w:r>
      <w:r w:rsidRPr="00DF1B38">
        <w:t xml:space="preserve"> </w:t>
      </w:r>
      <w:r w:rsidR="00ED76BB" w:rsidRPr="00DF1B38">
        <w:t xml:space="preserve">with the 2015 audit, there is little change in the postoperative management of patients. </w:t>
      </w:r>
    </w:p>
    <w:p w14:paraId="4166BD5B" w14:textId="5869DCBF" w:rsidR="008474D6" w:rsidRDefault="00ED76BB" w:rsidP="00245F23">
      <w:pPr>
        <w:pStyle w:val="Body"/>
      </w:pPr>
      <w:r w:rsidRPr="00DF1B38">
        <w:t xml:space="preserve">Transfusion rates (11 per cent 2015; </w:t>
      </w:r>
      <w:r w:rsidR="008474D6">
        <w:t>7</w:t>
      </w:r>
      <w:r w:rsidR="008474D6" w:rsidRPr="00DF1B38">
        <w:t xml:space="preserve"> </w:t>
      </w:r>
      <w:r w:rsidRPr="00DF1B38">
        <w:t>per cent 2020) and use of cell salvage (</w:t>
      </w:r>
      <w:r w:rsidR="008474D6">
        <w:t>3</w:t>
      </w:r>
      <w:r w:rsidR="008474D6" w:rsidRPr="00DF1B38">
        <w:t xml:space="preserve"> </w:t>
      </w:r>
      <w:r w:rsidRPr="00DF1B38">
        <w:t xml:space="preserve">per cent 2015; </w:t>
      </w:r>
      <w:r w:rsidR="008474D6">
        <w:t>2</w:t>
      </w:r>
      <w:r w:rsidR="008474D6" w:rsidRPr="00DF1B38">
        <w:t xml:space="preserve"> </w:t>
      </w:r>
      <w:r w:rsidRPr="00DF1B38">
        <w:t xml:space="preserve">per cent 2020) remain similar. </w:t>
      </w:r>
    </w:p>
    <w:p w14:paraId="101AB34B" w14:textId="70467854" w:rsidR="00FA0D20" w:rsidRDefault="00ED76BB" w:rsidP="00245F23">
      <w:pPr>
        <w:pStyle w:val="Body"/>
      </w:pPr>
      <w:r w:rsidRPr="00DF1B38">
        <w:t>Other questions about the treatment of postoperative anaemia were not part of the 2015 audit.</w:t>
      </w:r>
    </w:p>
    <w:p w14:paraId="5F073FA8" w14:textId="77777777" w:rsidR="008474D6" w:rsidRDefault="008474D6">
      <w:pPr>
        <w:spacing w:after="0" w:line="240" w:lineRule="auto"/>
        <w:rPr>
          <w:rFonts w:eastAsia="MS Gothic" w:cs="Arial"/>
          <w:bCs/>
          <w:color w:val="AF272F"/>
          <w:kern w:val="32"/>
          <w:sz w:val="44"/>
          <w:szCs w:val="44"/>
        </w:rPr>
      </w:pPr>
      <w:bookmarkStart w:id="104" w:name="_Toc69106579"/>
      <w:bookmarkStart w:id="105" w:name="_Toc72314133"/>
      <w:r>
        <w:br w:type="page"/>
      </w:r>
    </w:p>
    <w:p w14:paraId="7C45E51E" w14:textId="797D8293" w:rsidR="000E4493" w:rsidRPr="008843F0" w:rsidRDefault="000E4493" w:rsidP="000E4493">
      <w:pPr>
        <w:pStyle w:val="Heading1"/>
      </w:pPr>
      <w:bookmarkStart w:id="106" w:name="_Toc78958791"/>
      <w:r w:rsidRPr="008843F0">
        <w:lastRenderedPageBreak/>
        <w:t>References</w:t>
      </w:r>
      <w:bookmarkEnd w:id="104"/>
      <w:bookmarkEnd w:id="105"/>
      <w:bookmarkEnd w:id="106"/>
    </w:p>
    <w:p w14:paraId="2073A730" w14:textId="47D2836C" w:rsidR="000E4493" w:rsidRPr="008843F0" w:rsidRDefault="000E4493" w:rsidP="000E4493">
      <w:pPr>
        <w:pStyle w:val="Body"/>
      </w:pPr>
      <w:r w:rsidRPr="008843F0">
        <w:t xml:space="preserve">Australian College of </w:t>
      </w:r>
      <w:proofErr w:type="spellStart"/>
      <w:r w:rsidRPr="008843F0">
        <w:t>Perianaesthesia</w:t>
      </w:r>
      <w:proofErr w:type="spellEnd"/>
      <w:r w:rsidRPr="008843F0">
        <w:t xml:space="preserve"> Nurses (ACPN) 2020, </w:t>
      </w:r>
      <w:hyperlink r:id="rId53" w:history="1">
        <w:r w:rsidRPr="00712AF7">
          <w:rPr>
            <w:rStyle w:val="Hyperlink"/>
            <w:i/>
            <w:iCs/>
          </w:rPr>
          <w:t xml:space="preserve">Prevention and </w:t>
        </w:r>
        <w:r w:rsidR="008474D6" w:rsidRPr="00712AF7">
          <w:rPr>
            <w:rStyle w:val="Hyperlink"/>
            <w:i/>
            <w:iCs/>
          </w:rPr>
          <w:t>management of inadvertent perioperative hypothermia in adult</w:t>
        </w:r>
        <w:r w:rsidRPr="00712AF7">
          <w:rPr>
            <w:rStyle w:val="Hyperlink"/>
            <w:i/>
            <w:iCs/>
          </w:rPr>
          <w:t>s</w:t>
        </w:r>
        <w:r w:rsidRPr="00712AF7">
          <w:rPr>
            <w:rStyle w:val="Hyperlink"/>
          </w:rPr>
          <w:t>,</w:t>
        </w:r>
      </w:hyperlink>
      <w:r w:rsidRPr="008843F0">
        <w:t xml:space="preserve"> &lt;</w:t>
      </w:r>
      <w:r w:rsidR="008474D6" w:rsidRPr="008843F0">
        <w:t>https://acpan.edu.au/pdfs/guidelines/acpan-guideline-pg01-perioperative-hypothermia-prevention-and-management.pdf</w:t>
      </w:r>
      <w:r w:rsidRPr="008843F0">
        <w:t xml:space="preserve">&gt; </w:t>
      </w:r>
    </w:p>
    <w:p w14:paraId="0FE19683" w14:textId="472514DF" w:rsidR="000E4493" w:rsidRPr="008843F0" w:rsidRDefault="000E4493">
      <w:pPr>
        <w:pStyle w:val="Body"/>
      </w:pPr>
      <w:r w:rsidRPr="008843F0">
        <w:t xml:space="preserve">Australian Government Department of Health 2014, </w:t>
      </w:r>
      <w:hyperlink r:id="rId54" w:history="1">
        <w:r w:rsidRPr="00712AF7">
          <w:rPr>
            <w:rStyle w:val="Hyperlink"/>
            <w:i/>
            <w:iCs/>
          </w:rPr>
          <w:t>MBS reviews: vitamin B12 testing report, February 2014</w:t>
        </w:r>
      </w:hyperlink>
      <w:r w:rsidRPr="008843F0">
        <w:rPr>
          <w:i/>
          <w:iCs/>
        </w:rPr>
        <w:t>,</w:t>
      </w:r>
      <w:r w:rsidRPr="008843F0">
        <w:t xml:space="preserve"> </w:t>
      </w:r>
      <w:r w:rsidRPr="008474D6">
        <w:t>&lt;</w:t>
      </w:r>
      <w:r w:rsidR="008474D6" w:rsidRPr="002B2FD9">
        <w:t>https://www1.health.gov.au/internet/main/publishing.nsf/Content/7C28F0B6D06F9FFCCA257EB9001D769B/$File/Vitamin%20B12%20testing%20Review%20Report.pdf</w:t>
      </w:r>
      <w:r w:rsidRPr="008474D6">
        <w:t>&gt;,</w:t>
      </w:r>
      <w:r w:rsidRPr="008843F0">
        <w:t xml:space="preserve"> accessed June 2020.</w:t>
      </w:r>
    </w:p>
    <w:p w14:paraId="5C57CA4C" w14:textId="578D1C5B" w:rsidR="000E4493" w:rsidRPr="008843F0" w:rsidRDefault="000E4493" w:rsidP="000E4493">
      <w:pPr>
        <w:pStyle w:val="Body"/>
      </w:pPr>
      <w:r w:rsidRPr="008843F0">
        <w:t>Australian Institute of Health and Welfare (AIHW)</w:t>
      </w:r>
      <w:r w:rsidR="00FB4F68">
        <w:t xml:space="preserve"> 2021,</w:t>
      </w:r>
      <w:r w:rsidRPr="008843F0">
        <w:t xml:space="preserve"> </w:t>
      </w:r>
      <w:r w:rsidR="00FB4F68">
        <w:t>‘</w:t>
      </w:r>
      <w:hyperlink r:id="rId55" w:history="1">
        <w:r w:rsidRPr="00712AF7">
          <w:rPr>
            <w:rStyle w:val="Hyperlink"/>
          </w:rPr>
          <w:t>MyHospitals update: Elective surgery waiting times 2019–20</w:t>
        </w:r>
        <w:r w:rsidR="00FB4F68" w:rsidRPr="00712AF7">
          <w:rPr>
            <w:rStyle w:val="Hyperlink"/>
          </w:rPr>
          <w:t>’</w:t>
        </w:r>
      </w:hyperlink>
      <w:r w:rsidR="00FB4F68">
        <w:t>,</w:t>
      </w:r>
      <w:r w:rsidRPr="008843F0">
        <w:t xml:space="preserve"> &lt;</w:t>
      </w:r>
      <w:r w:rsidR="00FB4F68" w:rsidRPr="002B2FD9">
        <w:t>https://www.aihw.gov.au/reports-data/myhospitals/sectors/elective-surgery</w:t>
      </w:r>
      <w:r w:rsidRPr="00FB4F68">
        <w:t>&gt;</w:t>
      </w:r>
      <w:r w:rsidR="00FB4F68">
        <w:t>.</w:t>
      </w:r>
    </w:p>
    <w:p w14:paraId="2EF8B3FB" w14:textId="7C1D30EC" w:rsidR="000E4493" w:rsidRPr="008843F0" w:rsidRDefault="000E4493" w:rsidP="000E4493">
      <w:pPr>
        <w:pStyle w:val="Body"/>
      </w:pPr>
      <w:r w:rsidRPr="008843F0">
        <w:t>Australian Commission on Safety and Quality in Health Care 2017</w:t>
      </w:r>
      <w:r w:rsidR="00FB4F68">
        <w:t>,</w:t>
      </w:r>
      <w:r w:rsidR="00FB4F68" w:rsidRPr="008843F0">
        <w:t xml:space="preserve"> </w:t>
      </w:r>
      <w:hyperlink r:id="rId56" w:history="1">
        <w:r w:rsidRPr="00712AF7">
          <w:rPr>
            <w:rStyle w:val="Hyperlink"/>
            <w:i/>
            <w:iCs/>
          </w:rPr>
          <w:t>National Safety and Quality Health Service Standards</w:t>
        </w:r>
        <w:r w:rsidR="00FB4F68" w:rsidRPr="00712AF7">
          <w:rPr>
            <w:rStyle w:val="Hyperlink"/>
          </w:rPr>
          <w:t xml:space="preserve">, </w:t>
        </w:r>
        <w:r w:rsidRPr="00712AF7">
          <w:rPr>
            <w:rStyle w:val="Hyperlink"/>
          </w:rPr>
          <w:t>2nd ed</w:t>
        </w:r>
      </w:hyperlink>
      <w:r w:rsidRPr="008843F0">
        <w:t>.</w:t>
      </w:r>
      <w:r w:rsidR="00FB4F68">
        <w:t>,</w:t>
      </w:r>
      <w:r w:rsidRPr="008843F0">
        <w:t xml:space="preserve"> ACSQHC</w:t>
      </w:r>
      <w:r w:rsidR="00FB4F68">
        <w:t>,</w:t>
      </w:r>
      <w:r w:rsidR="00FB4F68" w:rsidRPr="00FB4F68">
        <w:t xml:space="preserve"> </w:t>
      </w:r>
      <w:r w:rsidR="00FB4F68" w:rsidRPr="008843F0">
        <w:t>Sydney</w:t>
      </w:r>
      <w:r w:rsidR="00FB4F68">
        <w:t>,</w:t>
      </w:r>
      <w:r w:rsidRPr="008843F0">
        <w:t xml:space="preserve"> </w:t>
      </w:r>
      <w:r w:rsidR="00FB4F68">
        <w:t>&lt;</w:t>
      </w:r>
      <w:r w:rsidR="00FB4F68" w:rsidRPr="002B2FD9">
        <w:t>https://www.safetyandquality.gov.au/standards/nsqhs-standards/blood-management-standard</w:t>
      </w:r>
      <w:r w:rsidR="00FB4F68">
        <w:t>&gt;.</w:t>
      </w:r>
    </w:p>
    <w:p w14:paraId="161D6D04" w14:textId="07EE4DEB" w:rsidR="000E4493" w:rsidRPr="008843F0" w:rsidRDefault="000E4493" w:rsidP="000E4493">
      <w:pPr>
        <w:pStyle w:val="Body"/>
      </w:pPr>
      <w:proofErr w:type="spellStart"/>
      <w:r w:rsidRPr="008843F0">
        <w:t>Delaforce</w:t>
      </w:r>
      <w:proofErr w:type="spellEnd"/>
      <w:r w:rsidRPr="008843F0">
        <w:t xml:space="preserve">, </w:t>
      </w:r>
      <w:proofErr w:type="spellStart"/>
      <w:r w:rsidRPr="008843F0">
        <w:t>Galeel</w:t>
      </w:r>
      <w:proofErr w:type="spellEnd"/>
      <w:r w:rsidRPr="008843F0">
        <w:t>, Poon, Hurst, Duff, Munday, Hardy 2020</w:t>
      </w:r>
      <w:r w:rsidR="00FB4F68">
        <w:t>,</w:t>
      </w:r>
      <w:r w:rsidR="00FB4F68" w:rsidRPr="008843F0">
        <w:t xml:space="preserve"> </w:t>
      </w:r>
      <w:r w:rsidR="00FB4F68">
        <w:t>‘P</w:t>
      </w:r>
      <w:r w:rsidR="00FB4F68" w:rsidRPr="008843F0">
        <w:t xml:space="preserve">reoperative </w:t>
      </w:r>
      <w:proofErr w:type="spellStart"/>
      <w:r w:rsidR="00FB4F68" w:rsidRPr="008843F0">
        <w:t>anemia</w:t>
      </w:r>
      <w:proofErr w:type="spellEnd"/>
      <w:r w:rsidR="00FB4F68" w:rsidRPr="008843F0">
        <w:t xml:space="preserve"> screening and treatment practices in patients having total joint replacement surgery: a retrospective, observational a</w:t>
      </w:r>
      <w:r w:rsidRPr="008843F0">
        <w:t>udit</w:t>
      </w:r>
      <w:r w:rsidR="00FB4F68">
        <w:t>’,</w:t>
      </w:r>
      <w:r w:rsidR="00FB4F68" w:rsidRPr="008843F0">
        <w:t xml:space="preserve"> </w:t>
      </w:r>
      <w:r w:rsidRPr="008843F0">
        <w:rPr>
          <w:i/>
        </w:rPr>
        <w:t>Journal of Blood Medicine</w:t>
      </w:r>
      <w:r w:rsidR="00FB4F68">
        <w:t xml:space="preserve">, vol. </w:t>
      </w:r>
      <w:r w:rsidRPr="008843F0">
        <w:t>11</w:t>
      </w:r>
      <w:r w:rsidR="00FB4F68">
        <w:t>, pp.</w:t>
      </w:r>
      <w:r w:rsidRPr="008843F0">
        <w:t xml:space="preserve"> 259–265</w:t>
      </w:r>
      <w:r w:rsidR="00FB4F68">
        <w:t>, &lt;</w:t>
      </w:r>
      <w:hyperlink r:id="rId57" w:history="1">
        <w:r w:rsidRPr="00712AF7">
          <w:rPr>
            <w:rStyle w:val="Hyperlink"/>
          </w:rPr>
          <w:t>http://doi.org/10.2147/JBM.S254116</w:t>
        </w:r>
      </w:hyperlink>
      <w:r w:rsidR="00FB4F68">
        <w:t>&gt;.</w:t>
      </w:r>
    </w:p>
    <w:p w14:paraId="01EBFB36" w14:textId="2B02F022" w:rsidR="000E4493" w:rsidRPr="008843F0" w:rsidRDefault="000E4493" w:rsidP="000E4493">
      <w:pPr>
        <w:pStyle w:val="Body"/>
      </w:pPr>
      <w:proofErr w:type="spellStart"/>
      <w:r w:rsidRPr="008843F0">
        <w:t>Franchini</w:t>
      </w:r>
      <w:proofErr w:type="spellEnd"/>
      <w:r w:rsidRPr="008843F0">
        <w:t xml:space="preserve"> and </w:t>
      </w:r>
      <w:proofErr w:type="spellStart"/>
      <w:r w:rsidRPr="008843F0">
        <w:t>Mannuci</w:t>
      </w:r>
      <w:proofErr w:type="spellEnd"/>
      <w:r w:rsidRPr="008843F0">
        <w:t xml:space="preserve"> 2020, </w:t>
      </w:r>
      <w:r w:rsidR="00FB4F68">
        <w:t>‘</w:t>
      </w:r>
      <w:r w:rsidR="00FB4F68" w:rsidRPr="002B2FD9">
        <w:t xml:space="preserve">The </w:t>
      </w:r>
      <w:proofErr w:type="gramStart"/>
      <w:r w:rsidR="00FB4F68" w:rsidRPr="002B2FD9">
        <w:t>never ending</w:t>
      </w:r>
      <w:proofErr w:type="gramEnd"/>
      <w:r w:rsidR="00FB4F68" w:rsidRPr="002B2FD9">
        <w:t xml:space="preserve"> success story of tranexamic acid in acquired bleeding</w:t>
      </w:r>
      <w:r w:rsidR="00FB4F68">
        <w:t>’,</w:t>
      </w:r>
      <w:r w:rsidR="00FB4F68" w:rsidRPr="002B2FD9">
        <w:t xml:space="preserve"> </w:t>
      </w:r>
      <w:proofErr w:type="spellStart"/>
      <w:r w:rsidR="00FB4F68" w:rsidRPr="002B2FD9">
        <w:rPr>
          <w:i/>
          <w:iCs/>
        </w:rPr>
        <w:t>Haematologica</w:t>
      </w:r>
      <w:proofErr w:type="spellEnd"/>
      <w:r w:rsidRPr="00FB4F68">
        <w:t xml:space="preserve">, </w:t>
      </w:r>
      <w:r w:rsidR="00FB4F68">
        <w:t>vol.</w:t>
      </w:r>
      <w:r w:rsidR="00FB4F68" w:rsidRPr="00FB4F68">
        <w:t xml:space="preserve"> </w:t>
      </w:r>
      <w:r w:rsidRPr="00FB4F68">
        <w:t>105</w:t>
      </w:r>
      <w:r w:rsidR="00FB4F68">
        <w:t xml:space="preserve">, no. </w:t>
      </w:r>
      <w:r w:rsidRPr="00FB4F68">
        <w:t>5</w:t>
      </w:r>
      <w:r w:rsidR="00FB4F68">
        <w:t xml:space="preserve">, pp. </w:t>
      </w:r>
      <w:r w:rsidRPr="00FB4F68">
        <w:t>1201</w:t>
      </w:r>
      <w:r w:rsidR="00FB4F68">
        <w:t>–</w:t>
      </w:r>
      <w:r w:rsidRPr="00FB4F68">
        <w:t>1205</w:t>
      </w:r>
      <w:r w:rsidR="00FB4F68">
        <w:t>.</w:t>
      </w:r>
    </w:p>
    <w:p w14:paraId="55110867" w14:textId="4BFA8A14" w:rsidR="000E4493" w:rsidRPr="008843F0" w:rsidRDefault="000E4493" w:rsidP="000E4493">
      <w:pPr>
        <w:pStyle w:val="Body"/>
      </w:pPr>
      <w:r w:rsidRPr="008843F0">
        <w:t xml:space="preserve">Goodnough, </w:t>
      </w:r>
      <w:proofErr w:type="spellStart"/>
      <w:r w:rsidRPr="008843F0">
        <w:t>Maniatis</w:t>
      </w:r>
      <w:proofErr w:type="spellEnd"/>
      <w:r w:rsidRPr="008843F0">
        <w:t xml:space="preserve">, Earnshaw, Benoni, </w:t>
      </w:r>
      <w:proofErr w:type="spellStart"/>
      <w:r w:rsidRPr="008843F0">
        <w:t>Beris</w:t>
      </w:r>
      <w:proofErr w:type="spellEnd"/>
      <w:r w:rsidRPr="008843F0">
        <w:t xml:space="preserve">, </w:t>
      </w:r>
      <w:proofErr w:type="spellStart"/>
      <w:r w:rsidRPr="008843F0">
        <w:t>Bisbe</w:t>
      </w:r>
      <w:proofErr w:type="spellEnd"/>
      <w:r w:rsidRPr="008843F0">
        <w:t xml:space="preserve">, Fergusson, </w:t>
      </w:r>
      <w:proofErr w:type="spellStart"/>
      <w:r w:rsidRPr="008843F0">
        <w:t>Gombotz</w:t>
      </w:r>
      <w:proofErr w:type="spellEnd"/>
      <w:r w:rsidRPr="008843F0">
        <w:t xml:space="preserve">, </w:t>
      </w:r>
      <w:proofErr w:type="spellStart"/>
      <w:r w:rsidRPr="008843F0">
        <w:t>Habler</w:t>
      </w:r>
      <w:proofErr w:type="spellEnd"/>
      <w:r w:rsidRPr="008843F0">
        <w:t xml:space="preserve">,  Monk, </w:t>
      </w:r>
      <w:proofErr w:type="spellStart"/>
      <w:r w:rsidRPr="008843F0">
        <w:t>Ozier</w:t>
      </w:r>
      <w:proofErr w:type="spellEnd"/>
      <w:r w:rsidRPr="008843F0">
        <w:t xml:space="preserve">, </w:t>
      </w:r>
      <w:proofErr w:type="spellStart"/>
      <w:r w:rsidRPr="008843F0">
        <w:t>Slappendel</w:t>
      </w:r>
      <w:proofErr w:type="spellEnd"/>
      <w:r w:rsidRPr="008843F0">
        <w:t xml:space="preserve">, </w:t>
      </w:r>
      <w:proofErr w:type="spellStart"/>
      <w:r w:rsidRPr="008843F0">
        <w:t>Szpalski</w:t>
      </w:r>
      <w:proofErr w:type="spellEnd"/>
      <w:r w:rsidRPr="008843F0">
        <w:t xml:space="preserve"> 2011</w:t>
      </w:r>
      <w:r w:rsidR="00FB4F68">
        <w:t>,</w:t>
      </w:r>
      <w:r w:rsidR="00FB4F68" w:rsidRPr="008843F0">
        <w:t xml:space="preserve"> </w:t>
      </w:r>
      <w:r w:rsidRPr="008843F0">
        <w:t>‘Detection, evaluation, and management of preoperative anaemia in the elective orthopaedic surgical patient: Network for Advancement of Transfusion Alternatives guidelines’</w:t>
      </w:r>
      <w:r w:rsidR="00FB4F68">
        <w:t>,</w:t>
      </w:r>
      <w:r w:rsidRPr="008843F0">
        <w:t xml:space="preserve"> </w:t>
      </w:r>
      <w:r w:rsidRPr="008843F0">
        <w:rPr>
          <w:i/>
        </w:rPr>
        <w:t>British Journal of Anaesthesiology</w:t>
      </w:r>
      <w:r w:rsidRPr="008843F0">
        <w:t>, vol. 106, no. 1, p. 1322.</w:t>
      </w:r>
    </w:p>
    <w:p w14:paraId="097C43B2" w14:textId="31327E51" w:rsidR="000E4493" w:rsidRPr="008843F0" w:rsidRDefault="000E4493" w:rsidP="000E4493">
      <w:pPr>
        <w:pStyle w:val="Body"/>
        <w:rPr>
          <w:rFonts w:cs="Arial"/>
          <w:color w:val="3366FF"/>
          <w:u w:val="dotted"/>
          <w:shd w:val="clear" w:color="auto" w:fill="FFFFFF"/>
        </w:rPr>
      </w:pPr>
      <w:r w:rsidRPr="008843F0">
        <w:rPr>
          <w:rFonts w:cs="Arial"/>
          <w:shd w:val="clear" w:color="auto" w:fill="FFFFFF"/>
        </w:rPr>
        <w:t xml:space="preserve">Jiang, Zhou, Li, </w:t>
      </w:r>
      <w:proofErr w:type="spellStart"/>
      <w:r w:rsidRPr="008843F0">
        <w:rPr>
          <w:rFonts w:cs="Arial"/>
          <w:shd w:val="clear" w:color="auto" w:fill="FFFFFF"/>
        </w:rPr>
        <w:t>Xue</w:t>
      </w:r>
      <w:proofErr w:type="spellEnd"/>
      <w:r w:rsidRPr="008843F0">
        <w:rPr>
          <w:rFonts w:cs="Arial"/>
          <w:shd w:val="clear" w:color="auto" w:fill="FFFFFF"/>
        </w:rPr>
        <w:t xml:space="preserve"> 2019</w:t>
      </w:r>
      <w:r w:rsidR="00FB4F68">
        <w:rPr>
          <w:rFonts w:cs="Arial"/>
          <w:shd w:val="clear" w:color="auto" w:fill="FFFFFF"/>
        </w:rPr>
        <w:t>,</w:t>
      </w:r>
      <w:r w:rsidR="00FB4F68" w:rsidRPr="008843F0">
        <w:rPr>
          <w:rFonts w:cs="Arial"/>
          <w:shd w:val="clear" w:color="auto" w:fill="FFFFFF"/>
        </w:rPr>
        <w:t> </w:t>
      </w:r>
      <w:r w:rsidR="00FB4F68">
        <w:rPr>
          <w:rFonts w:cs="Arial"/>
          <w:shd w:val="clear" w:color="auto" w:fill="FFFFFF"/>
        </w:rPr>
        <w:t>‘</w:t>
      </w:r>
      <w:r w:rsidRPr="008843F0">
        <w:rPr>
          <w:rFonts w:cs="Arial"/>
          <w:shd w:val="clear" w:color="auto" w:fill="FFFFFF"/>
        </w:rPr>
        <w:t xml:space="preserve">Is deliberate hypotension a safe technique for </w:t>
      </w:r>
      <w:proofErr w:type="spellStart"/>
      <w:r w:rsidRPr="008843F0">
        <w:rPr>
          <w:rFonts w:cs="Arial"/>
          <w:shd w:val="clear" w:color="auto" w:fill="FFFFFF"/>
        </w:rPr>
        <w:t>orthopedic</w:t>
      </w:r>
      <w:proofErr w:type="spellEnd"/>
      <w:r w:rsidRPr="008843F0">
        <w:rPr>
          <w:rFonts w:cs="Arial"/>
          <w:shd w:val="clear" w:color="auto" w:fill="FFFFFF"/>
        </w:rPr>
        <w:t xml:space="preserve"> surgery?: a systematic review and meta-analysis of parallel randomized controlled trials</w:t>
      </w:r>
      <w:r w:rsidR="00FB4F68">
        <w:rPr>
          <w:rFonts w:cs="Arial"/>
          <w:shd w:val="clear" w:color="auto" w:fill="FFFFFF"/>
        </w:rPr>
        <w:t>’,</w:t>
      </w:r>
      <w:r w:rsidR="00FB4F68" w:rsidRPr="008843F0">
        <w:rPr>
          <w:rFonts w:cs="Arial"/>
          <w:shd w:val="clear" w:color="auto" w:fill="FFFFFF"/>
        </w:rPr>
        <w:t> </w:t>
      </w:r>
      <w:r w:rsidRPr="008843F0">
        <w:rPr>
          <w:rFonts w:cs="Arial"/>
          <w:i/>
          <w:iCs/>
          <w:shd w:val="clear" w:color="auto" w:fill="FFFFFF"/>
        </w:rPr>
        <w:t>Journal of Orthopaedic Surgery and Research</w:t>
      </w:r>
      <w:r w:rsidR="00FB4F68">
        <w:rPr>
          <w:rFonts w:cs="Arial"/>
          <w:shd w:val="clear" w:color="auto" w:fill="FFFFFF"/>
        </w:rPr>
        <w:t>, vol.</w:t>
      </w:r>
      <w:r w:rsidRPr="008843F0">
        <w:rPr>
          <w:rFonts w:cs="Arial"/>
          <w:shd w:val="clear" w:color="auto" w:fill="FFFFFF"/>
        </w:rPr>
        <w:t> </w:t>
      </w:r>
      <w:r w:rsidRPr="008843F0">
        <w:rPr>
          <w:rFonts w:cs="Arial"/>
          <w:bCs/>
          <w:shd w:val="clear" w:color="auto" w:fill="FFFFFF"/>
        </w:rPr>
        <w:t>14</w:t>
      </w:r>
      <w:r w:rsidRPr="008843F0">
        <w:rPr>
          <w:rFonts w:cs="Arial"/>
          <w:b/>
          <w:bCs/>
          <w:shd w:val="clear" w:color="auto" w:fill="FFFFFF"/>
        </w:rPr>
        <w:t>,</w:t>
      </w:r>
      <w:r w:rsidR="00FB4F68">
        <w:rPr>
          <w:rFonts w:cs="Arial"/>
          <w:b/>
          <w:bCs/>
          <w:shd w:val="clear" w:color="auto" w:fill="FFFFFF"/>
        </w:rPr>
        <w:t xml:space="preserve"> </w:t>
      </w:r>
      <w:r w:rsidR="00FB4F68" w:rsidRPr="002B2FD9">
        <w:rPr>
          <w:rFonts w:cs="Arial"/>
          <w:shd w:val="clear" w:color="auto" w:fill="FFFFFF"/>
        </w:rPr>
        <w:t>no.</w:t>
      </w:r>
      <w:r w:rsidRPr="008843F0">
        <w:rPr>
          <w:rFonts w:cs="Arial"/>
          <w:b/>
          <w:bCs/>
          <w:shd w:val="clear" w:color="auto" w:fill="FFFFFF"/>
        </w:rPr>
        <w:t> </w:t>
      </w:r>
      <w:r w:rsidRPr="008843F0">
        <w:rPr>
          <w:rFonts w:cs="Arial"/>
          <w:shd w:val="clear" w:color="auto" w:fill="FFFFFF"/>
        </w:rPr>
        <w:t>409</w:t>
      </w:r>
      <w:r w:rsidR="00FB4F68">
        <w:rPr>
          <w:rFonts w:cs="Arial"/>
          <w:color w:val="333333"/>
          <w:shd w:val="clear" w:color="auto" w:fill="FFFFFF"/>
        </w:rPr>
        <w:t>,</w:t>
      </w:r>
      <w:r w:rsidR="00FB4F68" w:rsidRPr="008843F0">
        <w:rPr>
          <w:rFonts w:cs="Arial"/>
          <w:color w:val="333333"/>
          <w:shd w:val="clear" w:color="auto" w:fill="FFFFFF"/>
        </w:rPr>
        <w:t xml:space="preserve"> </w:t>
      </w:r>
      <w:r w:rsidR="00FB4F68">
        <w:rPr>
          <w:rFonts w:cs="Arial"/>
          <w:color w:val="333333"/>
          <w:shd w:val="clear" w:color="auto" w:fill="FFFFFF"/>
        </w:rPr>
        <w:t>&lt;</w:t>
      </w:r>
      <w:hyperlink r:id="rId58" w:history="1">
        <w:r w:rsidR="00FB4F68" w:rsidRPr="00712AF7">
          <w:rPr>
            <w:rStyle w:val="Hyperlink"/>
          </w:rPr>
          <w:t>https://doi.org/10.1186/s13018-019-1473-6</w:t>
        </w:r>
      </w:hyperlink>
      <w:r w:rsidR="00FB4F68">
        <w:t>&gt;.</w:t>
      </w:r>
    </w:p>
    <w:p w14:paraId="7F3DB9D5" w14:textId="34DD51AD" w:rsidR="000E4493" w:rsidRPr="008843F0" w:rsidRDefault="000E4493" w:rsidP="000E4493">
      <w:pPr>
        <w:pStyle w:val="Body"/>
      </w:pPr>
      <w:r w:rsidRPr="008843F0">
        <w:t xml:space="preserve">Klein, Bailey, Charlton, Evans, </w:t>
      </w:r>
      <w:proofErr w:type="spellStart"/>
      <w:r w:rsidRPr="008843F0">
        <w:t>Guckian</w:t>
      </w:r>
      <w:proofErr w:type="spellEnd"/>
      <w:r w:rsidRPr="008843F0">
        <w:t xml:space="preserve">-Fisher, </w:t>
      </w:r>
      <w:proofErr w:type="spellStart"/>
      <w:r w:rsidRPr="008843F0">
        <w:t>McCrossan</w:t>
      </w:r>
      <w:proofErr w:type="spellEnd"/>
      <w:r w:rsidRPr="008843F0">
        <w:t xml:space="preserve">, Nimmo, Payne, </w:t>
      </w:r>
      <w:proofErr w:type="spellStart"/>
      <w:r w:rsidRPr="008843F0">
        <w:t>Shreeve</w:t>
      </w:r>
      <w:proofErr w:type="spellEnd"/>
      <w:r w:rsidRPr="008843F0">
        <w:t xml:space="preserve">, Smith and </w:t>
      </w:r>
      <w:proofErr w:type="spellStart"/>
      <w:r w:rsidRPr="008843F0">
        <w:t>Torella</w:t>
      </w:r>
      <w:proofErr w:type="spellEnd"/>
      <w:r w:rsidRPr="008843F0">
        <w:t xml:space="preserve"> 2018</w:t>
      </w:r>
      <w:r w:rsidR="00FB4F68">
        <w:t>,</w:t>
      </w:r>
      <w:r w:rsidR="00FB4F68" w:rsidRPr="008843F0">
        <w:t xml:space="preserve"> </w:t>
      </w:r>
      <w:r w:rsidR="00FB4F68">
        <w:t>‘</w:t>
      </w:r>
      <w:r w:rsidRPr="008843F0">
        <w:t>Association of Anaesthetists guidelines: cell salvage for peri</w:t>
      </w:r>
      <w:r w:rsidRPr="008843F0">
        <w:rPr>
          <w:rFonts w:ascii="Cambria Math" w:hAnsi="Cambria Math" w:cs="Cambria Math"/>
        </w:rPr>
        <w:t>‐</w:t>
      </w:r>
      <w:r w:rsidRPr="008843F0">
        <w:t>operative blood conservation 2018</w:t>
      </w:r>
      <w:r w:rsidR="00FB4F68">
        <w:t>’,</w:t>
      </w:r>
      <w:r w:rsidRPr="008843F0">
        <w:t xml:space="preserve"> </w:t>
      </w:r>
      <w:r w:rsidRPr="008843F0">
        <w:rPr>
          <w:i/>
        </w:rPr>
        <w:t>Anaesthesia</w:t>
      </w:r>
      <w:r w:rsidRPr="008843F0">
        <w:t xml:space="preserve">, </w:t>
      </w:r>
      <w:r w:rsidR="00FB4F68">
        <w:t xml:space="preserve">vol. </w:t>
      </w:r>
      <w:r w:rsidRPr="008843F0">
        <w:t>73</w:t>
      </w:r>
      <w:r w:rsidR="00FB4F68">
        <w:t>, pp.</w:t>
      </w:r>
      <w:r w:rsidR="00FB4F68" w:rsidRPr="008843F0">
        <w:t xml:space="preserve"> </w:t>
      </w:r>
      <w:r w:rsidRPr="008843F0">
        <w:t>1141</w:t>
      </w:r>
      <w:r w:rsidR="00FB4F68">
        <w:t>–</w:t>
      </w:r>
      <w:r w:rsidRPr="008843F0">
        <w:t>1150</w:t>
      </w:r>
      <w:r w:rsidR="00FB4F68">
        <w:t>,</w:t>
      </w:r>
      <w:r w:rsidR="00FB4F68" w:rsidRPr="008843F0">
        <w:t> </w:t>
      </w:r>
      <w:r w:rsidR="00FB4F68">
        <w:t>&lt;</w:t>
      </w:r>
      <w:hyperlink r:id="rId59" w:history="1">
        <w:r w:rsidR="00FB4F68" w:rsidRPr="00712AF7">
          <w:rPr>
            <w:rStyle w:val="Hyperlink"/>
          </w:rPr>
          <w:t>https://doi.org/10.1111/anae.14331</w:t>
        </w:r>
      </w:hyperlink>
      <w:r w:rsidR="00FB4F68">
        <w:t>&gt;.</w:t>
      </w:r>
    </w:p>
    <w:p w14:paraId="7E0F2D17" w14:textId="4B1BEC9D" w:rsidR="000E4493" w:rsidRPr="008843F0" w:rsidRDefault="000E4493" w:rsidP="000E4493">
      <w:pPr>
        <w:pStyle w:val="Body"/>
      </w:pPr>
      <w:proofErr w:type="spellStart"/>
      <w:r w:rsidRPr="008843F0">
        <w:rPr>
          <w:rFonts w:cs="Arial"/>
          <w:color w:val="000000"/>
          <w:szCs w:val="21"/>
          <w:shd w:val="clear" w:color="auto" w:fill="FFFFFF"/>
        </w:rPr>
        <w:t>Kozek-Langenecker</w:t>
      </w:r>
      <w:proofErr w:type="spellEnd"/>
      <w:r w:rsidRPr="008843F0">
        <w:rPr>
          <w:rFonts w:cs="Arial"/>
          <w:color w:val="000000"/>
          <w:szCs w:val="21"/>
          <w:shd w:val="clear" w:color="auto" w:fill="FFFFFF"/>
        </w:rPr>
        <w:t xml:space="preserve">, Ahmed, </w:t>
      </w:r>
      <w:proofErr w:type="spellStart"/>
      <w:r w:rsidRPr="008843F0">
        <w:rPr>
          <w:rFonts w:cs="Arial"/>
          <w:color w:val="000000"/>
          <w:szCs w:val="21"/>
          <w:shd w:val="clear" w:color="auto" w:fill="FFFFFF"/>
        </w:rPr>
        <w:t>Afshari</w:t>
      </w:r>
      <w:proofErr w:type="spellEnd"/>
      <w:r w:rsidRPr="008843F0">
        <w:rPr>
          <w:rFonts w:cs="Arial"/>
          <w:color w:val="000000"/>
          <w:szCs w:val="21"/>
          <w:shd w:val="clear" w:color="auto" w:fill="FFFFFF"/>
        </w:rPr>
        <w:t xml:space="preserve">, </w:t>
      </w:r>
      <w:proofErr w:type="spellStart"/>
      <w:r w:rsidRPr="008843F0">
        <w:rPr>
          <w:rFonts w:cs="Arial"/>
          <w:color w:val="000000"/>
          <w:szCs w:val="21"/>
          <w:shd w:val="clear" w:color="auto" w:fill="FFFFFF"/>
        </w:rPr>
        <w:t>Albaladejo</w:t>
      </w:r>
      <w:proofErr w:type="spellEnd"/>
      <w:r w:rsidRPr="008843F0">
        <w:rPr>
          <w:rFonts w:cs="Arial"/>
          <w:color w:val="000000"/>
          <w:szCs w:val="21"/>
          <w:shd w:val="clear" w:color="auto" w:fill="FFFFFF"/>
        </w:rPr>
        <w:t xml:space="preserve">, </w:t>
      </w:r>
      <w:proofErr w:type="spellStart"/>
      <w:r w:rsidRPr="008843F0">
        <w:rPr>
          <w:rFonts w:cs="Arial"/>
          <w:color w:val="000000"/>
          <w:szCs w:val="21"/>
          <w:shd w:val="clear" w:color="auto" w:fill="FFFFFF"/>
        </w:rPr>
        <w:t>Aldecoa</w:t>
      </w:r>
      <w:proofErr w:type="spellEnd"/>
      <w:r w:rsidRPr="008843F0">
        <w:rPr>
          <w:rFonts w:cs="Arial"/>
          <w:color w:val="000000"/>
          <w:szCs w:val="21"/>
          <w:shd w:val="clear" w:color="auto" w:fill="FFFFFF"/>
        </w:rPr>
        <w:t xml:space="preserve">, </w:t>
      </w:r>
      <w:proofErr w:type="spellStart"/>
      <w:r w:rsidRPr="008843F0">
        <w:rPr>
          <w:rFonts w:cs="Arial"/>
          <w:color w:val="000000"/>
          <w:szCs w:val="21"/>
          <w:shd w:val="clear" w:color="auto" w:fill="FFFFFF"/>
        </w:rPr>
        <w:t>Barauskas</w:t>
      </w:r>
      <w:proofErr w:type="spellEnd"/>
      <w:r w:rsidRPr="008843F0">
        <w:rPr>
          <w:rFonts w:cs="Arial"/>
          <w:color w:val="000000"/>
          <w:szCs w:val="21"/>
          <w:shd w:val="clear" w:color="auto" w:fill="FFFFFF"/>
        </w:rPr>
        <w:t xml:space="preserve">, De </w:t>
      </w:r>
      <w:proofErr w:type="spellStart"/>
      <w:r w:rsidRPr="008843F0">
        <w:rPr>
          <w:rFonts w:cs="Arial"/>
          <w:color w:val="000000"/>
          <w:szCs w:val="21"/>
          <w:shd w:val="clear" w:color="auto" w:fill="FFFFFF"/>
        </w:rPr>
        <w:t>Robertis</w:t>
      </w:r>
      <w:proofErr w:type="spellEnd"/>
      <w:r w:rsidRPr="008843F0">
        <w:rPr>
          <w:rFonts w:cs="Arial"/>
          <w:color w:val="000000"/>
          <w:szCs w:val="21"/>
          <w:shd w:val="clear" w:color="auto" w:fill="FFFFFF"/>
        </w:rPr>
        <w:t xml:space="preserve">, </w:t>
      </w:r>
      <w:proofErr w:type="spellStart"/>
      <w:r w:rsidRPr="008843F0">
        <w:rPr>
          <w:rFonts w:cs="Arial"/>
          <w:color w:val="000000"/>
          <w:szCs w:val="21"/>
          <w:shd w:val="clear" w:color="auto" w:fill="FFFFFF"/>
        </w:rPr>
        <w:t>Faraoni</w:t>
      </w:r>
      <w:proofErr w:type="spellEnd"/>
      <w:r w:rsidRPr="008843F0">
        <w:rPr>
          <w:rFonts w:cs="Arial"/>
          <w:color w:val="000000"/>
          <w:szCs w:val="21"/>
          <w:shd w:val="clear" w:color="auto" w:fill="FFFFFF"/>
        </w:rPr>
        <w:t xml:space="preserve">, </w:t>
      </w:r>
      <w:proofErr w:type="spellStart"/>
      <w:r w:rsidRPr="008843F0">
        <w:rPr>
          <w:rFonts w:cs="Arial"/>
          <w:color w:val="000000"/>
          <w:szCs w:val="21"/>
          <w:shd w:val="clear" w:color="auto" w:fill="FFFFFF"/>
        </w:rPr>
        <w:t>Filipescu</w:t>
      </w:r>
      <w:proofErr w:type="spellEnd"/>
      <w:r w:rsidRPr="008843F0">
        <w:rPr>
          <w:rFonts w:cs="Arial"/>
          <w:color w:val="000000"/>
          <w:szCs w:val="21"/>
          <w:shd w:val="clear" w:color="auto" w:fill="FFFFFF"/>
        </w:rPr>
        <w:t xml:space="preserve">, Fries, Haas, Jacob, </w:t>
      </w:r>
      <w:proofErr w:type="spellStart"/>
      <w:r w:rsidRPr="008843F0">
        <w:rPr>
          <w:rFonts w:cs="Arial"/>
          <w:color w:val="000000"/>
          <w:szCs w:val="21"/>
          <w:shd w:val="clear" w:color="auto" w:fill="FFFFFF"/>
        </w:rPr>
        <w:t>Lancé</w:t>
      </w:r>
      <w:proofErr w:type="spellEnd"/>
      <w:r w:rsidRPr="008843F0">
        <w:rPr>
          <w:rFonts w:cs="Arial"/>
          <w:color w:val="000000"/>
          <w:szCs w:val="21"/>
          <w:shd w:val="clear" w:color="auto" w:fill="FFFFFF"/>
        </w:rPr>
        <w:t xml:space="preserve">, </w:t>
      </w:r>
      <w:proofErr w:type="spellStart"/>
      <w:r w:rsidRPr="008843F0">
        <w:rPr>
          <w:rFonts w:cs="Arial"/>
          <w:color w:val="000000"/>
          <w:szCs w:val="21"/>
          <w:shd w:val="clear" w:color="auto" w:fill="FFFFFF"/>
        </w:rPr>
        <w:t>Pitarch</w:t>
      </w:r>
      <w:proofErr w:type="spellEnd"/>
      <w:r w:rsidRPr="008843F0">
        <w:rPr>
          <w:rFonts w:cs="Arial"/>
          <w:color w:val="000000"/>
          <w:szCs w:val="21"/>
          <w:shd w:val="clear" w:color="auto" w:fill="FFFFFF"/>
        </w:rPr>
        <w:t xml:space="preserve">, Mallett, Meier, Molnar, Rahe-Meyer, </w:t>
      </w:r>
      <w:proofErr w:type="spellStart"/>
      <w:r w:rsidRPr="008843F0">
        <w:rPr>
          <w:rFonts w:cs="Arial"/>
          <w:color w:val="000000"/>
          <w:szCs w:val="21"/>
          <w:shd w:val="clear" w:color="auto" w:fill="FFFFFF"/>
        </w:rPr>
        <w:t>Samama</w:t>
      </w:r>
      <w:proofErr w:type="spellEnd"/>
      <w:r w:rsidRPr="008843F0">
        <w:rPr>
          <w:rFonts w:cs="Arial"/>
          <w:color w:val="000000"/>
          <w:szCs w:val="21"/>
          <w:shd w:val="clear" w:color="auto" w:fill="FFFFFF"/>
        </w:rPr>
        <w:t xml:space="preserve">, </w:t>
      </w:r>
      <w:proofErr w:type="spellStart"/>
      <w:r w:rsidRPr="008843F0">
        <w:rPr>
          <w:rFonts w:cs="Arial"/>
          <w:color w:val="000000"/>
          <w:szCs w:val="21"/>
          <w:shd w:val="clear" w:color="auto" w:fill="FFFFFF"/>
        </w:rPr>
        <w:t>Stensballe</w:t>
      </w:r>
      <w:proofErr w:type="spellEnd"/>
      <w:r w:rsidRPr="008843F0">
        <w:rPr>
          <w:rFonts w:cs="Arial"/>
          <w:color w:val="000000"/>
          <w:szCs w:val="21"/>
          <w:shd w:val="clear" w:color="auto" w:fill="FFFFFF"/>
        </w:rPr>
        <w:t xml:space="preserve">, Van der Linden, </w:t>
      </w:r>
      <w:proofErr w:type="spellStart"/>
      <w:r w:rsidRPr="008843F0">
        <w:rPr>
          <w:rFonts w:cs="Arial"/>
          <w:color w:val="000000"/>
          <w:szCs w:val="21"/>
          <w:shd w:val="clear" w:color="auto" w:fill="FFFFFF"/>
        </w:rPr>
        <w:t>Wikkelsø</w:t>
      </w:r>
      <w:proofErr w:type="spellEnd"/>
      <w:r w:rsidRPr="008843F0">
        <w:rPr>
          <w:rFonts w:cs="Arial"/>
          <w:color w:val="000000"/>
          <w:szCs w:val="21"/>
          <w:shd w:val="clear" w:color="auto" w:fill="FFFFFF"/>
        </w:rPr>
        <w:t xml:space="preserve">, </w:t>
      </w:r>
      <w:proofErr w:type="spellStart"/>
      <w:r w:rsidRPr="008843F0">
        <w:rPr>
          <w:rFonts w:cs="Arial"/>
          <w:color w:val="000000"/>
          <w:szCs w:val="21"/>
          <w:shd w:val="clear" w:color="auto" w:fill="FFFFFF"/>
        </w:rPr>
        <w:t>Wouters</w:t>
      </w:r>
      <w:proofErr w:type="spellEnd"/>
      <w:r w:rsidRPr="008843F0">
        <w:rPr>
          <w:rFonts w:cs="Arial"/>
          <w:color w:val="000000"/>
          <w:szCs w:val="21"/>
          <w:shd w:val="clear" w:color="auto" w:fill="FFFFFF"/>
        </w:rPr>
        <w:t xml:space="preserve">, </w:t>
      </w:r>
      <w:proofErr w:type="spellStart"/>
      <w:r w:rsidRPr="008843F0">
        <w:rPr>
          <w:rFonts w:cs="Arial"/>
          <w:color w:val="000000"/>
          <w:szCs w:val="21"/>
          <w:shd w:val="clear" w:color="auto" w:fill="FFFFFF"/>
        </w:rPr>
        <w:t>Wyffels</w:t>
      </w:r>
      <w:proofErr w:type="spellEnd"/>
      <w:r w:rsidRPr="008843F0">
        <w:rPr>
          <w:rFonts w:cs="Arial"/>
          <w:color w:val="000000"/>
          <w:szCs w:val="21"/>
          <w:shd w:val="clear" w:color="auto" w:fill="FFFFFF"/>
        </w:rPr>
        <w:t xml:space="preserve">, </w:t>
      </w:r>
      <w:proofErr w:type="spellStart"/>
      <w:r w:rsidRPr="008843F0">
        <w:rPr>
          <w:rFonts w:cs="Arial"/>
          <w:color w:val="000000"/>
          <w:szCs w:val="21"/>
          <w:shd w:val="clear" w:color="auto" w:fill="FFFFFF"/>
        </w:rPr>
        <w:t>Zacharowski</w:t>
      </w:r>
      <w:proofErr w:type="spellEnd"/>
      <w:r w:rsidRPr="008843F0">
        <w:rPr>
          <w:rFonts w:cs="Arial"/>
          <w:color w:val="000000"/>
          <w:szCs w:val="21"/>
          <w:shd w:val="clear" w:color="auto" w:fill="FFFFFF"/>
        </w:rPr>
        <w:t xml:space="preserve"> 2017</w:t>
      </w:r>
      <w:r w:rsidR="00FB4F68">
        <w:rPr>
          <w:rFonts w:cs="Arial"/>
          <w:color w:val="000000"/>
          <w:szCs w:val="21"/>
          <w:shd w:val="clear" w:color="auto" w:fill="FFFFFF"/>
        </w:rPr>
        <w:t>,</w:t>
      </w:r>
      <w:r w:rsidR="00FB4F68" w:rsidRPr="008843F0">
        <w:rPr>
          <w:rFonts w:cs="Arial"/>
          <w:color w:val="000000"/>
          <w:szCs w:val="21"/>
          <w:shd w:val="clear" w:color="auto" w:fill="FFFFFF"/>
        </w:rPr>
        <w:t xml:space="preserve"> </w:t>
      </w:r>
      <w:r w:rsidR="00FB4F68">
        <w:rPr>
          <w:rFonts w:cs="Arial"/>
          <w:color w:val="000000"/>
          <w:szCs w:val="21"/>
          <w:shd w:val="clear" w:color="auto" w:fill="FFFFFF"/>
        </w:rPr>
        <w:t>‘</w:t>
      </w:r>
      <w:r w:rsidRPr="008843F0">
        <w:rPr>
          <w:rFonts w:cs="Arial"/>
          <w:color w:val="000000"/>
          <w:szCs w:val="21"/>
          <w:shd w:val="clear" w:color="auto" w:fill="FFFFFF"/>
        </w:rPr>
        <w:t>Management of severe perioperative bleeding</w:t>
      </w:r>
      <w:r w:rsidR="00FB4F68">
        <w:rPr>
          <w:rFonts w:cs="Arial"/>
          <w:color w:val="000000"/>
          <w:szCs w:val="21"/>
          <w:shd w:val="clear" w:color="auto" w:fill="FFFFFF"/>
        </w:rPr>
        <w:t>’</w:t>
      </w:r>
      <w:r w:rsidRPr="008843F0">
        <w:rPr>
          <w:rFonts w:cs="Arial"/>
          <w:color w:val="000000"/>
          <w:szCs w:val="21"/>
          <w:shd w:val="clear" w:color="auto" w:fill="FFFFFF"/>
        </w:rPr>
        <w:t xml:space="preserve">, </w:t>
      </w:r>
      <w:r w:rsidRPr="008843F0">
        <w:rPr>
          <w:rFonts w:cs="Arial"/>
          <w:i/>
          <w:color w:val="000000"/>
          <w:szCs w:val="21"/>
          <w:shd w:val="clear" w:color="auto" w:fill="FFFFFF"/>
        </w:rPr>
        <w:t>European Journal of Anaesthesiology</w:t>
      </w:r>
      <w:r w:rsidR="00FB4F68">
        <w:rPr>
          <w:rFonts w:cs="Arial"/>
          <w:i/>
          <w:color w:val="000000"/>
          <w:szCs w:val="21"/>
          <w:shd w:val="clear" w:color="auto" w:fill="FFFFFF"/>
        </w:rPr>
        <w:t>,</w:t>
      </w:r>
      <w:r w:rsidR="00FB4F68">
        <w:rPr>
          <w:rFonts w:cs="Arial"/>
          <w:color w:val="000000"/>
          <w:szCs w:val="21"/>
          <w:shd w:val="clear" w:color="auto" w:fill="FFFFFF"/>
        </w:rPr>
        <w:t xml:space="preserve"> vol.</w:t>
      </w:r>
      <w:r w:rsidRPr="008843F0">
        <w:rPr>
          <w:rFonts w:cs="Arial"/>
          <w:color w:val="000000"/>
          <w:szCs w:val="21"/>
          <w:shd w:val="clear" w:color="auto" w:fill="FFFFFF"/>
        </w:rPr>
        <w:t xml:space="preserve"> 34</w:t>
      </w:r>
      <w:r w:rsidR="00FB4F68">
        <w:rPr>
          <w:rFonts w:cs="Arial"/>
          <w:color w:val="000000"/>
          <w:szCs w:val="21"/>
          <w:shd w:val="clear" w:color="auto" w:fill="FFFFFF"/>
        </w:rPr>
        <w:t>, no.</w:t>
      </w:r>
      <w:r w:rsidRPr="008843F0">
        <w:rPr>
          <w:rFonts w:cs="Arial"/>
          <w:color w:val="000000"/>
          <w:szCs w:val="21"/>
          <w:shd w:val="clear" w:color="auto" w:fill="FFFFFF"/>
        </w:rPr>
        <w:t xml:space="preserve"> 6</w:t>
      </w:r>
      <w:r w:rsidR="00FB4F68">
        <w:rPr>
          <w:rFonts w:cs="Arial"/>
          <w:color w:val="000000"/>
          <w:szCs w:val="21"/>
          <w:shd w:val="clear" w:color="auto" w:fill="FFFFFF"/>
        </w:rPr>
        <w:t>, pp.</w:t>
      </w:r>
      <w:r w:rsidRPr="008843F0">
        <w:rPr>
          <w:rFonts w:cs="Arial"/>
          <w:color w:val="000000"/>
          <w:szCs w:val="21"/>
          <w:shd w:val="clear" w:color="auto" w:fill="FFFFFF"/>
        </w:rPr>
        <w:t xml:space="preserve"> 332</w:t>
      </w:r>
      <w:r w:rsidR="00FB4F68">
        <w:rPr>
          <w:rFonts w:cs="Arial"/>
          <w:color w:val="000000"/>
          <w:szCs w:val="21"/>
          <w:shd w:val="clear" w:color="auto" w:fill="FFFFFF"/>
        </w:rPr>
        <w:t>–</w:t>
      </w:r>
      <w:r w:rsidRPr="008843F0">
        <w:rPr>
          <w:rFonts w:cs="Arial"/>
          <w:color w:val="000000"/>
          <w:szCs w:val="21"/>
          <w:shd w:val="clear" w:color="auto" w:fill="FFFFFF"/>
        </w:rPr>
        <w:t xml:space="preserve">395. </w:t>
      </w:r>
    </w:p>
    <w:p w14:paraId="2741D05B" w14:textId="06C51AF3" w:rsidR="000E4493" w:rsidRPr="008843F0" w:rsidRDefault="000E4493" w:rsidP="000E4493">
      <w:pPr>
        <w:pStyle w:val="Body"/>
      </w:pPr>
      <w:r w:rsidRPr="008843F0">
        <w:t xml:space="preserve">Minck, Robinson, Saxon, Spigiel and Thomson 2013, ‘Patient blood management: </w:t>
      </w:r>
      <w:proofErr w:type="gramStart"/>
      <w:r w:rsidRPr="008843F0">
        <w:t>the</w:t>
      </w:r>
      <w:proofErr w:type="gramEnd"/>
      <w:r w:rsidRPr="008843F0">
        <w:t xml:space="preserve"> GP’s guide’, </w:t>
      </w:r>
      <w:r w:rsidRPr="008843F0">
        <w:rPr>
          <w:i/>
        </w:rPr>
        <w:t>Australian Family Physician,</w:t>
      </w:r>
      <w:r w:rsidRPr="008843F0">
        <w:t xml:space="preserve"> vol. 42, no.5, pp. 291–297.</w:t>
      </w:r>
    </w:p>
    <w:p w14:paraId="22E2F66C" w14:textId="333A9FC4" w:rsidR="000E4493" w:rsidRPr="008843F0" w:rsidRDefault="000E4493" w:rsidP="000E4493">
      <w:pPr>
        <w:pStyle w:val="Body"/>
      </w:pPr>
      <w:r w:rsidRPr="008843F0">
        <w:t xml:space="preserve">Munoz, Acheson, </w:t>
      </w:r>
      <w:proofErr w:type="spellStart"/>
      <w:r w:rsidRPr="008843F0">
        <w:t>Bisbe</w:t>
      </w:r>
      <w:proofErr w:type="spellEnd"/>
      <w:r w:rsidRPr="008843F0">
        <w:t>, Butcher,</w:t>
      </w:r>
      <w:r w:rsidR="005157DF">
        <w:t xml:space="preserve"> </w:t>
      </w:r>
      <w:r w:rsidRPr="008843F0">
        <w:t>Gomez-</w:t>
      </w:r>
      <w:proofErr w:type="spellStart"/>
      <w:r w:rsidRPr="008843F0">
        <w:t>Ramırez</w:t>
      </w:r>
      <w:proofErr w:type="spellEnd"/>
      <w:r w:rsidRPr="008843F0">
        <w:t xml:space="preserve">, </w:t>
      </w:r>
      <w:proofErr w:type="spellStart"/>
      <w:r w:rsidRPr="008843F0">
        <w:t>Khalafallah</w:t>
      </w:r>
      <w:proofErr w:type="spellEnd"/>
      <w:r w:rsidRPr="008843F0">
        <w:t xml:space="preserve">, </w:t>
      </w:r>
      <w:proofErr w:type="spellStart"/>
      <w:r w:rsidRPr="008843F0">
        <w:t>Kehlet</w:t>
      </w:r>
      <w:proofErr w:type="spellEnd"/>
      <w:r w:rsidRPr="008843F0">
        <w:t xml:space="preserve">, </w:t>
      </w:r>
      <w:proofErr w:type="spellStart"/>
      <w:r w:rsidRPr="008843F0">
        <w:t>Kietaibl</w:t>
      </w:r>
      <w:proofErr w:type="spellEnd"/>
      <w:r w:rsidRPr="008843F0">
        <w:t xml:space="preserve">, </w:t>
      </w:r>
      <w:proofErr w:type="spellStart"/>
      <w:r w:rsidRPr="008843F0">
        <w:t>Liumbruno</w:t>
      </w:r>
      <w:proofErr w:type="spellEnd"/>
      <w:r w:rsidRPr="008843F0">
        <w:t xml:space="preserve">, </w:t>
      </w:r>
      <w:proofErr w:type="spellStart"/>
      <w:r w:rsidRPr="008843F0">
        <w:t>Meybohm</w:t>
      </w:r>
      <w:proofErr w:type="spellEnd"/>
      <w:r w:rsidRPr="008843F0">
        <w:t xml:space="preserve">, </w:t>
      </w:r>
      <w:proofErr w:type="spellStart"/>
      <w:r w:rsidRPr="008843F0">
        <w:t>Baikady</w:t>
      </w:r>
      <w:proofErr w:type="spellEnd"/>
      <w:r w:rsidRPr="008843F0">
        <w:t xml:space="preserve">, </w:t>
      </w:r>
      <w:proofErr w:type="spellStart"/>
      <w:r w:rsidRPr="008843F0">
        <w:t>Shander</w:t>
      </w:r>
      <w:proofErr w:type="spellEnd"/>
      <w:r w:rsidRPr="008843F0">
        <w:t xml:space="preserve">, So-Osman, </w:t>
      </w:r>
      <w:proofErr w:type="spellStart"/>
      <w:r w:rsidRPr="008843F0">
        <w:t>Spahn</w:t>
      </w:r>
      <w:proofErr w:type="spellEnd"/>
      <w:r w:rsidRPr="008843F0">
        <w:t xml:space="preserve"> and Klein </w:t>
      </w:r>
      <w:r w:rsidR="00FB4F68" w:rsidRPr="008843F0">
        <w:t>201</w:t>
      </w:r>
      <w:r w:rsidR="00FB4F68">
        <w:t>9,</w:t>
      </w:r>
      <w:r w:rsidR="00FB4F68" w:rsidRPr="008843F0">
        <w:t xml:space="preserve"> </w:t>
      </w:r>
      <w:r w:rsidR="00FB4F68">
        <w:t>‘</w:t>
      </w:r>
      <w:r w:rsidRPr="008843F0">
        <w:t>An international consensus statement on the management of postoperative anaemia after major surgical procedures</w:t>
      </w:r>
      <w:r w:rsidR="00FB4F68">
        <w:t>’,</w:t>
      </w:r>
      <w:r w:rsidRPr="008843F0">
        <w:t xml:space="preserve"> </w:t>
      </w:r>
      <w:r w:rsidRPr="008843F0">
        <w:rPr>
          <w:i/>
        </w:rPr>
        <w:t>Anaesthesia</w:t>
      </w:r>
      <w:r w:rsidRPr="008843F0">
        <w:t xml:space="preserve">, </w:t>
      </w:r>
      <w:r w:rsidR="00FB4F68">
        <w:t xml:space="preserve">vol. </w:t>
      </w:r>
      <w:r w:rsidRPr="008843F0">
        <w:t>73, 1418–1431</w:t>
      </w:r>
      <w:r w:rsidR="00FB4F68">
        <w:t>,</w:t>
      </w:r>
      <w:r w:rsidRPr="008843F0">
        <w:t xml:space="preserve"> </w:t>
      </w:r>
      <w:r w:rsidR="00FB4F68">
        <w:t>&lt;</w:t>
      </w:r>
      <w:hyperlink r:id="rId60" w:history="1">
        <w:r w:rsidR="00FB4F68" w:rsidRPr="00712AF7">
          <w:rPr>
            <w:rStyle w:val="Hyperlink"/>
          </w:rPr>
          <w:t>https://</w:t>
        </w:r>
        <w:r w:rsidRPr="00712AF7">
          <w:rPr>
            <w:rStyle w:val="Hyperlink"/>
          </w:rPr>
          <w:t>doi</w:t>
        </w:r>
        <w:r w:rsidR="00FB4F68" w:rsidRPr="00712AF7">
          <w:rPr>
            <w:rStyle w:val="Hyperlink"/>
          </w:rPr>
          <w:t>.org/</w:t>
        </w:r>
        <w:r w:rsidRPr="00712AF7">
          <w:rPr>
            <w:rStyle w:val="Hyperlink"/>
          </w:rPr>
          <w:t>10.1111/anae.14358</w:t>
        </w:r>
      </w:hyperlink>
      <w:r w:rsidR="00FB4F68">
        <w:t>&gt;.</w:t>
      </w:r>
    </w:p>
    <w:p w14:paraId="78144C05" w14:textId="70E0B0A8" w:rsidR="000E4493" w:rsidRPr="008843F0" w:rsidRDefault="000E4493" w:rsidP="000E4493">
      <w:pPr>
        <w:pStyle w:val="Body"/>
      </w:pPr>
      <w:r w:rsidRPr="008843F0">
        <w:t xml:space="preserve">Musallam KM, Tamim HM, Richards T, </w:t>
      </w:r>
      <w:proofErr w:type="spellStart"/>
      <w:r w:rsidRPr="008843F0">
        <w:t>Spahn</w:t>
      </w:r>
      <w:proofErr w:type="spellEnd"/>
      <w:r w:rsidRPr="008843F0">
        <w:t xml:space="preserve"> DR, </w:t>
      </w:r>
      <w:proofErr w:type="spellStart"/>
      <w:r w:rsidRPr="008843F0">
        <w:t>Rosendaal</w:t>
      </w:r>
      <w:proofErr w:type="spellEnd"/>
      <w:r w:rsidRPr="008843F0">
        <w:t xml:space="preserve"> FR, </w:t>
      </w:r>
      <w:proofErr w:type="spellStart"/>
      <w:r w:rsidRPr="008843F0">
        <w:t>Habbal</w:t>
      </w:r>
      <w:proofErr w:type="spellEnd"/>
      <w:r w:rsidRPr="008843F0">
        <w:t xml:space="preserve"> A, </w:t>
      </w:r>
      <w:proofErr w:type="spellStart"/>
      <w:r w:rsidRPr="008843F0">
        <w:t>Khreiss</w:t>
      </w:r>
      <w:proofErr w:type="spellEnd"/>
      <w:r w:rsidRPr="008843F0">
        <w:t xml:space="preserve"> M, </w:t>
      </w:r>
      <w:proofErr w:type="spellStart"/>
      <w:r w:rsidRPr="008843F0">
        <w:t>Dahdaleh</w:t>
      </w:r>
      <w:proofErr w:type="spellEnd"/>
      <w:r w:rsidRPr="008843F0">
        <w:t xml:space="preserve"> FS, </w:t>
      </w:r>
      <w:proofErr w:type="spellStart"/>
      <w:r w:rsidRPr="008843F0">
        <w:t>Khavandi</w:t>
      </w:r>
      <w:proofErr w:type="spellEnd"/>
      <w:r w:rsidRPr="008843F0">
        <w:t xml:space="preserve"> K, Sfeir PM, </w:t>
      </w:r>
      <w:proofErr w:type="spellStart"/>
      <w:r w:rsidRPr="008843F0">
        <w:t>Soweid</w:t>
      </w:r>
      <w:proofErr w:type="spellEnd"/>
      <w:r w:rsidRPr="008843F0">
        <w:t xml:space="preserve"> A, </w:t>
      </w:r>
      <w:proofErr w:type="spellStart"/>
      <w:r w:rsidRPr="008843F0">
        <w:t>Hoballah</w:t>
      </w:r>
      <w:proofErr w:type="spellEnd"/>
      <w:r w:rsidRPr="008843F0">
        <w:t xml:space="preserve"> JJ, Taher AT, Jamali FR 2011, </w:t>
      </w:r>
      <w:r w:rsidR="00FB4F68">
        <w:t>‘</w:t>
      </w:r>
      <w:r w:rsidRPr="008843F0">
        <w:t>Preoperative anaemia and postoperative outcomes in non-cardiac surgery: a retrospective cohort study</w:t>
      </w:r>
      <w:r w:rsidR="00FB4F68">
        <w:t>’,</w:t>
      </w:r>
      <w:r w:rsidR="00FB4F68" w:rsidRPr="008843F0">
        <w:t xml:space="preserve"> </w:t>
      </w:r>
      <w:r w:rsidRPr="008843F0">
        <w:rPr>
          <w:i/>
        </w:rPr>
        <w:t>The Lancet</w:t>
      </w:r>
      <w:r w:rsidR="00FB4F68">
        <w:rPr>
          <w:iCs/>
        </w:rPr>
        <w:t>,</w:t>
      </w:r>
      <w:r w:rsidRPr="008843F0">
        <w:t xml:space="preserve"> </w:t>
      </w:r>
      <w:r w:rsidR="00FB4F68">
        <w:t>vol.</w:t>
      </w:r>
      <w:r w:rsidRPr="008843F0">
        <w:t xml:space="preserve"> 378, pp</w:t>
      </w:r>
      <w:r w:rsidR="00FB4F68">
        <w:t>.</w:t>
      </w:r>
      <w:r w:rsidRPr="008843F0">
        <w:t xml:space="preserve"> 1396</w:t>
      </w:r>
      <w:r w:rsidR="00FB4F68">
        <w:t>–</w:t>
      </w:r>
      <w:r w:rsidRPr="008843F0">
        <w:t>1407</w:t>
      </w:r>
      <w:r w:rsidR="00FB4F68">
        <w:t>.</w:t>
      </w:r>
    </w:p>
    <w:p w14:paraId="3DB56443" w14:textId="25C4BE76" w:rsidR="000E4493" w:rsidRPr="008843F0" w:rsidRDefault="000E4493" w:rsidP="000E4493">
      <w:pPr>
        <w:pStyle w:val="Body"/>
      </w:pPr>
      <w:r w:rsidRPr="008843F0">
        <w:lastRenderedPageBreak/>
        <w:t>National Institute for Health and Clinical Excellence</w:t>
      </w:r>
      <w:r w:rsidR="00FB4F68">
        <w:t xml:space="preserve"> 2015,</w:t>
      </w:r>
      <w:r w:rsidRPr="008843F0">
        <w:t xml:space="preserve"> </w:t>
      </w:r>
      <w:r w:rsidRPr="002B2FD9">
        <w:rPr>
          <w:i/>
          <w:iCs/>
        </w:rPr>
        <w:t>Blood transfusion</w:t>
      </w:r>
      <w:r w:rsidR="00FB4F68">
        <w:rPr>
          <w:i/>
          <w:iCs/>
        </w:rPr>
        <w:t>:</w:t>
      </w:r>
      <w:r w:rsidR="00FB4F68" w:rsidRPr="002B2FD9">
        <w:rPr>
          <w:i/>
          <w:iCs/>
        </w:rPr>
        <w:t xml:space="preserve"> </w:t>
      </w:r>
      <w:r w:rsidRPr="002B2FD9">
        <w:rPr>
          <w:i/>
          <w:iCs/>
        </w:rPr>
        <w:t>NICE guideline</w:t>
      </w:r>
      <w:r w:rsidR="00FB4F68">
        <w:rPr>
          <w:i/>
          <w:iCs/>
        </w:rPr>
        <w:t xml:space="preserve"> 24</w:t>
      </w:r>
      <w:r w:rsidRPr="008843F0">
        <w:t xml:space="preserve"> </w:t>
      </w:r>
      <w:r w:rsidR="00FB4F68">
        <w:rPr>
          <w:i/>
          <w:iCs/>
        </w:rPr>
        <w:t>(</w:t>
      </w:r>
      <w:r w:rsidRPr="002B2FD9">
        <w:rPr>
          <w:i/>
          <w:iCs/>
        </w:rPr>
        <w:t>NG24</w:t>
      </w:r>
      <w:r w:rsidR="00FB4F68">
        <w:rPr>
          <w:i/>
          <w:iCs/>
        </w:rPr>
        <w:t>)</w:t>
      </w:r>
      <w:r w:rsidR="00FB4F68">
        <w:t>, NICE, UK</w:t>
      </w:r>
      <w:r w:rsidR="00FB4F68" w:rsidRPr="00FB4F68">
        <w:t xml:space="preserve">, </w:t>
      </w:r>
      <w:r w:rsidR="00FB4F68">
        <w:t>&lt;</w:t>
      </w:r>
      <w:hyperlink r:id="rId61" w:history="1">
        <w:r w:rsidR="00FB4F68" w:rsidRPr="00712AF7">
          <w:rPr>
            <w:rStyle w:val="Hyperlink"/>
          </w:rPr>
          <w:t>https://www.nice.org.uk/guidance/ng24</w:t>
        </w:r>
      </w:hyperlink>
      <w:r w:rsidR="00FB4F68">
        <w:t>&gt;.</w:t>
      </w:r>
    </w:p>
    <w:p w14:paraId="72D42F56" w14:textId="0840D67A" w:rsidR="000E4493" w:rsidRPr="008843F0" w:rsidRDefault="000E4493" w:rsidP="000E4493">
      <w:pPr>
        <w:pStyle w:val="Body"/>
      </w:pPr>
      <w:r w:rsidRPr="008843F0">
        <w:t>National Blood Authority (NBA) 2012</w:t>
      </w:r>
      <w:r w:rsidR="00FB4F68">
        <w:t>,</w:t>
      </w:r>
      <w:r w:rsidR="00FB4F68" w:rsidRPr="008843F0">
        <w:t xml:space="preserve"> </w:t>
      </w:r>
      <w:r w:rsidRPr="002B2FD9">
        <w:rPr>
          <w:i/>
          <w:iCs/>
        </w:rPr>
        <w:t>Patient blood management guidelines: Module 2 – Perioperative</w:t>
      </w:r>
      <w:r w:rsidR="00FB4F68">
        <w:t>,</w:t>
      </w:r>
      <w:r w:rsidR="00FB4F68" w:rsidRPr="008843F0">
        <w:t xml:space="preserve"> </w:t>
      </w:r>
      <w:r w:rsidRPr="008843F0">
        <w:t>NBA, Canberra.</w:t>
      </w:r>
    </w:p>
    <w:p w14:paraId="5128DDA4" w14:textId="59ECA035" w:rsidR="000E4493" w:rsidRPr="008843F0" w:rsidRDefault="000E4493" w:rsidP="000E4493">
      <w:pPr>
        <w:pStyle w:val="Body"/>
      </w:pPr>
      <w:r w:rsidRPr="008843F0">
        <w:t>National Blood Authority (NBA) 2012</w:t>
      </w:r>
      <w:r w:rsidR="00FB4F68">
        <w:t>b,</w:t>
      </w:r>
      <w:r w:rsidRPr="008843F0">
        <w:t xml:space="preserve"> </w:t>
      </w:r>
      <w:r w:rsidRPr="002B2FD9">
        <w:rPr>
          <w:i/>
          <w:iCs/>
        </w:rPr>
        <w:t xml:space="preserve">Patient </w:t>
      </w:r>
      <w:r w:rsidR="00FB4F68" w:rsidRPr="00FB4F68">
        <w:rPr>
          <w:i/>
          <w:iCs/>
        </w:rPr>
        <w:t xml:space="preserve">blood management guidelines: </w:t>
      </w:r>
      <w:r w:rsidRPr="002B2FD9">
        <w:rPr>
          <w:i/>
          <w:iCs/>
        </w:rPr>
        <w:t xml:space="preserve">Module 2 </w:t>
      </w:r>
      <w:r w:rsidR="00FB4F68">
        <w:rPr>
          <w:i/>
          <w:iCs/>
        </w:rPr>
        <w:t>–</w:t>
      </w:r>
      <w:r w:rsidR="00FB4F68" w:rsidRPr="002B2FD9">
        <w:rPr>
          <w:i/>
          <w:iCs/>
        </w:rPr>
        <w:t xml:space="preserve"> </w:t>
      </w:r>
      <w:r w:rsidRPr="002B2FD9">
        <w:rPr>
          <w:i/>
          <w:iCs/>
        </w:rPr>
        <w:t xml:space="preserve">Perioperative </w:t>
      </w:r>
      <w:r w:rsidR="00FB4F68" w:rsidRPr="00FB4F68">
        <w:rPr>
          <w:i/>
          <w:iCs/>
        </w:rPr>
        <w:t xml:space="preserve">technical report </w:t>
      </w:r>
      <w:r w:rsidRPr="002B2FD9">
        <w:rPr>
          <w:i/>
          <w:iCs/>
        </w:rPr>
        <w:t>volume 1b</w:t>
      </w:r>
      <w:r w:rsidR="00FB4F68">
        <w:t xml:space="preserve">, </w:t>
      </w:r>
      <w:r w:rsidR="00FB4F68" w:rsidRPr="008843F0">
        <w:t>NBA, Canberra.</w:t>
      </w:r>
    </w:p>
    <w:p w14:paraId="27CBCFE5" w14:textId="548A048A" w:rsidR="000E4493" w:rsidRPr="008843F0" w:rsidRDefault="000E4493" w:rsidP="000E4493">
      <w:pPr>
        <w:pStyle w:val="Body"/>
      </w:pPr>
      <w:r w:rsidRPr="008843F0">
        <w:t>National Blood Authority (NBA) 2014</w:t>
      </w:r>
      <w:r w:rsidR="00FB4F68">
        <w:t>,</w:t>
      </w:r>
      <w:r w:rsidR="00FB4F68" w:rsidRPr="008843F0">
        <w:t xml:space="preserve"> </w:t>
      </w:r>
      <w:r w:rsidRPr="002B2FD9">
        <w:rPr>
          <w:i/>
          <w:iCs/>
        </w:rPr>
        <w:t xml:space="preserve">Guidance for Australian </w:t>
      </w:r>
      <w:r w:rsidR="00FB4F68" w:rsidRPr="00FB4F68">
        <w:rPr>
          <w:i/>
          <w:iCs/>
        </w:rPr>
        <w:t>health providers: guidance for the provision of intraoperative cell salva</w:t>
      </w:r>
      <w:r w:rsidRPr="002B2FD9">
        <w:rPr>
          <w:i/>
          <w:iCs/>
        </w:rPr>
        <w:t>ge</w:t>
      </w:r>
      <w:r w:rsidR="00FB4F68">
        <w:t>,</w:t>
      </w:r>
      <w:r w:rsidR="00FB4F68" w:rsidRPr="008843F0">
        <w:t xml:space="preserve"> </w:t>
      </w:r>
      <w:r w:rsidR="00FB4F68">
        <w:t xml:space="preserve">NBA, </w:t>
      </w:r>
      <w:r w:rsidRPr="008843F0">
        <w:t>Canberra.</w:t>
      </w:r>
    </w:p>
    <w:p w14:paraId="50F34C92" w14:textId="31C82858" w:rsidR="000E4493" w:rsidRPr="008843F0" w:rsidRDefault="000E4493" w:rsidP="000E4493">
      <w:pPr>
        <w:pStyle w:val="Body"/>
      </w:pPr>
      <w:r w:rsidRPr="008843F0">
        <w:t>National Blood Authority (NBA)</w:t>
      </w:r>
      <w:r w:rsidR="00F25924">
        <w:t xml:space="preserve"> </w:t>
      </w:r>
      <w:proofErr w:type="spellStart"/>
      <w:r w:rsidR="00F25924">
        <w:t>nd</w:t>
      </w:r>
      <w:proofErr w:type="spellEnd"/>
      <w:r w:rsidR="00F25924">
        <w:t>,</w:t>
      </w:r>
      <w:r w:rsidRPr="008843F0">
        <w:t xml:space="preserve"> </w:t>
      </w:r>
      <w:r w:rsidR="00F25924">
        <w:t>‘</w:t>
      </w:r>
      <w:r w:rsidRPr="002B2FD9">
        <w:rPr>
          <w:iCs/>
        </w:rPr>
        <w:t>What is PBM? 3 PBM Pillars</w:t>
      </w:r>
      <w:r w:rsidR="00F25924">
        <w:rPr>
          <w:iCs/>
        </w:rPr>
        <w:t>’,</w:t>
      </w:r>
      <w:r w:rsidRPr="008843F0">
        <w:t xml:space="preserve"> </w:t>
      </w:r>
      <w:r w:rsidR="00F25924">
        <w:t>NBA website, &lt;</w:t>
      </w:r>
      <w:hyperlink r:id="rId62" w:history="1">
        <w:r w:rsidR="00F25924" w:rsidRPr="009336E0">
          <w:rPr>
            <w:rStyle w:val="Hyperlink"/>
          </w:rPr>
          <w:t>https://www.blood.gov.au/patient-blood-management-pbm#whatispbm</w:t>
        </w:r>
      </w:hyperlink>
      <w:r w:rsidR="00F25924">
        <w:t>&gt;</w:t>
      </w:r>
      <w:r w:rsidRPr="00F25924">
        <w:t xml:space="preserve"> accessed April 202</w:t>
      </w:r>
      <w:r w:rsidRPr="008843F0">
        <w:t>1</w:t>
      </w:r>
      <w:r w:rsidR="00F25924">
        <w:t>.</w:t>
      </w:r>
    </w:p>
    <w:p w14:paraId="20CD68B7" w14:textId="3BA17560" w:rsidR="000E4493" w:rsidRDefault="000E4493" w:rsidP="000E4493">
      <w:pPr>
        <w:pStyle w:val="Body"/>
        <w:rPr>
          <w:rFonts w:cs="Arial"/>
          <w:color w:val="212121"/>
          <w:shd w:val="clear" w:color="auto" w:fill="FFFFFF"/>
        </w:rPr>
      </w:pPr>
      <w:r w:rsidRPr="008843F0">
        <w:rPr>
          <w:rFonts w:cs="Arial"/>
          <w:color w:val="212121"/>
          <w:shd w:val="clear" w:color="auto" w:fill="FFFFFF"/>
        </w:rPr>
        <w:t>Pasricha</w:t>
      </w:r>
      <w:r w:rsidRPr="008843F0">
        <w:t xml:space="preserve">, </w:t>
      </w:r>
      <w:proofErr w:type="spellStart"/>
      <w:r w:rsidRPr="008843F0">
        <w:rPr>
          <w:rFonts w:cs="Arial"/>
          <w:color w:val="212121"/>
          <w:shd w:val="clear" w:color="auto" w:fill="FFFFFF"/>
        </w:rPr>
        <w:t>Flecknoe</w:t>
      </w:r>
      <w:proofErr w:type="spellEnd"/>
      <w:r w:rsidRPr="008843F0">
        <w:rPr>
          <w:rFonts w:cs="Arial"/>
          <w:color w:val="212121"/>
          <w:shd w:val="clear" w:color="auto" w:fill="FFFFFF"/>
        </w:rPr>
        <w:t xml:space="preserve">-Brown, Allen, Gibson, McMahon, Olynyk, Roger, </w:t>
      </w:r>
      <w:proofErr w:type="spellStart"/>
      <w:r w:rsidRPr="008843F0">
        <w:rPr>
          <w:rFonts w:cs="Arial"/>
          <w:color w:val="212121"/>
          <w:shd w:val="clear" w:color="auto" w:fill="FFFFFF"/>
        </w:rPr>
        <w:t>Savoia</w:t>
      </w:r>
      <w:proofErr w:type="spellEnd"/>
      <w:r w:rsidRPr="008843F0">
        <w:rPr>
          <w:rFonts w:cs="Arial"/>
          <w:color w:val="212121"/>
          <w:shd w:val="clear" w:color="auto" w:fill="FFFFFF"/>
        </w:rPr>
        <w:t xml:space="preserve">, </w:t>
      </w:r>
      <w:proofErr w:type="spellStart"/>
      <w:r w:rsidRPr="008843F0">
        <w:rPr>
          <w:rFonts w:cs="Arial"/>
          <w:color w:val="212121"/>
          <w:shd w:val="clear" w:color="auto" w:fill="FFFFFF"/>
        </w:rPr>
        <w:t>Tampi</w:t>
      </w:r>
      <w:proofErr w:type="spellEnd"/>
      <w:r w:rsidRPr="008843F0">
        <w:rPr>
          <w:rFonts w:cs="Arial"/>
          <w:color w:val="212121"/>
          <w:shd w:val="clear" w:color="auto" w:fill="FFFFFF"/>
        </w:rPr>
        <w:t>, Thomson, Wood and Robinson 2010</w:t>
      </w:r>
      <w:r w:rsidR="00F25924">
        <w:rPr>
          <w:rFonts w:cs="Arial"/>
          <w:color w:val="212121"/>
          <w:shd w:val="clear" w:color="auto" w:fill="FFFFFF"/>
        </w:rPr>
        <w:t>,</w:t>
      </w:r>
      <w:r w:rsidR="00F25924" w:rsidRPr="008843F0">
        <w:rPr>
          <w:rFonts w:cs="Arial"/>
          <w:color w:val="212121"/>
          <w:shd w:val="clear" w:color="auto" w:fill="FFFFFF"/>
        </w:rPr>
        <w:t xml:space="preserve"> </w:t>
      </w:r>
      <w:r w:rsidR="00F25924">
        <w:rPr>
          <w:rFonts w:cs="Arial"/>
          <w:color w:val="212121"/>
          <w:shd w:val="clear" w:color="auto" w:fill="FFFFFF"/>
        </w:rPr>
        <w:t>‘</w:t>
      </w:r>
      <w:r w:rsidRPr="008843F0">
        <w:rPr>
          <w:rFonts w:cs="Arial"/>
          <w:color w:val="212121"/>
          <w:shd w:val="clear" w:color="auto" w:fill="FFFFFF"/>
        </w:rPr>
        <w:t>Diagnosis and management of iron deficiency anaemia: a clinical update</w:t>
      </w:r>
      <w:r w:rsidR="00F25924">
        <w:rPr>
          <w:rFonts w:cs="Arial"/>
          <w:color w:val="212121"/>
          <w:shd w:val="clear" w:color="auto" w:fill="FFFFFF"/>
        </w:rPr>
        <w:t>’,</w:t>
      </w:r>
      <w:r w:rsidRPr="008843F0">
        <w:rPr>
          <w:rFonts w:cs="Arial"/>
          <w:i/>
          <w:color w:val="212121"/>
          <w:shd w:val="clear" w:color="auto" w:fill="FFFFFF"/>
        </w:rPr>
        <w:t xml:space="preserve"> Medical Journal of Australia</w:t>
      </w:r>
      <w:r w:rsidR="00F25924" w:rsidRPr="002B2FD9">
        <w:rPr>
          <w:rFonts w:cs="Arial"/>
          <w:iCs/>
          <w:color w:val="212121"/>
          <w:shd w:val="clear" w:color="auto" w:fill="FFFFFF"/>
        </w:rPr>
        <w:t xml:space="preserve">, </w:t>
      </w:r>
      <w:r w:rsidR="00F25924">
        <w:rPr>
          <w:rFonts w:cs="Arial"/>
          <w:iCs/>
          <w:color w:val="212121"/>
          <w:shd w:val="clear" w:color="auto" w:fill="FFFFFF"/>
        </w:rPr>
        <w:t>vol</w:t>
      </w:r>
      <w:r w:rsidR="00F25924" w:rsidRPr="002B2FD9">
        <w:rPr>
          <w:rFonts w:cs="Arial"/>
          <w:iCs/>
          <w:color w:val="212121"/>
          <w:shd w:val="clear" w:color="auto" w:fill="FFFFFF"/>
        </w:rPr>
        <w:t xml:space="preserve">. </w:t>
      </w:r>
      <w:r w:rsidRPr="008843F0">
        <w:rPr>
          <w:rFonts w:cs="Arial"/>
          <w:color w:val="212121"/>
          <w:shd w:val="clear" w:color="auto" w:fill="FFFFFF"/>
        </w:rPr>
        <w:t>193</w:t>
      </w:r>
      <w:r w:rsidR="00F25924">
        <w:rPr>
          <w:rFonts w:cs="Arial"/>
          <w:color w:val="212121"/>
          <w:shd w:val="clear" w:color="auto" w:fill="FFFFFF"/>
        </w:rPr>
        <w:t xml:space="preserve">, no. </w:t>
      </w:r>
      <w:r w:rsidRPr="008843F0">
        <w:rPr>
          <w:rFonts w:cs="Arial"/>
          <w:color w:val="212121"/>
          <w:shd w:val="clear" w:color="auto" w:fill="FFFFFF"/>
        </w:rPr>
        <w:t>9</w:t>
      </w:r>
      <w:r w:rsidR="00F25924" w:rsidRPr="008843F0">
        <w:rPr>
          <w:rFonts w:cs="Arial"/>
          <w:color w:val="212121"/>
          <w:shd w:val="clear" w:color="auto" w:fill="FFFFFF"/>
        </w:rPr>
        <w:t>)</w:t>
      </w:r>
      <w:r w:rsidR="00F25924">
        <w:rPr>
          <w:rFonts w:cs="Arial"/>
          <w:color w:val="212121"/>
          <w:shd w:val="clear" w:color="auto" w:fill="FFFFFF"/>
        </w:rPr>
        <w:t xml:space="preserve">, pp. </w:t>
      </w:r>
      <w:r w:rsidRPr="008843F0">
        <w:rPr>
          <w:rFonts w:cs="Arial"/>
          <w:color w:val="212121"/>
          <w:shd w:val="clear" w:color="auto" w:fill="FFFFFF"/>
        </w:rPr>
        <w:t>525</w:t>
      </w:r>
      <w:r w:rsidR="00F25924">
        <w:rPr>
          <w:rFonts w:cs="Arial"/>
          <w:color w:val="212121"/>
          <w:shd w:val="clear" w:color="auto" w:fill="FFFFFF"/>
        </w:rPr>
        <w:t>–</w:t>
      </w:r>
      <w:r w:rsidRPr="008843F0">
        <w:rPr>
          <w:rFonts w:cs="Arial"/>
          <w:color w:val="212121"/>
          <w:shd w:val="clear" w:color="auto" w:fill="FFFFFF"/>
        </w:rPr>
        <w:t xml:space="preserve">32. </w:t>
      </w:r>
    </w:p>
    <w:p w14:paraId="0336E8A2" w14:textId="4C72436C" w:rsidR="000E4493" w:rsidRPr="008843F0" w:rsidRDefault="000E4493" w:rsidP="000E4493">
      <w:pPr>
        <w:pStyle w:val="Body"/>
        <w:rPr>
          <w:rFonts w:cs="Arial"/>
          <w:color w:val="212121"/>
          <w:shd w:val="clear" w:color="auto" w:fill="FFFFFF"/>
        </w:rPr>
      </w:pPr>
      <w:r w:rsidRPr="00BB6C24">
        <w:rPr>
          <w:rFonts w:cs="Arial"/>
          <w:color w:val="212121"/>
          <w:shd w:val="clear" w:color="auto" w:fill="FFFFFF"/>
        </w:rPr>
        <w:t xml:space="preserve">Pasricha, </w:t>
      </w:r>
      <w:proofErr w:type="spellStart"/>
      <w:r w:rsidRPr="00BB6C24">
        <w:rPr>
          <w:rFonts w:cs="Arial"/>
          <w:color w:val="212121"/>
          <w:shd w:val="clear" w:color="auto" w:fill="FFFFFF"/>
        </w:rPr>
        <w:t>Tye</w:t>
      </w:r>
      <w:proofErr w:type="spellEnd"/>
      <w:r w:rsidRPr="00BB6C24">
        <w:rPr>
          <w:rFonts w:cs="Arial"/>
          <w:color w:val="212121"/>
          <w:shd w:val="clear" w:color="auto" w:fill="FFFFFF"/>
        </w:rPr>
        <w:t xml:space="preserve">-Din, </w:t>
      </w:r>
      <w:proofErr w:type="spellStart"/>
      <w:r w:rsidRPr="00BB6C24">
        <w:rPr>
          <w:rFonts w:cs="Arial"/>
          <w:color w:val="212121"/>
          <w:shd w:val="clear" w:color="auto" w:fill="FFFFFF"/>
        </w:rPr>
        <w:t>Muckenthaler</w:t>
      </w:r>
      <w:proofErr w:type="spellEnd"/>
      <w:r w:rsidRPr="00BB6C24">
        <w:rPr>
          <w:rFonts w:cs="Arial"/>
          <w:color w:val="212121"/>
          <w:shd w:val="clear" w:color="auto" w:fill="FFFFFF"/>
        </w:rPr>
        <w:t>, Swinkels</w:t>
      </w:r>
      <w:r>
        <w:rPr>
          <w:rFonts w:cs="Arial"/>
          <w:color w:val="212121"/>
          <w:shd w:val="clear" w:color="auto" w:fill="FFFFFF"/>
        </w:rPr>
        <w:t xml:space="preserve"> 2021</w:t>
      </w:r>
      <w:r w:rsidR="00F25924">
        <w:rPr>
          <w:rFonts w:cs="Arial"/>
          <w:color w:val="212121"/>
          <w:shd w:val="clear" w:color="auto" w:fill="FFFFFF"/>
        </w:rPr>
        <w:t>,</w:t>
      </w:r>
      <w:r w:rsidR="00F25924" w:rsidRPr="00BB6C24">
        <w:t xml:space="preserve"> </w:t>
      </w:r>
      <w:r w:rsidR="00F25924">
        <w:t>‘</w:t>
      </w:r>
      <w:r w:rsidRPr="00BB6C24">
        <w:rPr>
          <w:rFonts w:cs="Arial"/>
          <w:color w:val="212121"/>
          <w:shd w:val="clear" w:color="auto" w:fill="FFFFFF"/>
        </w:rPr>
        <w:t>Iron deficiency</w:t>
      </w:r>
      <w:r w:rsidR="00F25924">
        <w:rPr>
          <w:rFonts w:cs="Arial"/>
          <w:color w:val="212121"/>
          <w:shd w:val="clear" w:color="auto" w:fill="FFFFFF"/>
        </w:rPr>
        <w:t>’,</w:t>
      </w:r>
      <w:r>
        <w:rPr>
          <w:rFonts w:cs="Arial"/>
          <w:color w:val="212121"/>
          <w:shd w:val="clear" w:color="auto" w:fill="FFFFFF"/>
        </w:rPr>
        <w:t xml:space="preserve"> </w:t>
      </w:r>
      <w:r w:rsidRPr="002B2FD9">
        <w:rPr>
          <w:rFonts w:cs="Arial"/>
          <w:i/>
          <w:iCs/>
          <w:color w:val="212121"/>
          <w:shd w:val="clear" w:color="auto" w:fill="FFFFFF"/>
        </w:rPr>
        <w:t>Lancet</w:t>
      </w:r>
      <w:r w:rsidR="00F25924">
        <w:rPr>
          <w:rFonts w:cs="Arial"/>
          <w:color w:val="212121"/>
          <w:shd w:val="clear" w:color="auto" w:fill="FFFFFF"/>
        </w:rPr>
        <w:t xml:space="preserve">, vol. </w:t>
      </w:r>
      <w:r w:rsidRPr="002B2FD9">
        <w:rPr>
          <w:rFonts w:cs="Arial"/>
          <w:color w:val="212121"/>
          <w:shd w:val="clear" w:color="auto" w:fill="FFFFFF"/>
        </w:rPr>
        <w:t>397</w:t>
      </w:r>
      <w:r w:rsidR="00F25924">
        <w:rPr>
          <w:rFonts w:cs="Arial"/>
          <w:color w:val="212121"/>
          <w:shd w:val="clear" w:color="auto" w:fill="FFFFFF"/>
        </w:rPr>
        <w:t>, pp.</w:t>
      </w:r>
      <w:r w:rsidR="00F25924" w:rsidRPr="002B2FD9">
        <w:rPr>
          <w:rFonts w:cs="Arial"/>
          <w:color w:val="212121"/>
          <w:shd w:val="clear" w:color="auto" w:fill="FFFFFF"/>
        </w:rPr>
        <w:t xml:space="preserve"> </w:t>
      </w:r>
      <w:r w:rsidRPr="002B2FD9">
        <w:rPr>
          <w:rFonts w:cs="Arial"/>
          <w:color w:val="212121"/>
          <w:shd w:val="clear" w:color="auto" w:fill="FFFFFF"/>
        </w:rPr>
        <w:t>233–48</w:t>
      </w:r>
      <w:r w:rsidR="00F25924">
        <w:rPr>
          <w:rFonts w:cs="Arial"/>
          <w:color w:val="212121"/>
          <w:shd w:val="clear" w:color="auto" w:fill="FFFFFF"/>
        </w:rPr>
        <w:t>,</w:t>
      </w:r>
      <w:r w:rsidRPr="00BB6C24">
        <w:rPr>
          <w:rFonts w:cs="Arial"/>
          <w:b/>
          <w:bCs/>
          <w:color w:val="212121"/>
          <w:shd w:val="clear" w:color="auto" w:fill="FFFFFF"/>
        </w:rPr>
        <w:t xml:space="preserve"> </w:t>
      </w:r>
      <w:r w:rsidR="00F25924" w:rsidRPr="002B2FD9">
        <w:rPr>
          <w:rFonts w:cs="Arial"/>
          <w:color w:val="212121"/>
          <w:shd w:val="clear" w:color="auto" w:fill="FFFFFF"/>
        </w:rPr>
        <w:t>&lt;</w:t>
      </w:r>
      <w:hyperlink r:id="rId63" w:history="1">
        <w:r w:rsidRPr="009336E0">
          <w:rPr>
            <w:rStyle w:val="Hyperlink"/>
            <w:rFonts w:cs="Arial"/>
            <w:shd w:val="clear" w:color="auto" w:fill="FFFFFF"/>
          </w:rPr>
          <w:t>https://doi.org/10.1016/ S0140-6736(20)32594-0</w:t>
        </w:r>
      </w:hyperlink>
      <w:r w:rsidR="00F25924">
        <w:rPr>
          <w:rFonts w:cs="Arial"/>
          <w:color w:val="212121"/>
          <w:shd w:val="clear" w:color="auto" w:fill="FFFFFF"/>
        </w:rPr>
        <w:t>&gt;.</w:t>
      </w:r>
    </w:p>
    <w:p w14:paraId="6C875282" w14:textId="5F6BA7A9" w:rsidR="000E4493" w:rsidRPr="008843F0" w:rsidRDefault="000E4493" w:rsidP="000E4493">
      <w:pPr>
        <w:pStyle w:val="Body"/>
      </w:pPr>
      <w:r w:rsidRPr="008843F0">
        <w:rPr>
          <w:color w:val="231F20"/>
          <w:lang w:eastAsia="en-AU"/>
        </w:rPr>
        <w:t xml:space="preserve">Robson and Leung 2016, </w:t>
      </w:r>
      <w:r w:rsidR="00F25924">
        <w:rPr>
          <w:color w:val="231F20"/>
          <w:lang w:eastAsia="en-AU"/>
        </w:rPr>
        <w:t>‘</w:t>
      </w:r>
      <w:r w:rsidRPr="008843F0">
        <w:t>Cell salvage in obstetrics and gynaecology</w:t>
      </w:r>
      <w:r w:rsidR="00F25924">
        <w:t>’</w:t>
      </w:r>
      <w:r w:rsidRPr="008843F0">
        <w:rPr>
          <w:color w:val="5C6B80"/>
          <w:szCs w:val="21"/>
          <w:shd w:val="clear" w:color="auto" w:fill="FFFFFF"/>
        </w:rPr>
        <w:t xml:space="preserve">, </w:t>
      </w:r>
      <w:r w:rsidR="00F25924" w:rsidRPr="002B2FD9">
        <w:t>O&amp;G Magazine</w:t>
      </w:r>
      <w:r w:rsidR="00F25924">
        <w:t>,</w:t>
      </w:r>
      <w:r w:rsidRPr="008843F0">
        <w:t xml:space="preserve"> &lt;</w:t>
      </w:r>
      <w:hyperlink r:id="rId64" w:history="1">
        <w:r w:rsidRPr="009336E0">
          <w:rPr>
            <w:rStyle w:val="Hyperlink"/>
          </w:rPr>
          <w:t>https://www.ogmagazine.org.au/17/4-17/cell-salvage-obstetrics-gynaecology/&gt;</w:t>
        </w:r>
        <w:r w:rsidR="00F25924" w:rsidRPr="009336E0">
          <w:rPr>
            <w:rStyle w:val="Hyperlink"/>
          </w:rPr>
          <w:t>.</w:t>
        </w:r>
      </w:hyperlink>
    </w:p>
    <w:p w14:paraId="1E754642" w14:textId="25AC34EF" w:rsidR="000E4493" w:rsidRPr="008843F0" w:rsidRDefault="000E4493" w:rsidP="000E4493">
      <w:pPr>
        <w:pStyle w:val="Body"/>
        <w:rPr>
          <w:rFonts w:cs="Arial"/>
        </w:rPr>
      </w:pPr>
      <w:proofErr w:type="spellStart"/>
      <w:r w:rsidRPr="008843F0">
        <w:rPr>
          <w:rFonts w:cs="Arial"/>
        </w:rPr>
        <w:t>Roets</w:t>
      </w:r>
      <w:proofErr w:type="spellEnd"/>
      <w:r w:rsidRPr="008843F0">
        <w:rPr>
          <w:rFonts w:cs="Arial"/>
        </w:rPr>
        <w:t xml:space="preserve">, </w:t>
      </w:r>
      <w:proofErr w:type="spellStart"/>
      <w:r w:rsidRPr="008843F0">
        <w:rPr>
          <w:rFonts w:cs="Arial"/>
        </w:rPr>
        <w:t>Sturgess</w:t>
      </w:r>
      <w:proofErr w:type="spellEnd"/>
      <w:r w:rsidRPr="008843F0">
        <w:rPr>
          <w:rFonts w:cs="Arial"/>
        </w:rPr>
        <w:t xml:space="preserve">, </w:t>
      </w:r>
      <w:proofErr w:type="spellStart"/>
      <w:r w:rsidRPr="008843F0">
        <w:rPr>
          <w:rFonts w:cs="Arial"/>
        </w:rPr>
        <w:t>Wyssusek</w:t>
      </w:r>
      <w:proofErr w:type="spellEnd"/>
      <w:r w:rsidRPr="008843F0">
        <w:rPr>
          <w:rFonts w:cs="Arial"/>
        </w:rPr>
        <w:t>, van Zundert 2019</w:t>
      </w:r>
      <w:r w:rsidR="00F25924">
        <w:rPr>
          <w:rFonts w:cs="Arial"/>
        </w:rPr>
        <w:t>,</w:t>
      </w:r>
      <w:r w:rsidR="00F25924" w:rsidRPr="008843F0">
        <w:rPr>
          <w:rFonts w:cs="Arial"/>
        </w:rPr>
        <w:t xml:space="preserve"> </w:t>
      </w:r>
      <w:r w:rsidR="00F25924">
        <w:rPr>
          <w:rFonts w:cs="Arial"/>
        </w:rPr>
        <w:t>‘</w:t>
      </w:r>
      <w:r w:rsidRPr="008843F0">
        <w:rPr>
          <w:rFonts w:cs="Arial"/>
        </w:rPr>
        <w:t xml:space="preserve">Intraoperative cell salvage: </w:t>
      </w:r>
      <w:r w:rsidR="00F25924">
        <w:rPr>
          <w:rFonts w:cs="Arial"/>
        </w:rPr>
        <w:t>a</w:t>
      </w:r>
      <w:r w:rsidR="00F25924" w:rsidRPr="008843F0">
        <w:rPr>
          <w:rFonts w:cs="Arial"/>
        </w:rPr>
        <w:t xml:space="preserve"> </w:t>
      </w:r>
      <w:r w:rsidRPr="008843F0">
        <w:rPr>
          <w:rFonts w:cs="Arial"/>
        </w:rPr>
        <w:t>technology built upon the failures, fads and fashions of blood transfusion</w:t>
      </w:r>
      <w:r w:rsidR="00F25924">
        <w:rPr>
          <w:rFonts w:cs="Arial"/>
        </w:rPr>
        <w:t>’,</w:t>
      </w:r>
      <w:r w:rsidR="00F25924" w:rsidRPr="008843F0">
        <w:rPr>
          <w:rFonts w:cs="Arial"/>
        </w:rPr>
        <w:t xml:space="preserve"> </w:t>
      </w:r>
      <w:r w:rsidRPr="008843F0">
        <w:rPr>
          <w:rFonts w:cs="Arial"/>
          <w:i/>
        </w:rPr>
        <w:t>Anaesthesia and Intensive Care</w:t>
      </w:r>
      <w:r w:rsidR="00F25924">
        <w:rPr>
          <w:rFonts w:cs="Arial"/>
          <w:i/>
        </w:rPr>
        <w:t xml:space="preserve">, </w:t>
      </w:r>
      <w:r w:rsidR="00F25924">
        <w:rPr>
          <w:rFonts w:cs="Arial"/>
          <w:iCs/>
        </w:rPr>
        <w:t xml:space="preserve">vol. </w:t>
      </w:r>
      <w:r w:rsidRPr="008843F0">
        <w:rPr>
          <w:rFonts w:cs="Arial"/>
        </w:rPr>
        <w:t>47</w:t>
      </w:r>
      <w:r w:rsidR="00F25924">
        <w:rPr>
          <w:rFonts w:cs="Arial"/>
        </w:rPr>
        <w:t xml:space="preserve">, 3 Suppl, pp. </w:t>
      </w:r>
      <w:r w:rsidRPr="008843F0">
        <w:rPr>
          <w:rFonts w:cs="Arial"/>
        </w:rPr>
        <w:t>17</w:t>
      </w:r>
      <w:r w:rsidR="00F25924">
        <w:rPr>
          <w:rFonts w:cs="Arial"/>
        </w:rPr>
        <w:t>–</w:t>
      </w:r>
      <w:r w:rsidRPr="008843F0">
        <w:rPr>
          <w:rFonts w:cs="Arial"/>
        </w:rPr>
        <w:t>30</w:t>
      </w:r>
      <w:r w:rsidR="00F25924">
        <w:rPr>
          <w:rFonts w:cs="Arial"/>
        </w:rPr>
        <w:t>,</w:t>
      </w:r>
      <w:r w:rsidR="00F25924" w:rsidRPr="008843F0">
        <w:rPr>
          <w:rFonts w:cs="Arial"/>
        </w:rPr>
        <w:t xml:space="preserve"> </w:t>
      </w:r>
      <w:r w:rsidR="00F25924">
        <w:rPr>
          <w:rFonts w:cs="Arial"/>
        </w:rPr>
        <w:t>&lt;</w:t>
      </w:r>
      <w:hyperlink r:id="rId65" w:history="1">
        <w:r w:rsidR="00F25924" w:rsidRPr="009336E0">
          <w:rPr>
            <w:rStyle w:val="Hyperlink"/>
            <w:rFonts w:cs="Arial"/>
          </w:rPr>
          <w:t>http://</w:t>
        </w:r>
        <w:r w:rsidRPr="009336E0">
          <w:rPr>
            <w:rStyle w:val="Hyperlink"/>
            <w:rFonts w:cs="Arial"/>
          </w:rPr>
          <w:t>doi</w:t>
        </w:r>
        <w:r w:rsidR="00F25924" w:rsidRPr="009336E0">
          <w:rPr>
            <w:rStyle w:val="Hyperlink"/>
            <w:rFonts w:cs="Arial"/>
          </w:rPr>
          <w:t>.org/</w:t>
        </w:r>
        <w:r w:rsidRPr="009336E0">
          <w:rPr>
            <w:rStyle w:val="Hyperlink"/>
            <w:rFonts w:cs="Arial"/>
          </w:rPr>
          <w:t>10.1177/0310057X19860161</w:t>
        </w:r>
      </w:hyperlink>
      <w:r w:rsidR="00F25924">
        <w:rPr>
          <w:rFonts w:cs="Arial"/>
        </w:rPr>
        <w:t>&gt;.</w:t>
      </w:r>
    </w:p>
    <w:p w14:paraId="1415144B" w14:textId="1E4C7093" w:rsidR="000E4493" w:rsidRPr="008843F0" w:rsidRDefault="000E4493" w:rsidP="000E4493">
      <w:pPr>
        <w:pStyle w:val="Body"/>
        <w:rPr>
          <w:rFonts w:cs="Arial"/>
        </w:rPr>
      </w:pPr>
      <w:r w:rsidRPr="008843F0">
        <w:rPr>
          <w:rFonts w:cs="Arial"/>
        </w:rPr>
        <w:t>Royal Children’s Hospital</w:t>
      </w:r>
      <w:r w:rsidRPr="008843F0">
        <w:t xml:space="preserve"> </w:t>
      </w:r>
      <w:proofErr w:type="spellStart"/>
      <w:r w:rsidR="00F25924">
        <w:t>nd</w:t>
      </w:r>
      <w:proofErr w:type="spellEnd"/>
      <w:r w:rsidR="00F25924">
        <w:t xml:space="preserve">, </w:t>
      </w:r>
      <w:r w:rsidRPr="002B2FD9">
        <w:rPr>
          <w:i/>
          <w:iCs/>
        </w:rPr>
        <w:t xml:space="preserve">Clinical </w:t>
      </w:r>
      <w:r w:rsidR="00F25924" w:rsidRPr="00F25924">
        <w:rPr>
          <w:i/>
          <w:iCs/>
        </w:rPr>
        <w:t>practice guidelines</w:t>
      </w:r>
      <w:r w:rsidR="00F25924">
        <w:rPr>
          <w:i/>
          <w:iCs/>
        </w:rPr>
        <w:t>:</w:t>
      </w:r>
      <w:r w:rsidR="00F25924" w:rsidRPr="00F25924">
        <w:rPr>
          <w:i/>
          <w:iCs/>
        </w:rPr>
        <w:t xml:space="preserve"> anaemia</w:t>
      </w:r>
      <w:r w:rsidR="00F25924">
        <w:t>, RCH, &lt;</w:t>
      </w:r>
      <w:hyperlink r:id="rId66" w:history="1">
        <w:r w:rsidR="00F25924" w:rsidRPr="009336E0">
          <w:rPr>
            <w:rStyle w:val="Hyperlink"/>
          </w:rPr>
          <w:t>https://www.rch.org.au/clinicalguide/guideline_index/Anaemia/&gt;,</w:t>
        </w:r>
      </w:hyperlink>
      <w:r w:rsidRPr="008F5214">
        <w:t xml:space="preserve"> accessed January 2021</w:t>
      </w:r>
      <w:r w:rsidR="00F25924">
        <w:t>.</w:t>
      </w:r>
    </w:p>
    <w:p w14:paraId="07B82B36" w14:textId="12C57608" w:rsidR="000E4493" w:rsidRPr="008843F0" w:rsidRDefault="000E4493" w:rsidP="000E4493">
      <w:pPr>
        <w:pStyle w:val="Body"/>
        <w:rPr>
          <w:rFonts w:cs="Arial"/>
        </w:rPr>
      </w:pPr>
      <w:r w:rsidRPr="008843F0">
        <w:rPr>
          <w:rFonts w:cs="Arial"/>
        </w:rPr>
        <w:t>Sang Medicine 2021,</w:t>
      </w:r>
      <w:r w:rsidR="00F25924">
        <w:rPr>
          <w:rFonts w:cs="Arial"/>
        </w:rPr>
        <w:t>’</w:t>
      </w:r>
      <w:r w:rsidRPr="008843F0">
        <w:rPr>
          <w:rFonts w:cs="Arial"/>
        </w:rPr>
        <w:t xml:space="preserve">Thromboelastography </w:t>
      </w:r>
      <w:r w:rsidR="00F25924">
        <w:rPr>
          <w:rFonts w:cs="Arial"/>
        </w:rPr>
        <w:t>(</w:t>
      </w:r>
      <w:r w:rsidRPr="008843F0">
        <w:rPr>
          <w:rFonts w:cs="Arial"/>
        </w:rPr>
        <w:t>TEG</w:t>
      </w:r>
      <w:r w:rsidR="00F25924">
        <w:rPr>
          <w:rFonts w:cs="Arial"/>
        </w:rPr>
        <w:t>)</w:t>
      </w:r>
      <w:r w:rsidR="00F25924" w:rsidRPr="008843F0">
        <w:rPr>
          <w:rFonts w:cs="Arial"/>
        </w:rPr>
        <w:t xml:space="preserve"> </w:t>
      </w:r>
      <w:r w:rsidR="00F25924">
        <w:rPr>
          <w:rFonts w:cs="Arial"/>
        </w:rPr>
        <w:t>and</w:t>
      </w:r>
      <w:r w:rsidR="00F25924" w:rsidRPr="008843F0">
        <w:rPr>
          <w:rFonts w:cs="Arial"/>
        </w:rPr>
        <w:t xml:space="preserve"> rotational </w:t>
      </w:r>
      <w:proofErr w:type="spellStart"/>
      <w:r w:rsidR="00F25924" w:rsidRPr="008843F0">
        <w:rPr>
          <w:rFonts w:cs="Arial"/>
        </w:rPr>
        <w:t>thromboelastometry</w:t>
      </w:r>
      <w:proofErr w:type="spellEnd"/>
      <w:r w:rsidR="00F25924" w:rsidRPr="008843F0">
        <w:rPr>
          <w:rFonts w:cs="Arial"/>
        </w:rPr>
        <w:t xml:space="preserve"> </w:t>
      </w:r>
      <w:r w:rsidR="00F25924">
        <w:rPr>
          <w:rFonts w:cs="Arial"/>
        </w:rPr>
        <w:t>(</w:t>
      </w:r>
      <w:r w:rsidRPr="008843F0">
        <w:rPr>
          <w:rFonts w:cs="Arial"/>
        </w:rPr>
        <w:t>ROTEM</w:t>
      </w:r>
      <w:r w:rsidR="00F25924">
        <w:rPr>
          <w:rFonts w:cs="Arial"/>
        </w:rPr>
        <w:t xml:space="preserve">)’, Practical </w:t>
      </w:r>
      <w:proofErr w:type="spellStart"/>
      <w:r w:rsidR="00F25924">
        <w:rPr>
          <w:rFonts w:cs="Arial"/>
        </w:rPr>
        <w:t>Haemostatis</w:t>
      </w:r>
      <w:proofErr w:type="spellEnd"/>
      <w:r w:rsidR="00F25924">
        <w:rPr>
          <w:rFonts w:cs="Arial"/>
        </w:rPr>
        <w:t xml:space="preserve">, </w:t>
      </w:r>
      <w:r w:rsidRPr="008843F0">
        <w:rPr>
          <w:rFonts w:cs="Arial"/>
        </w:rPr>
        <w:t>&lt;</w:t>
      </w:r>
      <w:hyperlink r:id="rId67" w:history="1">
        <w:r w:rsidR="00F25924" w:rsidRPr="009336E0">
          <w:rPr>
            <w:rStyle w:val="Hyperlink"/>
          </w:rPr>
          <w:t>https://practical-haemostasis.com/Miscellaneous/Global%20Assays/teg_rotem.html</w:t>
        </w:r>
      </w:hyperlink>
      <w:r w:rsidRPr="008843F0">
        <w:rPr>
          <w:rFonts w:cs="Arial"/>
        </w:rPr>
        <w:t>&gt;</w:t>
      </w:r>
      <w:r w:rsidR="00F25924">
        <w:rPr>
          <w:rFonts w:cs="Arial"/>
        </w:rPr>
        <w:t>.</w:t>
      </w:r>
    </w:p>
    <w:p w14:paraId="3F5E5F4E" w14:textId="64A2714A" w:rsidR="000E4493" w:rsidRPr="003C2836" w:rsidRDefault="000E4493" w:rsidP="000E4493">
      <w:pPr>
        <w:pStyle w:val="Body"/>
      </w:pPr>
      <w:proofErr w:type="spellStart"/>
      <w:r w:rsidRPr="008843F0">
        <w:rPr>
          <w:rFonts w:cs="Arial"/>
        </w:rPr>
        <w:t>Tegegne</w:t>
      </w:r>
      <w:proofErr w:type="spellEnd"/>
      <w:r w:rsidRPr="008843F0">
        <w:rPr>
          <w:rFonts w:cs="Arial"/>
        </w:rPr>
        <w:t xml:space="preserve">, </w:t>
      </w:r>
      <w:proofErr w:type="spellStart"/>
      <w:r w:rsidRPr="008843F0">
        <w:rPr>
          <w:rFonts w:cs="Arial"/>
        </w:rPr>
        <w:t>Gebregzi</w:t>
      </w:r>
      <w:proofErr w:type="spellEnd"/>
      <w:r w:rsidRPr="008843F0">
        <w:rPr>
          <w:rFonts w:cs="Arial"/>
        </w:rPr>
        <w:t xml:space="preserve">, </w:t>
      </w:r>
      <w:proofErr w:type="spellStart"/>
      <w:r w:rsidRPr="008843F0">
        <w:rPr>
          <w:rFonts w:cs="Arial"/>
        </w:rPr>
        <w:t>Arefayne</w:t>
      </w:r>
      <w:proofErr w:type="spellEnd"/>
      <w:r w:rsidRPr="008843F0">
        <w:rPr>
          <w:rFonts w:cs="Arial"/>
        </w:rPr>
        <w:t xml:space="preserve"> 2021, </w:t>
      </w:r>
      <w:r w:rsidR="00F25924">
        <w:rPr>
          <w:rFonts w:cs="Arial"/>
        </w:rPr>
        <w:t>‘</w:t>
      </w:r>
      <w:r w:rsidRPr="008843F0">
        <w:rPr>
          <w:rFonts w:cs="Arial"/>
        </w:rPr>
        <w:t>Deliberate hypotension as a mechanism to decrease intraoperative surgical site blood loss in resource limited setting: A systematic review and guideline</w:t>
      </w:r>
      <w:r w:rsidR="00F25924">
        <w:rPr>
          <w:rFonts w:cs="Arial"/>
        </w:rPr>
        <w:t>’</w:t>
      </w:r>
      <w:r w:rsidRPr="008843F0">
        <w:rPr>
          <w:rFonts w:cs="Arial"/>
        </w:rPr>
        <w:t xml:space="preserve">, </w:t>
      </w:r>
      <w:r w:rsidRPr="002B2FD9">
        <w:rPr>
          <w:rFonts w:cs="Arial"/>
          <w:i/>
          <w:iCs/>
        </w:rPr>
        <w:t>I</w:t>
      </w:r>
      <w:r w:rsidRPr="008843F0">
        <w:rPr>
          <w:rFonts w:cs="Arial"/>
          <w:i/>
        </w:rPr>
        <w:t>nternational Journal of Surgery Open</w:t>
      </w:r>
      <w:r w:rsidRPr="008843F0">
        <w:rPr>
          <w:rFonts w:cs="Arial"/>
        </w:rPr>
        <w:t xml:space="preserve">, </w:t>
      </w:r>
      <w:r w:rsidR="00F25924">
        <w:rPr>
          <w:rFonts w:cs="Arial"/>
        </w:rPr>
        <w:t>vol.</w:t>
      </w:r>
      <w:r w:rsidR="00F25924" w:rsidRPr="008843F0">
        <w:rPr>
          <w:rFonts w:cs="Arial"/>
        </w:rPr>
        <w:t xml:space="preserve"> </w:t>
      </w:r>
      <w:r w:rsidRPr="008843F0">
        <w:rPr>
          <w:rFonts w:cs="Arial"/>
        </w:rPr>
        <w:t>29</w:t>
      </w:r>
      <w:r w:rsidR="00F25924">
        <w:rPr>
          <w:rFonts w:cs="Arial"/>
        </w:rPr>
        <w:t>, pp.</w:t>
      </w:r>
      <w:r w:rsidR="00F25924" w:rsidRPr="008843F0">
        <w:rPr>
          <w:rFonts w:cs="Arial"/>
        </w:rPr>
        <w:t xml:space="preserve"> </w:t>
      </w:r>
      <w:r w:rsidRPr="008843F0">
        <w:rPr>
          <w:rFonts w:cs="Arial"/>
        </w:rPr>
        <w:t>55</w:t>
      </w:r>
      <w:r w:rsidR="00F25924">
        <w:rPr>
          <w:rFonts w:cs="Arial"/>
        </w:rPr>
        <w:t>–</w:t>
      </w:r>
      <w:r w:rsidRPr="008843F0">
        <w:rPr>
          <w:rFonts w:cs="Arial"/>
        </w:rPr>
        <w:t>65,</w:t>
      </w:r>
      <w:r w:rsidRPr="008843F0">
        <w:t xml:space="preserve"> </w:t>
      </w:r>
      <w:r w:rsidR="00F25924">
        <w:t>&lt;</w:t>
      </w:r>
      <w:hyperlink r:id="rId68" w:history="1">
        <w:r w:rsidR="00F25924" w:rsidRPr="009336E0">
          <w:rPr>
            <w:rStyle w:val="Hyperlink"/>
          </w:rPr>
          <w:t>https://doi.org/10.1016/j.ijso.2020.11.019</w:t>
        </w:r>
      </w:hyperlink>
      <w:r w:rsidR="00F25924">
        <w:t>&gt;.</w:t>
      </w:r>
    </w:p>
    <w:p w14:paraId="227AFF04" w14:textId="77FD8D34" w:rsidR="000E4493" w:rsidRPr="008843F0" w:rsidRDefault="000E4493" w:rsidP="000E4493">
      <w:pPr>
        <w:pStyle w:val="Body"/>
        <w:rPr>
          <w:rFonts w:cs="Arial"/>
          <w:color w:val="333333"/>
          <w:shd w:val="clear" w:color="auto" w:fill="FFFFFF"/>
        </w:rPr>
      </w:pPr>
      <w:r w:rsidRPr="008843F0">
        <w:rPr>
          <w:rFonts w:cs="Arial"/>
          <w:color w:val="333333"/>
          <w:shd w:val="clear" w:color="auto" w:fill="FFFFFF"/>
        </w:rPr>
        <w:t>UpToDate 2019a, </w:t>
      </w:r>
      <w:r w:rsidR="00F25924">
        <w:rPr>
          <w:rFonts w:cs="Arial"/>
          <w:color w:val="333333"/>
          <w:shd w:val="clear" w:color="auto" w:fill="FFFFFF"/>
        </w:rPr>
        <w:t>‘</w:t>
      </w:r>
      <w:r w:rsidRPr="008843F0">
        <w:rPr>
          <w:rFonts w:cs="Arial"/>
          <w:bCs/>
          <w:color w:val="232323"/>
          <w:shd w:val="clear" w:color="auto" w:fill="FFFFFF"/>
        </w:rPr>
        <w:t xml:space="preserve">Surgical blood conservation: </w:t>
      </w:r>
      <w:r w:rsidR="00F25924">
        <w:rPr>
          <w:rFonts w:cs="Arial"/>
          <w:bCs/>
          <w:color w:val="232323"/>
          <w:shd w:val="clear" w:color="auto" w:fill="FFFFFF"/>
        </w:rPr>
        <w:t>b</w:t>
      </w:r>
      <w:r w:rsidR="00F25924" w:rsidRPr="008843F0">
        <w:rPr>
          <w:rFonts w:cs="Arial"/>
          <w:bCs/>
          <w:color w:val="232323"/>
          <w:shd w:val="clear" w:color="auto" w:fill="FFFFFF"/>
        </w:rPr>
        <w:t xml:space="preserve">lood </w:t>
      </w:r>
      <w:r w:rsidRPr="008843F0">
        <w:rPr>
          <w:rFonts w:cs="Arial"/>
          <w:bCs/>
          <w:color w:val="232323"/>
          <w:shd w:val="clear" w:color="auto" w:fill="FFFFFF"/>
        </w:rPr>
        <w:t>salvage</w:t>
      </w:r>
      <w:r w:rsidR="00F25924">
        <w:rPr>
          <w:rFonts w:cs="Arial"/>
          <w:bCs/>
          <w:color w:val="232323"/>
          <w:shd w:val="clear" w:color="auto" w:fill="FFFFFF"/>
        </w:rPr>
        <w:t>’</w:t>
      </w:r>
      <w:r w:rsidRPr="008843F0">
        <w:rPr>
          <w:rFonts w:cs="Arial"/>
          <w:color w:val="333333"/>
          <w:shd w:val="clear" w:color="auto" w:fill="FFFFFF"/>
        </w:rPr>
        <w:t xml:space="preserve">, </w:t>
      </w:r>
      <w:r w:rsidRPr="008843F0">
        <w:rPr>
          <w:rFonts w:cs="Arial"/>
          <w:color w:val="000000"/>
          <w:shd w:val="clear" w:color="auto" w:fill="FFFFFF"/>
        </w:rPr>
        <w:t>&lt;</w:t>
      </w:r>
      <w:hyperlink r:id="rId69" w:history="1">
        <w:r w:rsidRPr="009336E0">
          <w:rPr>
            <w:rStyle w:val="Hyperlink"/>
            <w:rFonts w:cs="Arial"/>
            <w:shd w:val="clear" w:color="auto" w:fill="FFFFFF"/>
          </w:rPr>
          <w:t>https://www.uptodate.com/contents/surgical-blood-conservation-blood-salvage</w:t>
        </w:r>
      </w:hyperlink>
      <w:r w:rsidR="00F25924">
        <w:rPr>
          <w:rFonts w:cs="Arial"/>
          <w:color w:val="000000"/>
          <w:shd w:val="clear" w:color="auto" w:fill="FFFFFF"/>
        </w:rPr>
        <w:t xml:space="preserve">&gt;, </w:t>
      </w:r>
      <w:r w:rsidR="00F25924" w:rsidRPr="008843F0">
        <w:rPr>
          <w:rFonts w:cs="Arial"/>
        </w:rPr>
        <w:t>accessed 15 Feb 2021</w:t>
      </w:r>
      <w:r w:rsidR="00F25924">
        <w:rPr>
          <w:rFonts w:cs="Arial"/>
          <w:color w:val="333333"/>
          <w:shd w:val="clear" w:color="auto" w:fill="FFFFFF"/>
        </w:rPr>
        <w:t>.</w:t>
      </w:r>
    </w:p>
    <w:p w14:paraId="2D9F6F28" w14:textId="25AEEDFE" w:rsidR="000E4493" w:rsidRDefault="000E4493" w:rsidP="000E4493">
      <w:pPr>
        <w:pStyle w:val="Body"/>
        <w:rPr>
          <w:rFonts w:cs="Arial"/>
          <w:color w:val="333333"/>
          <w:shd w:val="clear" w:color="auto" w:fill="FFFFFF"/>
        </w:rPr>
      </w:pPr>
      <w:r w:rsidRPr="008843F0">
        <w:rPr>
          <w:rFonts w:cs="Arial"/>
          <w:color w:val="333333"/>
          <w:shd w:val="clear" w:color="auto" w:fill="FFFFFF"/>
        </w:rPr>
        <w:t>UpToDate 2019b ,</w:t>
      </w:r>
      <w:r w:rsidRPr="008843F0">
        <w:rPr>
          <w:rFonts w:cs="Arial"/>
          <w:b/>
          <w:bCs/>
          <w:color w:val="232323"/>
          <w:shd w:val="clear" w:color="auto" w:fill="FFFFFF"/>
        </w:rPr>
        <w:t xml:space="preserve"> </w:t>
      </w:r>
      <w:r w:rsidR="00F25924">
        <w:rPr>
          <w:rFonts w:cs="Arial"/>
          <w:b/>
          <w:bCs/>
          <w:color w:val="232323"/>
          <w:shd w:val="clear" w:color="auto" w:fill="FFFFFF"/>
        </w:rPr>
        <w:t>‘</w:t>
      </w:r>
      <w:r w:rsidRPr="008843F0">
        <w:rPr>
          <w:rFonts w:cs="Arial"/>
          <w:bCs/>
          <w:color w:val="232323"/>
          <w:shd w:val="clear" w:color="auto" w:fill="FFFFFF"/>
        </w:rPr>
        <w:t>Acute normovolemic hemodilution</w:t>
      </w:r>
      <w:r w:rsidR="00F25924">
        <w:rPr>
          <w:rFonts w:cs="Arial"/>
          <w:bCs/>
          <w:color w:val="232323"/>
          <w:shd w:val="clear" w:color="auto" w:fill="FFFFFF"/>
        </w:rPr>
        <w:t>’</w:t>
      </w:r>
      <w:r w:rsidRPr="008843F0">
        <w:rPr>
          <w:rFonts w:cs="Arial"/>
          <w:bCs/>
          <w:color w:val="232323"/>
          <w:shd w:val="clear" w:color="auto" w:fill="FFFFFF"/>
        </w:rPr>
        <w:t>,</w:t>
      </w:r>
      <w:r w:rsidRPr="008843F0">
        <w:rPr>
          <w:rFonts w:cs="Arial"/>
          <w:color w:val="333333"/>
          <w:shd w:val="clear" w:color="auto" w:fill="FFFFFF"/>
        </w:rPr>
        <w:t xml:space="preserve"> &lt;</w:t>
      </w:r>
      <w:hyperlink r:id="rId70" w:history="1">
        <w:r w:rsidRPr="009336E0">
          <w:rPr>
            <w:rStyle w:val="Hyperlink"/>
            <w:rFonts w:cs="Arial"/>
          </w:rPr>
          <w:t>https://www.uptodate.com/contents/surgical-blood-conservation-acute-normovolemic-hemodilution</w:t>
        </w:r>
      </w:hyperlink>
      <w:r w:rsidR="00F25924">
        <w:rPr>
          <w:rFonts w:cs="Arial"/>
        </w:rPr>
        <w:t>&gt;,</w:t>
      </w:r>
      <w:r w:rsidRPr="008843F0">
        <w:rPr>
          <w:rFonts w:cs="Arial"/>
        </w:rPr>
        <w:t xml:space="preserve"> </w:t>
      </w:r>
      <w:r w:rsidR="00F25924" w:rsidRPr="008843F0">
        <w:rPr>
          <w:rFonts w:cs="Arial"/>
        </w:rPr>
        <w:t>accessed 15 Feb 2021</w:t>
      </w:r>
      <w:r w:rsidR="00F25924" w:rsidRPr="008843F0">
        <w:rPr>
          <w:rFonts w:cs="Arial"/>
          <w:color w:val="333333"/>
          <w:shd w:val="clear" w:color="auto" w:fill="FFFFFF"/>
        </w:rPr>
        <w:t>, </w:t>
      </w:r>
    </w:p>
    <w:p w14:paraId="4E2A1C87" w14:textId="582236A4" w:rsidR="0081407B" w:rsidRPr="0081407B" w:rsidRDefault="0081407B" w:rsidP="0081407B">
      <w:pPr>
        <w:rPr>
          <w:rFonts w:cs="Arial"/>
        </w:rPr>
      </w:pPr>
      <w:proofErr w:type="gramStart"/>
      <w:r w:rsidRPr="0081407B">
        <w:t>WHO.</w:t>
      </w:r>
      <w:proofErr w:type="gramEnd"/>
      <w:r w:rsidRPr="0081407B">
        <w:t xml:space="preserve"> Haemoglobin concentrations for the diagnosis of anaemia and assessment of severity. Vitamin and Mineral Nutrition Information System. Geneva, World Health Organization, 2011 (WHO/NMH/NHD/MNM/11.1) (</w:t>
      </w:r>
      <w:hyperlink r:id="rId71" w:history="1">
        <w:r w:rsidRPr="009336E0">
          <w:rPr>
            <w:rStyle w:val="Hyperlink"/>
          </w:rPr>
          <w:t>http://www.who.int/vmnis/indicators/haemoglobin.pdf</w:t>
        </w:r>
      </w:hyperlink>
      <w:r w:rsidRPr="0081407B">
        <w:t>, accessed June 2021).</w:t>
      </w:r>
    </w:p>
    <w:p w14:paraId="5A831D5D" w14:textId="77777777" w:rsidR="0081407B" w:rsidRPr="008843F0" w:rsidRDefault="0081407B" w:rsidP="000E4493">
      <w:pPr>
        <w:pStyle w:val="Body"/>
        <w:rPr>
          <w:rFonts w:cs="Arial"/>
          <w:b/>
        </w:rPr>
      </w:pPr>
    </w:p>
    <w:p w14:paraId="58782AB2" w14:textId="77777777" w:rsidR="000E4493" w:rsidRPr="008843F0" w:rsidRDefault="000E4493" w:rsidP="000E4493">
      <w:pPr>
        <w:pStyle w:val="Body"/>
        <w:rPr>
          <w:rFonts w:cs="Arial"/>
          <w:b/>
        </w:rPr>
      </w:pPr>
      <w:r w:rsidRPr="008843F0">
        <w:rPr>
          <w:rFonts w:cs="Arial"/>
          <w:b/>
        </w:rPr>
        <w:br w:type="page"/>
      </w:r>
    </w:p>
    <w:p w14:paraId="150ACE5A" w14:textId="23F6B3A2" w:rsidR="000E4493" w:rsidRDefault="000E4493" w:rsidP="002B2FD9">
      <w:pPr>
        <w:pStyle w:val="Heading1"/>
      </w:pPr>
      <w:bookmarkStart w:id="107" w:name="_Toc69106580"/>
      <w:bookmarkStart w:id="108" w:name="_Toc72314134"/>
      <w:bookmarkStart w:id="109" w:name="_Toc78958792"/>
      <w:r w:rsidRPr="008843F0">
        <w:lastRenderedPageBreak/>
        <w:t>Appendix 1</w:t>
      </w:r>
      <w:r w:rsidR="001A3111">
        <w:t>:</w:t>
      </w:r>
      <w:r w:rsidRPr="008843F0">
        <w:t xml:space="preserve"> Data comparison of the 2015 and 2020 audit results</w:t>
      </w:r>
      <w:bookmarkEnd w:id="107"/>
      <w:bookmarkEnd w:id="108"/>
      <w:bookmarkEnd w:id="109"/>
    </w:p>
    <w:p w14:paraId="4A561AE1" w14:textId="0F13A1C3" w:rsidR="002F2114" w:rsidRPr="002F2114" w:rsidRDefault="002F2114" w:rsidP="002F2114">
      <w:pPr>
        <w:pStyle w:val="Heading2"/>
      </w:pPr>
      <w:bookmarkStart w:id="110" w:name="_Toc78958793"/>
      <w:r>
        <w:t>Preoperative</w:t>
      </w:r>
      <w:bookmarkEnd w:id="110"/>
    </w:p>
    <w:tbl>
      <w:tblPr>
        <w:tblStyle w:val="TableGrid5"/>
        <w:tblW w:w="0" w:type="auto"/>
        <w:tblLook w:val="04A0" w:firstRow="1" w:lastRow="0" w:firstColumn="1" w:lastColumn="0" w:noHBand="0" w:noVBand="1"/>
      </w:tblPr>
      <w:tblGrid>
        <w:gridCol w:w="5336"/>
        <w:gridCol w:w="1834"/>
        <w:gridCol w:w="1782"/>
      </w:tblGrid>
      <w:tr w:rsidR="000E4493" w:rsidRPr="008843F0" w14:paraId="126F85CD" w14:textId="77777777" w:rsidTr="002B2FD9">
        <w:trPr>
          <w:tblHeader/>
        </w:trPr>
        <w:tc>
          <w:tcPr>
            <w:tcW w:w="5336" w:type="dxa"/>
          </w:tcPr>
          <w:p w14:paraId="5A9B0472" w14:textId="77777777" w:rsidR="000E4493" w:rsidRPr="008843F0" w:rsidRDefault="000E4493" w:rsidP="002B2FD9">
            <w:pPr>
              <w:pStyle w:val="Tablecolhead"/>
            </w:pPr>
            <w:r w:rsidRPr="008843F0">
              <w:t>Module 2 criteria</w:t>
            </w:r>
          </w:p>
        </w:tc>
        <w:tc>
          <w:tcPr>
            <w:tcW w:w="1834" w:type="dxa"/>
          </w:tcPr>
          <w:p w14:paraId="08067AA2" w14:textId="5E8AB892" w:rsidR="000E4493" w:rsidRPr="008843F0" w:rsidRDefault="000E4493" w:rsidP="002B2FD9">
            <w:pPr>
              <w:pStyle w:val="Tablecolhead"/>
            </w:pPr>
            <w:r w:rsidRPr="008843F0">
              <w:t>2015 (n</w:t>
            </w:r>
            <w:r w:rsidR="001A3111">
              <w:t xml:space="preserve"> </w:t>
            </w:r>
            <w:r w:rsidRPr="008843F0">
              <w:t>=</w:t>
            </w:r>
            <w:r w:rsidR="001A3111">
              <w:t xml:space="preserve"> </w:t>
            </w:r>
            <w:r w:rsidRPr="008843F0">
              <w:t>1,142)</w:t>
            </w:r>
          </w:p>
        </w:tc>
        <w:tc>
          <w:tcPr>
            <w:tcW w:w="1782" w:type="dxa"/>
          </w:tcPr>
          <w:p w14:paraId="7B9B5DEF" w14:textId="0E3B501C" w:rsidR="000E4493" w:rsidRPr="008843F0" w:rsidRDefault="000E4493" w:rsidP="002B2FD9">
            <w:pPr>
              <w:pStyle w:val="Tablecolhead"/>
            </w:pPr>
            <w:r w:rsidRPr="008843F0">
              <w:t>2020 (n</w:t>
            </w:r>
            <w:r w:rsidR="001A3111">
              <w:t xml:space="preserve"> </w:t>
            </w:r>
            <w:r w:rsidRPr="008843F0">
              <w:t>=</w:t>
            </w:r>
            <w:r w:rsidR="001A3111">
              <w:t xml:space="preserve"> </w:t>
            </w:r>
            <w:r w:rsidRPr="008843F0">
              <w:t>1,541)</w:t>
            </w:r>
          </w:p>
        </w:tc>
      </w:tr>
      <w:tr w:rsidR="000E4493" w:rsidRPr="008843F0" w14:paraId="06730A11" w14:textId="77777777" w:rsidTr="003C2836">
        <w:tc>
          <w:tcPr>
            <w:tcW w:w="5336" w:type="dxa"/>
          </w:tcPr>
          <w:p w14:paraId="5B6CB335" w14:textId="77777777" w:rsidR="000E4493" w:rsidRPr="008843F0" w:rsidRDefault="000E4493" w:rsidP="003C2836">
            <w:pPr>
              <w:pStyle w:val="Body"/>
              <w:rPr>
                <w:rFonts w:cs="Arial"/>
              </w:rPr>
            </w:pPr>
            <w:r w:rsidRPr="008843F0">
              <w:rPr>
                <w:rFonts w:cs="Arial"/>
              </w:rPr>
              <w:t>Documented as preoperatively screened*</w:t>
            </w:r>
          </w:p>
        </w:tc>
        <w:tc>
          <w:tcPr>
            <w:tcW w:w="1834" w:type="dxa"/>
          </w:tcPr>
          <w:p w14:paraId="7423D8C2" w14:textId="4D1D5EA9" w:rsidR="000E4493" w:rsidRPr="008843F0" w:rsidRDefault="000E4493" w:rsidP="002B2FD9">
            <w:pPr>
              <w:pStyle w:val="Body"/>
              <w:jc w:val="right"/>
              <w:rPr>
                <w:rFonts w:cs="Arial"/>
              </w:rPr>
            </w:pPr>
            <w:r w:rsidRPr="008843F0">
              <w:rPr>
                <w:rFonts w:cs="Arial"/>
              </w:rPr>
              <w:t>1</w:t>
            </w:r>
            <w:r w:rsidR="001A3111">
              <w:rPr>
                <w:rFonts w:cs="Arial"/>
              </w:rPr>
              <w:t>,</w:t>
            </w:r>
            <w:r w:rsidRPr="008843F0">
              <w:rPr>
                <w:rFonts w:cs="Arial"/>
              </w:rPr>
              <w:t>057 (93%)</w:t>
            </w:r>
          </w:p>
        </w:tc>
        <w:tc>
          <w:tcPr>
            <w:tcW w:w="1782" w:type="dxa"/>
          </w:tcPr>
          <w:p w14:paraId="1E3F88E2" w14:textId="77777777" w:rsidR="000E4493" w:rsidRPr="008843F0" w:rsidRDefault="000E4493" w:rsidP="002B2FD9">
            <w:pPr>
              <w:pStyle w:val="Body"/>
              <w:jc w:val="right"/>
              <w:rPr>
                <w:rFonts w:cs="Arial"/>
              </w:rPr>
            </w:pPr>
            <w:r w:rsidRPr="008843F0">
              <w:rPr>
                <w:rFonts w:cs="Arial"/>
              </w:rPr>
              <w:t>1,250 (81%)</w:t>
            </w:r>
          </w:p>
        </w:tc>
      </w:tr>
      <w:tr w:rsidR="001A3111" w:rsidRPr="008843F0" w14:paraId="2669DC83" w14:textId="77777777" w:rsidTr="003C2836">
        <w:tc>
          <w:tcPr>
            <w:tcW w:w="5336" w:type="dxa"/>
          </w:tcPr>
          <w:p w14:paraId="5E97842D" w14:textId="3D875A20" w:rsidR="001A3111" w:rsidRPr="008843F0" w:rsidRDefault="001A3111" w:rsidP="003C2836">
            <w:pPr>
              <w:pStyle w:val="Body"/>
              <w:rPr>
                <w:rFonts w:cs="Arial"/>
              </w:rPr>
            </w:pPr>
            <w:r>
              <w:rPr>
                <w:rFonts w:cs="Arial"/>
              </w:rPr>
              <w:t>Screening included FBE</w:t>
            </w:r>
          </w:p>
        </w:tc>
        <w:tc>
          <w:tcPr>
            <w:tcW w:w="1834" w:type="dxa"/>
          </w:tcPr>
          <w:p w14:paraId="75B6A7AF" w14:textId="05D4101D" w:rsidR="001A3111" w:rsidRPr="008843F0" w:rsidRDefault="001A3111" w:rsidP="002B2FD9">
            <w:pPr>
              <w:pStyle w:val="Body"/>
              <w:jc w:val="right"/>
              <w:rPr>
                <w:rFonts w:cs="Arial"/>
              </w:rPr>
            </w:pPr>
            <w:r w:rsidRPr="008843F0">
              <w:rPr>
                <w:rFonts w:cs="Arial"/>
              </w:rPr>
              <w:t>1027(97%)</w:t>
            </w:r>
          </w:p>
        </w:tc>
        <w:tc>
          <w:tcPr>
            <w:tcW w:w="1782" w:type="dxa"/>
          </w:tcPr>
          <w:p w14:paraId="7B4BCFA5" w14:textId="38FABA91" w:rsidR="001A3111" w:rsidRPr="008843F0" w:rsidRDefault="001A3111" w:rsidP="002B2FD9">
            <w:pPr>
              <w:pStyle w:val="Body"/>
              <w:jc w:val="right"/>
              <w:rPr>
                <w:rFonts w:cs="Arial"/>
              </w:rPr>
            </w:pPr>
            <w:r w:rsidRPr="008843F0">
              <w:rPr>
                <w:rFonts w:cs="Arial"/>
              </w:rPr>
              <w:t>1,198 (96%)</w:t>
            </w:r>
          </w:p>
        </w:tc>
      </w:tr>
      <w:tr w:rsidR="000E4493" w:rsidRPr="008843F0" w14:paraId="10012B90" w14:textId="77777777" w:rsidTr="003C2836">
        <w:tc>
          <w:tcPr>
            <w:tcW w:w="5336" w:type="dxa"/>
          </w:tcPr>
          <w:p w14:paraId="43F8A819" w14:textId="06697B18" w:rsidR="000E4493" w:rsidRPr="008843F0" w:rsidRDefault="000E4493" w:rsidP="003C2836">
            <w:pPr>
              <w:pStyle w:val="Body"/>
              <w:rPr>
                <w:rFonts w:cs="Arial"/>
              </w:rPr>
            </w:pPr>
            <w:r w:rsidRPr="008843F0">
              <w:rPr>
                <w:rFonts w:cs="Arial"/>
              </w:rPr>
              <w:t>Screening included</w:t>
            </w:r>
            <w:r w:rsidR="001A3111">
              <w:rPr>
                <w:rFonts w:cs="Arial"/>
              </w:rPr>
              <w:t xml:space="preserve"> </w:t>
            </w:r>
            <w:r w:rsidR="005157DF">
              <w:rPr>
                <w:rFonts w:cs="Arial"/>
              </w:rPr>
              <w:t>f</w:t>
            </w:r>
            <w:r w:rsidRPr="008843F0">
              <w:rPr>
                <w:rFonts w:cs="Arial"/>
              </w:rPr>
              <w:t>erritin</w:t>
            </w:r>
          </w:p>
        </w:tc>
        <w:tc>
          <w:tcPr>
            <w:tcW w:w="1834" w:type="dxa"/>
          </w:tcPr>
          <w:p w14:paraId="5BDBEDA1" w14:textId="77777777" w:rsidR="000E4493" w:rsidRPr="008843F0" w:rsidRDefault="000E4493" w:rsidP="002B2FD9">
            <w:pPr>
              <w:pStyle w:val="Body"/>
              <w:jc w:val="right"/>
              <w:rPr>
                <w:rFonts w:cs="Arial"/>
              </w:rPr>
            </w:pPr>
            <w:r w:rsidRPr="008843F0">
              <w:rPr>
                <w:rFonts w:cs="Arial"/>
              </w:rPr>
              <w:t>268 (25%)</w:t>
            </w:r>
          </w:p>
        </w:tc>
        <w:tc>
          <w:tcPr>
            <w:tcW w:w="1782" w:type="dxa"/>
          </w:tcPr>
          <w:p w14:paraId="1656838B" w14:textId="77777777" w:rsidR="000E4493" w:rsidRPr="00E17191" w:rsidRDefault="000E4493" w:rsidP="002B2FD9">
            <w:pPr>
              <w:pStyle w:val="Body"/>
              <w:jc w:val="right"/>
              <w:rPr>
                <w:rFonts w:cs="Arial"/>
              </w:rPr>
            </w:pPr>
            <w:r w:rsidRPr="00E17191">
              <w:rPr>
                <w:rFonts w:cs="Arial"/>
              </w:rPr>
              <w:t>588 (47%)</w:t>
            </w:r>
          </w:p>
        </w:tc>
      </w:tr>
      <w:tr w:rsidR="000E4493" w:rsidRPr="008843F0" w14:paraId="31E21CFA" w14:textId="77777777" w:rsidTr="003C2836">
        <w:tc>
          <w:tcPr>
            <w:tcW w:w="5336" w:type="dxa"/>
          </w:tcPr>
          <w:p w14:paraId="17F0F268" w14:textId="77777777" w:rsidR="000E4493" w:rsidRPr="008843F0" w:rsidRDefault="000E4493" w:rsidP="003C2836">
            <w:pPr>
              <w:pStyle w:val="Body"/>
              <w:rPr>
                <w:rFonts w:cs="Arial"/>
              </w:rPr>
            </w:pPr>
            <w:r w:rsidRPr="008843F0">
              <w:rPr>
                <w:rFonts w:cs="Arial"/>
              </w:rPr>
              <w:t>Timely screening (&gt;4 weeks prior surgery)</w:t>
            </w:r>
          </w:p>
        </w:tc>
        <w:tc>
          <w:tcPr>
            <w:tcW w:w="1834" w:type="dxa"/>
          </w:tcPr>
          <w:p w14:paraId="11903103" w14:textId="77777777" w:rsidR="000E4493" w:rsidRPr="008843F0" w:rsidRDefault="000E4493" w:rsidP="002B2FD9">
            <w:pPr>
              <w:pStyle w:val="Body"/>
              <w:jc w:val="right"/>
              <w:rPr>
                <w:rFonts w:cs="Arial"/>
              </w:rPr>
            </w:pPr>
            <w:r w:rsidRPr="008843F0">
              <w:rPr>
                <w:rFonts w:cs="Arial"/>
              </w:rPr>
              <w:t>335 (32%)</w:t>
            </w:r>
          </w:p>
        </w:tc>
        <w:tc>
          <w:tcPr>
            <w:tcW w:w="1782" w:type="dxa"/>
          </w:tcPr>
          <w:p w14:paraId="63B50087" w14:textId="77777777" w:rsidR="000E4493" w:rsidRPr="008843F0" w:rsidRDefault="000E4493" w:rsidP="002B2FD9">
            <w:pPr>
              <w:pStyle w:val="Body"/>
              <w:jc w:val="right"/>
              <w:rPr>
                <w:rFonts w:cs="Arial"/>
              </w:rPr>
            </w:pPr>
            <w:r w:rsidRPr="008843F0">
              <w:rPr>
                <w:rFonts w:cs="Arial"/>
              </w:rPr>
              <w:t>498 (40%)</w:t>
            </w:r>
          </w:p>
        </w:tc>
      </w:tr>
      <w:tr w:rsidR="000E4493" w:rsidRPr="008843F0" w14:paraId="5969250E" w14:textId="77777777" w:rsidTr="003C2836">
        <w:tc>
          <w:tcPr>
            <w:tcW w:w="5336" w:type="dxa"/>
          </w:tcPr>
          <w:p w14:paraId="4A7E65CE" w14:textId="09F0F2F1" w:rsidR="000E4493" w:rsidRPr="008843F0" w:rsidRDefault="001A3111" w:rsidP="003C2836">
            <w:pPr>
              <w:pStyle w:val="Body"/>
              <w:rPr>
                <w:rFonts w:cs="Arial"/>
              </w:rPr>
            </w:pPr>
            <w:r>
              <w:rPr>
                <w:rFonts w:cs="Arial"/>
              </w:rPr>
              <w:t>‘</w:t>
            </w:r>
            <w:r w:rsidR="000E4493" w:rsidRPr="008843F0">
              <w:rPr>
                <w:rFonts w:cs="Arial"/>
              </w:rPr>
              <w:t>Quality</w:t>
            </w:r>
            <w:r>
              <w:rPr>
                <w:rFonts w:cs="Arial"/>
              </w:rPr>
              <w:t>’</w:t>
            </w:r>
            <w:r w:rsidRPr="008843F0">
              <w:rPr>
                <w:rFonts w:cs="Arial"/>
              </w:rPr>
              <w:t xml:space="preserve"> </w:t>
            </w:r>
            <w:r w:rsidR="000E4493" w:rsidRPr="008843F0">
              <w:rPr>
                <w:rFonts w:cs="Arial"/>
              </w:rPr>
              <w:t>screening (timely and pathology)</w:t>
            </w:r>
          </w:p>
        </w:tc>
        <w:tc>
          <w:tcPr>
            <w:tcW w:w="1834" w:type="dxa"/>
          </w:tcPr>
          <w:p w14:paraId="6E147882" w14:textId="77777777" w:rsidR="000E4493" w:rsidRPr="008843F0" w:rsidRDefault="000E4493" w:rsidP="002B2FD9">
            <w:pPr>
              <w:pStyle w:val="Body"/>
              <w:jc w:val="right"/>
              <w:rPr>
                <w:rFonts w:cs="Arial"/>
              </w:rPr>
            </w:pPr>
            <w:r w:rsidRPr="008843F0">
              <w:rPr>
                <w:rFonts w:cs="Arial"/>
              </w:rPr>
              <w:t>101 (9%)</w:t>
            </w:r>
          </w:p>
        </w:tc>
        <w:tc>
          <w:tcPr>
            <w:tcW w:w="1782" w:type="dxa"/>
          </w:tcPr>
          <w:p w14:paraId="226009EA" w14:textId="77777777" w:rsidR="000E4493" w:rsidRPr="00E17191" w:rsidRDefault="000E4493" w:rsidP="002B2FD9">
            <w:pPr>
              <w:pStyle w:val="Body"/>
              <w:jc w:val="right"/>
              <w:rPr>
                <w:rFonts w:cs="Arial"/>
              </w:rPr>
            </w:pPr>
            <w:r w:rsidRPr="00E17191">
              <w:rPr>
                <w:rFonts w:cs="Arial"/>
              </w:rPr>
              <w:t>312 (20%)</w:t>
            </w:r>
          </w:p>
        </w:tc>
      </w:tr>
      <w:tr w:rsidR="001A3111" w:rsidRPr="008843F0" w14:paraId="72E0C99B" w14:textId="77777777" w:rsidTr="003C2836">
        <w:tc>
          <w:tcPr>
            <w:tcW w:w="5336" w:type="dxa"/>
          </w:tcPr>
          <w:p w14:paraId="05F5510A" w14:textId="58B06A8D" w:rsidR="001A3111" w:rsidRPr="008843F0" w:rsidRDefault="001A3111">
            <w:pPr>
              <w:pStyle w:val="Body"/>
              <w:rPr>
                <w:rFonts w:cs="Arial"/>
              </w:rPr>
            </w:pPr>
            <w:r w:rsidRPr="008843F0">
              <w:rPr>
                <w:rFonts w:cs="Arial"/>
              </w:rPr>
              <w:t>Anaemia/iron deficiency detected:</w:t>
            </w:r>
            <w:r>
              <w:rPr>
                <w:rFonts w:cs="Arial"/>
              </w:rPr>
              <w:t xml:space="preserve"> </w:t>
            </w:r>
            <w:r w:rsidRPr="008843F0">
              <w:rPr>
                <w:rFonts w:cs="Arial"/>
              </w:rPr>
              <w:t>NBA Module 2 definition</w:t>
            </w:r>
          </w:p>
        </w:tc>
        <w:tc>
          <w:tcPr>
            <w:tcW w:w="1834" w:type="dxa"/>
          </w:tcPr>
          <w:p w14:paraId="2F32A3B5" w14:textId="45D43184" w:rsidR="001A3111" w:rsidRPr="008843F0" w:rsidRDefault="001A3111" w:rsidP="002B2FD9">
            <w:pPr>
              <w:pStyle w:val="Body"/>
              <w:jc w:val="right"/>
              <w:rPr>
                <w:rFonts w:cs="Arial"/>
              </w:rPr>
            </w:pPr>
            <w:r w:rsidRPr="008843F0">
              <w:rPr>
                <w:rFonts w:cs="Arial"/>
              </w:rPr>
              <w:t>212 (20%)</w:t>
            </w:r>
          </w:p>
        </w:tc>
        <w:tc>
          <w:tcPr>
            <w:tcW w:w="1782" w:type="dxa"/>
          </w:tcPr>
          <w:p w14:paraId="44BF1DA3" w14:textId="0335E664" w:rsidR="001A3111" w:rsidRPr="008843F0" w:rsidRDefault="001A3111" w:rsidP="002B2FD9">
            <w:pPr>
              <w:pStyle w:val="Body"/>
              <w:jc w:val="right"/>
              <w:rPr>
                <w:rFonts w:cs="Arial"/>
              </w:rPr>
            </w:pPr>
            <w:r w:rsidRPr="008843F0">
              <w:rPr>
                <w:rFonts w:cs="Arial"/>
              </w:rPr>
              <w:t>248 (20%)</w:t>
            </w:r>
          </w:p>
        </w:tc>
      </w:tr>
      <w:tr w:rsidR="000E4493" w:rsidRPr="008843F0" w14:paraId="78D1E563" w14:textId="77777777" w:rsidTr="003C2836">
        <w:tc>
          <w:tcPr>
            <w:tcW w:w="5336" w:type="dxa"/>
          </w:tcPr>
          <w:p w14:paraId="038A95A5" w14:textId="7852E676" w:rsidR="000E4493" w:rsidRPr="008843F0" w:rsidRDefault="001A3111">
            <w:pPr>
              <w:pStyle w:val="Body"/>
              <w:rPr>
                <w:rFonts w:cs="Arial"/>
              </w:rPr>
            </w:pPr>
            <w:r w:rsidRPr="008843F0">
              <w:rPr>
                <w:rFonts w:cs="Arial"/>
              </w:rPr>
              <w:t>Anaemia/iron deficiency detected:</w:t>
            </w:r>
            <w:r>
              <w:rPr>
                <w:rFonts w:cs="Arial"/>
              </w:rPr>
              <w:t xml:space="preserve"> d</w:t>
            </w:r>
            <w:r w:rsidR="000E4493" w:rsidRPr="008843F0">
              <w:rPr>
                <w:rFonts w:cs="Arial"/>
              </w:rPr>
              <w:t>ocumented by health service</w:t>
            </w:r>
          </w:p>
        </w:tc>
        <w:tc>
          <w:tcPr>
            <w:tcW w:w="1834" w:type="dxa"/>
          </w:tcPr>
          <w:p w14:paraId="1A098C06" w14:textId="77777777" w:rsidR="000E4493" w:rsidRPr="008843F0" w:rsidRDefault="000E4493" w:rsidP="002B2FD9">
            <w:pPr>
              <w:pStyle w:val="Body"/>
              <w:jc w:val="right"/>
              <w:rPr>
                <w:rFonts w:cs="Arial"/>
              </w:rPr>
            </w:pPr>
            <w:r w:rsidRPr="008843F0">
              <w:rPr>
                <w:rFonts w:cs="Arial"/>
              </w:rPr>
              <w:t>117 (11%)</w:t>
            </w:r>
          </w:p>
        </w:tc>
        <w:tc>
          <w:tcPr>
            <w:tcW w:w="1782" w:type="dxa"/>
          </w:tcPr>
          <w:p w14:paraId="364B10D7" w14:textId="77777777" w:rsidR="000E4493" w:rsidRPr="008843F0" w:rsidRDefault="000E4493" w:rsidP="002B2FD9">
            <w:pPr>
              <w:pStyle w:val="Body"/>
              <w:jc w:val="right"/>
              <w:rPr>
                <w:rFonts w:cs="Arial"/>
              </w:rPr>
            </w:pPr>
            <w:r w:rsidRPr="008843F0">
              <w:rPr>
                <w:rFonts w:cs="Arial"/>
              </w:rPr>
              <w:t>96 (8%)</w:t>
            </w:r>
          </w:p>
        </w:tc>
      </w:tr>
      <w:tr w:rsidR="001A3111" w:rsidRPr="008843F0" w14:paraId="76648651" w14:textId="77777777" w:rsidTr="003C2836">
        <w:tc>
          <w:tcPr>
            <w:tcW w:w="5336" w:type="dxa"/>
          </w:tcPr>
          <w:p w14:paraId="1819A7FD" w14:textId="260AA330" w:rsidR="001A3111" w:rsidRPr="008843F0" w:rsidRDefault="001A3111">
            <w:pPr>
              <w:pStyle w:val="Body"/>
              <w:rPr>
                <w:rFonts w:cs="Arial"/>
              </w:rPr>
            </w:pPr>
            <w:r w:rsidRPr="008843F0">
              <w:rPr>
                <w:rFonts w:cs="Arial"/>
              </w:rPr>
              <w:t>Treated for anaemia/iron deficiency for patients</w:t>
            </w:r>
            <w:r>
              <w:rPr>
                <w:rFonts w:cs="Arial"/>
              </w:rPr>
              <w:t xml:space="preserve"> i</w:t>
            </w:r>
            <w:r w:rsidRPr="008843F0">
              <w:rPr>
                <w:rFonts w:cs="Arial"/>
              </w:rPr>
              <w:t>dentified by health service:</w:t>
            </w:r>
            <w:r>
              <w:rPr>
                <w:rFonts w:cs="Arial"/>
              </w:rPr>
              <w:t xml:space="preserve"> a</w:t>
            </w:r>
            <w:r w:rsidRPr="008843F0">
              <w:rPr>
                <w:rFonts w:cs="Arial"/>
              </w:rPr>
              <w:t>ny treatment</w:t>
            </w:r>
          </w:p>
        </w:tc>
        <w:tc>
          <w:tcPr>
            <w:tcW w:w="1834" w:type="dxa"/>
          </w:tcPr>
          <w:p w14:paraId="2B4E61F0" w14:textId="2BD6F799" w:rsidR="001A3111" w:rsidRPr="008843F0" w:rsidRDefault="001A3111" w:rsidP="002B2FD9">
            <w:pPr>
              <w:pStyle w:val="Body"/>
              <w:jc w:val="right"/>
              <w:rPr>
                <w:rFonts w:cs="Arial"/>
              </w:rPr>
            </w:pPr>
            <w:r w:rsidRPr="008843F0">
              <w:rPr>
                <w:rFonts w:cs="Arial"/>
              </w:rPr>
              <w:t>56 (48%)</w:t>
            </w:r>
          </w:p>
        </w:tc>
        <w:tc>
          <w:tcPr>
            <w:tcW w:w="1782" w:type="dxa"/>
          </w:tcPr>
          <w:p w14:paraId="79100389" w14:textId="5D87B6A7" w:rsidR="001A3111" w:rsidRPr="00E17191" w:rsidRDefault="001A3111" w:rsidP="002B2FD9">
            <w:pPr>
              <w:pStyle w:val="Body"/>
              <w:jc w:val="right"/>
              <w:rPr>
                <w:rFonts w:cs="Arial"/>
              </w:rPr>
            </w:pPr>
            <w:r w:rsidRPr="00E17191">
              <w:rPr>
                <w:rFonts w:cs="Arial"/>
              </w:rPr>
              <w:t>68 (71%</w:t>
            </w:r>
            <w:r w:rsidR="00E17191" w:rsidRPr="00E17191">
              <w:rPr>
                <w:rFonts w:cs="Arial"/>
              </w:rPr>
              <w:t>)</w:t>
            </w:r>
          </w:p>
        </w:tc>
      </w:tr>
      <w:tr w:rsidR="000E4493" w:rsidRPr="008843F0" w14:paraId="62CD1F72" w14:textId="77777777" w:rsidTr="003C2836">
        <w:tc>
          <w:tcPr>
            <w:tcW w:w="5336" w:type="dxa"/>
          </w:tcPr>
          <w:p w14:paraId="54F81EA7" w14:textId="67D3A531" w:rsidR="000E4493" w:rsidRPr="008843F0" w:rsidRDefault="000E4493">
            <w:pPr>
              <w:pStyle w:val="Body"/>
              <w:rPr>
                <w:rFonts w:cs="Arial"/>
              </w:rPr>
            </w:pPr>
            <w:r w:rsidRPr="008843F0">
              <w:rPr>
                <w:rFonts w:cs="Arial"/>
              </w:rPr>
              <w:t>Treated for anaemia/iron deficiency for patients identified by health service:</w:t>
            </w:r>
            <w:r w:rsidR="001A3111">
              <w:rPr>
                <w:rFonts w:cs="Arial"/>
              </w:rPr>
              <w:t xml:space="preserve"> r</w:t>
            </w:r>
            <w:r w:rsidRPr="008843F0">
              <w:rPr>
                <w:rFonts w:cs="Arial"/>
              </w:rPr>
              <w:t>ed cell transfusion alone</w:t>
            </w:r>
          </w:p>
        </w:tc>
        <w:tc>
          <w:tcPr>
            <w:tcW w:w="1834" w:type="dxa"/>
          </w:tcPr>
          <w:p w14:paraId="3C815852" w14:textId="77777777" w:rsidR="000E4493" w:rsidRPr="008843F0" w:rsidRDefault="000E4493" w:rsidP="002B2FD9">
            <w:pPr>
              <w:pStyle w:val="Body"/>
              <w:jc w:val="right"/>
              <w:rPr>
                <w:rFonts w:cs="Arial"/>
              </w:rPr>
            </w:pPr>
            <w:r w:rsidRPr="008843F0">
              <w:rPr>
                <w:rFonts w:cs="Arial"/>
              </w:rPr>
              <w:t>9 (16%)</w:t>
            </w:r>
          </w:p>
        </w:tc>
        <w:tc>
          <w:tcPr>
            <w:tcW w:w="1782" w:type="dxa"/>
          </w:tcPr>
          <w:p w14:paraId="7E8C2DFC" w14:textId="77777777" w:rsidR="000E4493" w:rsidRPr="008843F0" w:rsidRDefault="000E4493" w:rsidP="002B2FD9">
            <w:pPr>
              <w:pStyle w:val="Body"/>
              <w:jc w:val="right"/>
              <w:rPr>
                <w:rFonts w:cs="Arial"/>
              </w:rPr>
            </w:pPr>
            <w:r w:rsidRPr="008843F0">
              <w:rPr>
                <w:rFonts w:cs="Arial"/>
              </w:rPr>
              <w:t>13 (19%)</w:t>
            </w:r>
          </w:p>
        </w:tc>
      </w:tr>
      <w:tr w:rsidR="000E4493" w:rsidRPr="008843F0" w14:paraId="3A4A60AD" w14:textId="77777777" w:rsidTr="003C2836">
        <w:tc>
          <w:tcPr>
            <w:tcW w:w="5336" w:type="dxa"/>
          </w:tcPr>
          <w:p w14:paraId="723C3ED7" w14:textId="77777777" w:rsidR="000E4493" w:rsidRPr="008843F0" w:rsidRDefault="000E4493" w:rsidP="003C2836">
            <w:pPr>
              <w:pStyle w:val="Body"/>
              <w:rPr>
                <w:rFonts w:cs="Arial"/>
              </w:rPr>
            </w:pPr>
            <w:r w:rsidRPr="008843F0">
              <w:rPr>
                <w:rFonts w:cs="Arial"/>
              </w:rPr>
              <w:t>Reassessment after treatment prior to surgery</w:t>
            </w:r>
          </w:p>
        </w:tc>
        <w:tc>
          <w:tcPr>
            <w:tcW w:w="1834" w:type="dxa"/>
          </w:tcPr>
          <w:p w14:paraId="0C43A390" w14:textId="77777777" w:rsidR="000E4493" w:rsidRPr="008843F0" w:rsidRDefault="000E4493" w:rsidP="002B2FD9">
            <w:pPr>
              <w:pStyle w:val="Body"/>
              <w:jc w:val="right"/>
              <w:rPr>
                <w:rFonts w:cs="Arial"/>
              </w:rPr>
            </w:pPr>
            <w:r w:rsidRPr="008843F0">
              <w:rPr>
                <w:rFonts w:cs="Arial"/>
              </w:rPr>
              <w:t>37 (66%)</w:t>
            </w:r>
          </w:p>
        </w:tc>
        <w:tc>
          <w:tcPr>
            <w:tcW w:w="1782" w:type="dxa"/>
          </w:tcPr>
          <w:p w14:paraId="19E67CB1" w14:textId="77777777" w:rsidR="000E4493" w:rsidRPr="008843F0" w:rsidRDefault="000E4493" w:rsidP="002B2FD9">
            <w:pPr>
              <w:pStyle w:val="Body"/>
              <w:jc w:val="right"/>
              <w:rPr>
                <w:rFonts w:cs="Arial"/>
              </w:rPr>
            </w:pPr>
            <w:r w:rsidRPr="008843F0">
              <w:rPr>
                <w:rFonts w:cs="Arial"/>
              </w:rPr>
              <w:t>48 (71%)</w:t>
            </w:r>
          </w:p>
        </w:tc>
      </w:tr>
      <w:tr w:rsidR="000E4493" w:rsidRPr="008843F0" w14:paraId="28F85CA2" w14:textId="77777777" w:rsidTr="003C2836">
        <w:tc>
          <w:tcPr>
            <w:tcW w:w="5336" w:type="dxa"/>
          </w:tcPr>
          <w:p w14:paraId="526BA689" w14:textId="77777777" w:rsidR="000E4493" w:rsidRPr="008843F0" w:rsidRDefault="000E4493" w:rsidP="003C2836">
            <w:pPr>
              <w:pStyle w:val="Body"/>
              <w:rPr>
                <w:rFonts w:cs="Arial"/>
              </w:rPr>
            </w:pPr>
            <w:r w:rsidRPr="008843F0">
              <w:rPr>
                <w:rFonts w:cs="Arial"/>
              </w:rPr>
              <w:t>Anaemia resolved</w:t>
            </w:r>
          </w:p>
        </w:tc>
        <w:tc>
          <w:tcPr>
            <w:tcW w:w="1834" w:type="dxa"/>
          </w:tcPr>
          <w:p w14:paraId="06E0BFDF" w14:textId="77777777" w:rsidR="000E4493" w:rsidRPr="008843F0" w:rsidRDefault="000E4493" w:rsidP="002B2FD9">
            <w:pPr>
              <w:pStyle w:val="Body"/>
              <w:jc w:val="right"/>
              <w:rPr>
                <w:rFonts w:cs="Arial"/>
              </w:rPr>
            </w:pPr>
            <w:r w:rsidRPr="008843F0">
              <w:rPr>
                <w:rFonts w:cs="Arial"/>
              </w:rPr>
              <w:t>5 (9%)</w:t>
            </w:r>
          </w:p>
        </w:tc>
        <w:tc>
          <w:tcPr>
            <w:tcW w:w="1782" w:type="dxa"/>
          </w:tcPr>
          <w:p w14:paraId="772D8947" w14:textId="77777777" w:rsidR="000E4493" w:rsidRPr="00E17191" w:rsidRDefault="000E4493" w:rsidP="002B2FD9">
            <w:pPr>
              <w:pStyle w:val="Body"/>
              <w:jc w:val="right"/>
              <w:rPr>
                <w:rFonts w:cs="Arial"/>
              </w:rPr>
            </w:pPr>
            <w:r w:rsidRPr="00E17191">
              <w:rPr>
                <w:rFonts w:cs="Arial"/>
              </w:rPr>
              <w:t>15 (22%)</w:t>
            </w:r>
          </w:p>
        </w:tc>
      </w:tr>
      <w:tr w:rsidR="000E4493" w:rsidRPr="008843F0" w14:paraId="4B07E236" w14:textId="77777777" w:rsidTr="003C2836">
        <w:tc>
          <w:tcPr>
            <w:tcW w:w="5336" w:type="dxa"/>
          </w:tcPr>
          <w:p w14:paraId="6F98A2E7" w14:textId="7F80DF2E" w:rsidR="000E4493" w:rsidRPr="008843F0" w:rsidRDefault="000E4493" w:rsidP="003C2836">
            <w:pPr>
              <w:pStyle w:val="Body"/>
              <w:rPr>
                <w:rFonts w:cs="Arial"/>
              </w:rPr>
            </w:pPr>
            <w:r w:rsidRPr="008843F0">
              <w:rPr>
                <w:rFonts w:cs="Arial"/>
              </w:rPr>
              <w:t>Iron depletion detected:</w:t>
            </w:r>
            <w:r w:rsidR="001A3111">
              <w:rPr>
                <w:rFonts w:cs="Arial"/>
              </w:rPr>
              <w:t xml:space="preserve"> </w:t>
            </w:r>
            <w:r w:rsidR="001A3111" w:rsidRPr="008843F0">
              <w:rPr>
                <w:rFonts w:cs="Arial"/>
              </w:rPr>
              <w:t>NBA Module 2 definition</w:t>
            </w:r>
          </w:p>
        </w:tc>
        <w:tc>
          <w:tcPr>
            <w:tcW w:w="1834" w:type="dxa"/>
          </w:tcPr>
          <w:p w14:paraId="4DAE7067" w14:textId="77777777" w:rsidR="000E4493" w:rsidRPr="008843F0" w:rsidRDefault="000E4493" w:rsidP="002B2FD9">
            <w:pPr>
              <w:pStyle w:val="Body"/>
              <w:jc w:val="right"/>
              <w:rPr>
                <w:rFonts w:cs="Arial"/>
              </w:rPr>
            </w:pPr>
            <w:r w:rsidRPr="008843F0">
              <w:rPr>
                <w:rFonts w:cs="Arial"/>
              </w:rPr>
              <w:t>Not reported</w:t>
            </w:r>
          </w:p>
        </w:tc>
        <w:tc>
          <w:tcPr>
            <w:tcW w:w="1782" w:type="dxa"/>
          </w:tcPr>
          <w:p w14:paraId="0EC23214" w14:textId="48273731" w:rsidR="000E4493" w:rsidRPr="008843F0" w:rsidRDefault="000E4493" w:rsidP="002B2FD9">
            <w:pPr>
              <w:pStyle w:val="Body"/>
              <w:jc w:val="right"/>
              <w:rPr>
                <w:rFonts w:cs="Arial"/>
              </w:rPr>
            </w:pPr>
            <w:r w:rsidRPr="008843F0">
              <w:rPr>
                <w:rFonts w:cs="Arial"/>
              </w:rPr>
              <w:t>174 (14%)</w:t>
            </w:r>
          </w:p>
        </w:tc>
      </w:tr>
      <w:tr w:rsidR="001A3111" w:rsidRPr="008843F0" w14:paraId="5A742D94" w14:textId="77777777" w:rsidTr="003C2836">
        <w:tc>
          <w:tcPr>
            <w:tcW w:w="5336" w:type="dxa"/>
          </w:tcPr>
          <w:p w14:paraId="5D7F2480" w14:textId="46ABCEFB" w:rsidR="001A3111" w:rsidRPr="008843F0" w:rsidRDefault="001A3111" w:rsidP="001A3111">
            <w:pPr>
              <w:pStyle w:val="Body"/>
              <w:rPr>
                <w:rFonts w:cs="Arial"/>
              </w:rPr>
            </w:pPr>
            <w:r w:rsidRPr="008843F0">
              <w:rPr>
                <w:rFonts w:cs="Arial"/>
              </w:rPr>
              <w:t>Iron depletion detected:</w:t>
            </w:r>
            <w:r>
              <w:rPr>
                <w:rFonts w:cs="Arial"/>
              </w:rPr>
              <w:t xml:space="preserve"> d</w:t>
            </w:r>
            <w:r w:rsidRPr="008843F0">
              <w:rPr>
                <w:rFonts w:cs="Arial"/>
              </w:rPr>
              <w:t>ocumented by health service</w:t>
            </w:r>
          </w:p>
        </w:tc>
        <w:tc>
          <w:tcPr>
            <w:tcW w:w="1834" w:type="dxa"/>
          </w:tcPr>
          <w:p w14:paraId="71A818BD" w14:textId="6B428D96" w:rsidR="001A3111" w:rsidRPr="008843F0" w:rsidRDefault="001A3111" w:rsidP="002B2FD9">
            <w:pPr>
              <w:pStyle w:val="Body"/>
              <w:jc w:val="right"/>
              <w:rPr>
                <w:rFonts w:cs="Arial"/>
              </w:rPr>
            </w:pPr>
            <w:r w:rsidRPr="008843F0">
              <w:rPr>
                <w:rFonts w:cs="Arial"/>
              </w:rPr>
              <w:t>Not reported</w:t>
            </w:r>
          </w:p>
        </w:tc>
        <w:tc>
          <w:tcPr>
            <w:tcW w:w="1782" w:type="dxa"/>
          </w:tcPr>
          <w:p w14:paraId="58CA0D7C" w14:textId="0620006B" w:rsidR="001A3111" w:rsidRPr="008843F0" w:rsidDel="001A3111" w:rsidRDefault="001A3111" w:rsidP="002B2FD9">
            <w:pPr>
              <w:pStyle w:val="Body"/>
              <w:jc w:val="right"/>
              <w:rPr>
                <w:rFonts w:cs="Arial"/>
              </w:rPr>
            </w:pPr>
            <w:r w:rsidRPr="008843F0">
              <w:rPr>
                <w:rFonts w:cs="Arial"/>
              </w:rPr>
              <w:t>16 (1%)</w:t>
            </w:r>
          </w:p>
        </w:tc>
      </w:tr>
      <w:tr w:rsidR="000E4493" w:rsidRPr="008843F0" w14:paraId="29D9904B" w14:textId="77777777" w:rsidTr="003C2836">
        <w:tc>
          <w:tcPr>
            <w:tcW w:w="5336" w:type="dxa"/>
          </w:tcPr>
          <w:p w14:paraId="3B25DA1D" w14:textId="1D67AC79" w:rsidR="000E4493" w:rsidRPr="008843F0" w:rsidRDefault="000E4493" w:rsidP="003C2836">
            <w:pPr>
              <w:pStyle w:val="Body"/>
              <w:rPr>
                <w:rFonts w:cs="Arial"/>
              </w:rPr>
            </w:pPr>
            <w:r w:rsidRPr="008843F0">
              <w:rPr>
                <w:rFonts w:cs="Arial"/>
              </w:rPr>
              <w:t>Treated for iron depletion for patients identified by health service:</w:t>
            </w:r>
            <w:r w:rsidR="001A3111" w:rsidRPr="008843F0">
              <w:rPr>
                <w:rFonts w:cs="Arial"/>
              </w:rPr>
              <w:t xml:space="preserve"> </w:t>
            </w:r>
            <w:r w:rsidR="001A3111">
              <w:rPr>
                <w:rFonts w:cs="Arial"/>
              </w:rPr>
              <w:t>a</w:t>
            </w:r>
            <w:r w:rsidR="001A3111" w:rsidRPr="008843F0">
              <w:rPr>
                <w:rFonts w:cs="Arial"/>
              </w:rPr>
              <w:t>ny treatment</w:t>
            </w:r>
          </w:p>
        </w:tc>
        <w:tc>
          <w:tcPr>
            <w:tcW w:w="1834" w:type="dxa"/>
          </w:tcPr>
          <w:p w14:paraId="362D61C1" w14:textId="77777777" w:rsidR="000E4493" w:rsidRPr="008843F0" w:rsidRDefault="000E4493" w:rsidP="002B2FD9">
            <w:pPr>
              <w:pStyle w:val="Body"/>
              <w:jc w:val="right"/>
              <w:rPr>
                <w:rFonts w:cs="Arial"/>
              </w:rPr>
            </w:pPr>
            <w:r w:rsidRPr="008843F0">
              <w:rPr>
                <w:rFonts w:cs="Arial"/>
              </w:rPr>
              <w:t>Not reported</w:t>
            </w:r>
          </w:p>
        </w:tc>
        <w:tc>
          <w:tcPr>
            <w:tcW w:w="1782" w:type="dxa"/>
          </w:tcPr>
          <w:p w14:paraId="0E5D3C28" w14:textId="54144D1E" w:rsidR="000E4493" w:rsidRPr="00E17191" w:rsidRDefault="000E4493" w:rsidP="002B2FD9">
            <w:pPr>
              <w:pStyle w:val="Body"/>
              <w:jc w:val="right"/>
              <w:rPr>
                <w:rFonts w:cs="Arial"/>
              </w:rPr>
            </w:pPr>
            <w:r w:rsidRPr="00E17191">
              <w:rPr>
                <w:rFonts w:cs="Arial"/>
              </w:rPr>
              <w:t>13 (81%)</w:t>
            </w:r>
          </w:p>
        </w:tc>
      </w:tr>
      <w:tr w:rsidR="001A3111" w:rsidRPr="008843F0" w14:paraId="0830258C" w14:textId="77777777" w:rsidTr="003C2836">
        <w:tc>
          <w:tcPr>
            <w:tcW w:w="5336" w:type="dxa"/>
          </w:tcPr>
          <w:p w14:paraId="5A22D0B0" w14:textId="1998385C" w:rsidR="001A3111" w:rsidRPr="008843F0" w:rsidRDefault="001A3111" w:rsidP="001A3111">
            <w:pPr>
              <w:pStyle w:val="Body"/>
              <w:rPr>
                <w:rFonts w:cs="Arial"/>
              </w:rPr>
            </w:pPr>
            <w:r w:rsidRPr="008843F0">
              <w:rPr>
                <w:rFonts w:cs="Arial"/>
              </w:rPr>
              <w:t>Treated for iron depletion for patients identified by health service:</w:t>
            </w:r>
            <w:r>
              <w:rPr>
                <w:rFonts w:cs="Arial"/>
              </w:rPr>
              <w:t xml:space="preserve"> r</w:t>
            </w:r>
            <w:r w:rsidRPr="008843F0">
              <w:rPr>
                <w:rFonts w:cs="Arial"/>
              </w:rPr>
              <w:t>ed cell transfusion alone</w:t>
            </w:r>
          </w:p>
        </w:tc>
        <w:tc>
          <w:tcPr>
            <w:tcW w:w="1834" w:type="dxa"/>
          </w:tcPr>
          <w:p w14:paraId="04ACCF2D" w14:textId="4385369F" w:rsidR="001A3111" w:rsidRPr="008843F0" w:rsidRDefault="001A3111" w:rsidP="002B2FD9">
            <w:pPr>
              <w:pStyle w:val="Body"/>
              <w:jc w:val="right"/>
              <w:rPr>
                <w:rFonts w:cs="Arial"/>
              </w:rPr>
            </w:pPr>
            <w:r w:rsidRPr="008843F0">
              <w:rPr>
                <w:rFonts w:cs="Arial"/>
              </w:rPr>
              <w:t>Not reported</w:t>
            </w:r>
          </w:p>
        </w:tc>
        <w:tc>
          <w:tcPr>
            <w:tcW w:w="1782" w:type="dxa"/>
          </w:tcPr>
          <w:p w14:paraId="7494B6A7" w14:textId="1FA24A7F" w:rsidR="001A3111" w:rsidRPr="008843F0" w:rsidDel="001A3111" w:rsidRDefault="001A3111" w:rsidP="002B2FD9">
            <w:pPr>
              <w:pStyle w:val="Body"/>
              <w:jc w:val="right"/>
              <w:rPr>
                <w:rFonts w:cs="Arial"/>
              </w:rPr>
            </w:pPr>
            <w:r w:rsidRPr="008843F0">
              <w:rPr>
                <w:rFonts w:cs="Arial"/>
              </w:rPr>
              <w:t>0 (0%)</w:t>
            </w:r>
          </w:p>
        </w:tc>
      </w:tr>
      <w:tr w:rsidR="000E4493" w:rsidRPr="008843F0" w14:paraId="0F24425E" w14:textId="77777777" w:rsidTr="003C2836">
        <w:tc>
          <w:tcPr>
            <w:tcW w:w="5336" w:type="dxa"/>
          </w:tcPr>
          <w:p w14:paraId="1A8144D8" w14:textId="77777777" w:rsidR="000E4493" w:rsidRPr="008843F0" w:rsidRDefault="000E4493" w:rsidP="003C2836">
            <w:pPr>
              <w:pStyle w:val="Body"/>
              <w:rPr>
                <w:rFonts w:cs="Arial"/>
              </w:rPr>
            </w:pPr>
            <w:r w:rsidRPr="008843F0">
              <w:rPr>
                <w:rFonts w:cs="Arial"/>
              </w:rPr>
              <w:t>Reassessment after treatment prior to surgery</w:t>
            </w:r>
          </w:p>
        </w:tc>
        <w:tc>
          <w:tcPr>
            <w:tcW w:w="1834" w:type="dxa"/>
          </w:tcPr>
          <w:p w14:paraId="6C3AE3C3" w14:textId="33713199" w:rsidR="000E4493" w:rsidRPr="008843F0" w:rsidRDefault="001A3111" w:rsidP="002B2FD9">
            <w:pPr>
              <w:pStyle w:val="Body"/>
              <w:jc w:val="right"/>
              <w:rPr>
                <w:rFonts w:cs="Arial"/>
              </w:rPr>
            </w:pPr>
            <w:r w:rsidRPr="008843F0">
              <w:rPr>
                <w:rFonts w:cs="Arial"/>
              </w:rPr>
              <w:t>Not reported</w:t>
            </w:r>
          </w:p>
        </w:tc>
        <w:tc>
          <w:tcPr>
            <w:tcW w:w="1782" w:type="dxa"/>
          </w:tcPr>
          <w:p w14:paraId="2A40B31E" w14:textId="77777777" w:rsidR="000E4493" w:rsidRPr="008843F0" w:rsidRDefault="000E4493" w:rsidP="002B2FD9">
            <w:pPr>
              <w:pStyle w:val="Body"/>
              <w:jc w:val="right"/>
              <w:rPr>
                <w:rFonts w:cs="Arial"/>
              </w:rPr>
            </w:pPr>
            <w:r w:rsidRPr="008843F0">
              <w:rPr>
                <w:rFonts w:cs="Arial"/>
              </w:rPr>
              <w:t>6 (46%)</w:t>
            </w:r>
          </w:p>
        </w:tc>
      </w:tr>
      <w:tr w:rsidR="000E4493" w:rsidRPr="008843F0" w14:paraId="07649A3A" w14:textId="77777777" w:rsidTr="003C2836">
        <w:tc>
          <w:tcPr>
            <w:tcW w:w="5336" w:type="dxa"/>
          </w:tcPr>
          <w:p w14:paraId="7D12DA06" w14:textId="29DF68D1" w:rsidR="000E4493" w:rsidRPr="008843F0" w:rsidRDefault="001A3111" w:rsidP="003C2836">
            <w:pPr>
              <w:pStyle w:val="Body"/>
              <w:rPr>
                <w:rFonts w:cs="Arial"/>
              </w:rPr>
            </w:pPr>
            <w:r>
              <w:rPr>
                <w:rFonts w:cs="Arial"/>
              </w:rPr>
              <w:t>I</w:t>
            </w:r>
            <w:r w:rsidRPr="008843F0">
              <w:rPr>
                <w:rFonts w:cs="Arial"/>
              </w:rPr>
              <w:t xml:space="preserve">ron </w:t>
            </w:r>
            <w:r w:rsidR="000E4493" w:rsidRPr="008843F0">
              <w:rPr>
                <w:rFonts w:cs="Arial"/>
              </w:rPr>
              <w:t>depletion resolved</w:t>
            </w:r>
          </w:p>
        </w:tc>
        <w:tc>
          <w:tcPr>
            <w:tcW w:w="1834" w:type="dxa"/>
          </w:tcPr>
          <w:p w14:paraId="57431C21" w14:textId="18889ACB" w:rsidR="000E4493" w:rsidRPr="008843F0" w:rsidRDefault="001A3111" w:rsidP="002B2FD9">
            <w:pPr>
              <w:pStyle w:val="Body"/>
              <w:jc w:val="right"/>
              <w:rPr>
                <w:rFonts w:cs="Arial"/>
              </w:rPr>
            </w:pPr>
            <w:r w:rsidRPr="008843F0">
              <w:rPr>
                <w:rFonts w:cs="Arial"/>
              </w:rPr>
              <w:t>Not reported</w:t>
            </w:r>
          </w:p>
        </w:tc>
        <w:tc>
          <w:tcPr>
            <w:tcW w:w="1782" w:type="dxa"/>
          </w:tcPr>
          <w:p w14:paraId="449AF2E2" w14:textId="77777777" w:rsidR="000E4493" w:rsidRPr="00E17191" w:rsidRDefault="000E4493" w:rsidP="002B2FD9">
            <w:pPr>
              <w:pStyle w:val="Body"/>
              <w:jc w:val="right"/>
              <w:rPr>
                <w:rFonts w:cs="Arial"/>
              </w:rPr>
            </w:pPr>
            <w:r w:rsidRPr="00E17191">
              <w:rPr>
                <w:rFonts w:cs="Arial"/>
              </w:rPr>
              <w:t>3 (23%)</w:t>
            </w:r>
          </w:p>
        </w:tc>
      </w:tr>
    </w:tbl>
    <w:p w14:paraId="283F1D9E" w14:textId="48752B21" w:rsidR="000E4493" w:rsidRDefault="001A3111" w:rsidP="001A3111">
      <w:pPr>
        <w:pStyle w:val="Heading2"/>
      </w:pPr>
      <w:bookmarkStart w:id="111" w:name="_Toc78958794"/>
      <w:r>
        <w:t>Intraoperative</w:t>
      </w:r>
      <w:bookmarkEnd w:id="111"/>
    </w:p>
    <w:tbl>
      <w:tblPr>
        <w:tblStyle w:val="TableGrid5"/>
        <w:tblW w:w="0" w:type="auto"/>
        <w:tblLook w:val="04A0" w:firstRow="1" w:lastRow="0" w:firstColumn="1" w:lastColumn="0" w:noHBand="0" w:noVBand="1"/>
      </w:tblPr>
      <w:tblGrid>
        <w:gridCol w:w="5336"/>
        <w:gridCol w:w="1834"/>
        <w:gridCol w:w="1782"/>
      </w:tblGrid>
      <w:tr w:rsidR="001A3111" w:rsidRPr="008843F0" w14:paraId="59E56687" w14:textId="77777777" w:rsidTr="002B2FD9">
        <w:trPr>
          <w:tblHeader/>
        </w:trPr>
        <w:tc>
          <w:tcPr>
            <w:tcW w:w="5336" w:type="dxa"/>
          </w:tcPr>
          <w:p w14:paraId="3757F35F" w14:textId="408AB57B" w:rsidR="001A3111" w:rsidRPr="008843F0" w:rsidRDefault="001A3111" w:rsidP="002B2FD9">
            <w:pPr>
              <w:pStyle w:val="Tablecolhead"/>
              <w:rPr>
                <w:rFonts w:cs="Arial"/>
              </w:rPr>
            </w:pPr>
            <w:r w:rsidRPr="008843F0">
              <w:t>Module 2 criteria</w:t>
            </w:r>
          </w:p>
        </w:tc>
        <w:tc>
          <w:tcPr>
            <w:tcW w:w="1834" w:type="dxa"/>
          </w:tcPr>
          <w:p w14:paraId="44204A2B" w14:textId="16F7695A" w:rsidR="001A3111" w:rsidRPr="008843F0" w:rsidRDefault="001A3111" w:rsidP="002B2FD9">
            <w:pPr>
              <w:pStyle w:val="Tablecolhead"/>
              <w:rPr>
                <w:rFonts w:cs="Arial"/>
              </w:rPr>
            </w:pPr>
            <w:r w:rsidRPr="008843F0">
              <w:t>2015 (n</w:t>
            </w:r>
            <w:r>
              <w:t xml:space="preserve"> </w:t>
            </w:r>
            <w:r w:rsidRPr="008843F0">
              <w:t>=</w:t>
            </w:r>
            <w:r>
              <w:t xml:space="preserve"> </w:t>
            </w:r>
            <w:r w:rsidRPr="008843F0">
              <w:t>1,142)</w:t>
            </w:r>
          </w:p>
        </w:tc>
        <w:tc>
          <w:tcPr>
            <w:tcW w:w="1782" w:type="dxa"/>
          </w:tcPr>
          <w:p w14:paraId="25CA387A" w14:textId="61C784C3" w:rsidR="001A3111" w:rsidRPr="008843F0" w:rsidRDefault="001A3111" w:rsidP="002B2FD9">
            <w:pPr>
              <w:pStyle w:val="Tablecolhead"/>
              <w:rPr>
                <w:rFonts w:cs="Arial"/>
              </w:rPr>
            </w:pPr>
            <w:r w:rsidRPr="008843F0">
              <w:t>2020 (n</w:t>
            </w:r>
            <w:r>
              <w:t xml:space="preserve"> </w:t>
            </w:r>
            <w:r w:rsidRPr="008843F0">
              <w:t>=</w:t>
            </w:r>
            <w:r>
              <w:t xml:space="preserve"> </w:t>
            </w:r>
            <w:r w:rsidRPr="008843F0">
              <w:t>1,541)</w:t>
            </w:r>
          </w:p>
        </w:tc>
      </w:tr>
      <w:tr w:rsidR="001A3111" w:rsidRPr="008843F0" w14:paraId="06487B8B" w14:textId="77777777" w:rsidTr="003C2836">
        <w:tc>
          <w:tcPr>
            <w:tcW w:w="5336" w:type="dxa"/>
          </w:tcPr>
          <w:p w14:paraId="0BEB1691" w14:textId="77777777" w:rsidR="001A3111" w:rsidRPr="008843F0" w:rsidRDefault="001A3111" w:rsidP="001A3111">
            <w:pPr>
              <w:pStyle w:val="Body"/>
              <w:rPr>
                <w:rFonts w:cs="Arial"/>
              </w:rPr>
            </w:pPr>
            <w:r w:rsidRPr="008843F0">
              <w:rPr>
                <w:rFonts w:cs="Arial"/>
              </w:rPr>
              <w:t xml:space="preserve">Blood loss documented </w:t>
            </w:r>
          </w:p>
        </w:tc>
        <w:tc>
          <w:tcPr>
            <w:tcW w:w="1834" w:type="dxa"/>
          </w:tcPr>
          <w:p w14:paraId="54CD6495" w14:textId="77777777" w:rsidR="001A3111" w:rsidRPr="008843F0" w:rsidRDefault="001A3111" w:rsidP="002B2FD9">
            <w:pPr>
              <w:pStyle w:val="Body"/>
              <w:jc w:val="right"/>
              <w:rPr>
                <w:rFonts w:cs="Arial"/>
              </w:rPr>
            </w:pPr>
            <w:r w:rsidRPr="008843F0">
              <w:rPr>
                <w:rFonts w:cs="Arial"/>
              </w:rPr>
              <w:t>359 (31%)</w:t>
            </w:r>
          </w:p>
        </w:tc>
        <w:tc>
          <w:tcPr>
            <w:tcW w:w="1782" w:type="dxa"/>
          </w:tcPr>
          <w:p w14:paraId="669892E6" w14:textId="77777777" w:rsidR="001A3111" w:rsidRPr="008843F0" w:rsidRDefault="001A3111" w:rsidP="002B2FD9">
            <w:pPr>
              <w:pStyle w:val="Body"/>
              <w:jc w:val="right"/>
              <w:rPr>
                <w:rFonts w:cs="Arial"/>
              </w:rPr>
            </w:pPr>
            <w:r w:rsidRPr="008843F0">
              <w:rPr>
                <w:rFonts w:cs="Arial"/>
              </w:rPr>
              <w:t>575 (37%)</w:t>
            </w:r>
          </w:p>
        </w:tc>
      </w:tr>
      <w:tr w:rsidR="001A3111" w:rsidRPr="008843F0" w14:paraId="10D57875" w14:textId="77777777" w:rsidTr="003C2836">
        <w:tc>
          <w:tcPr>
            <w:tcW w:w="5336" w:type="dxa"/>
          </w:tcPr>
          <w:p w14:paraId="25B82BE2" w14:textId="77777777" w:rsidR="001A3111" w:rsidRPr="008843F0" w:rsidRDefault="001A3111" w:rsidP="001A3111">
            <w:pPr>
              <w:pStyle w:val="Body"/>
              <w:rPr>
                <w:rFonts w:cs="Arial"/>
              </w:rPr>
            </w:pPr>
            <w:r w:rsidRPr="008843F0">
              <w:rPr>
                <w:rFonts w:cs="Arial"/>
              </w:rPr>
              <w:t>Transfused</w:t>
            </w:r>
          </w:p>
        </w:tc>
        <w:tc>
          <w:tcPr>
            <w:tcW w:w="1834" w:type="dxa"/>
          </w:tcPr>
          <w:p w14:paraId="25785345" w14:textId="77777777" w:rsidR="001A3111" w:rsidRPr="008843F0" w:rsidRDefault="001A3111" w:rsidP="002B2FD9">
            <w:pPr>
              <w:pStyle w:val="Body"/>
              <w:jc w:val="right"/>
              <w:rPr>
                <w:rFonts w:cs="Arial"/>
              </w:rPr>
            </w:pPr>
            <w:r w:rsidRPr="008843F0">
              <w:rPr>
                <w:rFonts w:cs="Arial"/>
              </w:rPr>
              <w:t>14 (1%)</w:t>
            </w:r>
          </w:p>
        </w:tc>
        <w:tc>
          <w:tcPr>
            <w:tcW w:w="1782" w:type="dxa"/>
          </w:tcPr>
          <w:p w14:paraId="141F5390" w14:textId="77777777" w:rsidR="001A3111" w:rsidRPr="008843F0" w:rsidRDefault="001A3111" w:rsidP="002B2FD9">
            <w:pPr>
              <w:pStyle w:val="Body"/>
              <w:jc w:val="right"/>
              <w:rPr>
                <w:rFonts w:cs="Arial"/>
              </w:rPr>
            </w:pPr>
            <w:r w:rsidRPr="008843F0">
              <w:rPr>
                <w:rFonts w:cs="Arial"/>
              </w:rPr>
              <w:t>29 (2%)</w:t>
            </w:r>
          </w:p>
        </w:tc>
      </w:tr>
      <w:tr w:rsidR="001A3111" w:rsidRPr="008843F0" w14:paraId="2A88BD0F" w14:textId="77777777" w:rsidTr="003C2836">
        <w:tc>
          <w:tcPr>
            <w:tcW w:w="5336" w:type="dxa"/>
          </w:tcPr>
          <w:p w14:paraId="687ADC5F" w14:textId="77777777" w:rsidR="001A3111" w:rsidRPr="008843F0" w:rsidRDefault="001A3111" w:rsidP="001A3111">
            <w:pPr>
              <w:pStyle w:val="Body"/>
              <w:rPr>
                <w:rFonts w:cs="Arial"/>
              </w:rPr>
            </w:pPr>
            <w:r w:rsidRPr="008843F0">
              <w:rPr>
                <w:rFonts w:cs="Arial"/>
              </w:rPr>
              <w:t>Cell salvage</w:t>
            </w:r>
          </w:p>
          <w:p w14:paraId="4C65075F" w14:textId="77777777" w:rsidR="001A3111" w:rsidRPr="008843F0" w:rsidRDefault="001A3111" w:rsidP="001A3111">
            <w:pPr>
              <w:pStyle w:val="Body"/>
              <w:rPr>
                <w:rFonts w:cs="Arial"/>
              </w:rPr>
            </w:pPr>
            <w:r w:rsidRPr="008843F0">
              <w:rPr>
                <w:rFonts w:cs="Arial"/>
              </w:rPr>
              <w:t xml:space="preserve">Received salvaged blood </w:t>
            </w:r>
          </w:p>
        </w:tc>
        <w:tc>
          <w:tcPr>
            <w:tcW w:w="1834" w:type="dxa"/>
          </w:tcPr>
          <w:p w14:paraId="5AD89FB3" w14:textId="77777777" w:rsidR="001A3111" w:rsidRPr="008843F0" w:rsidRDefault="001A3111" w:rsidP="002B2FD9">
            <w:pPr>
              <w:pStyle w:val="Body"/>
              <w:jc w:val="right"/>
              <w:rPr>
                <w:rFonts w:cs="Arial"/>
              </w:rPr>
            </w:pPr>
            <w:r w:rsidRPr="008843F0">
              <w:rPr>
                <w:rFonts w:cs="Arial"/>
              </w:rPr>
              <w:t xml:space="preserve">31 (3%) </w:t>
            </w:r>
          </w:p>
          <w:p w14:paraId="43738E36" w14:textId="77777777" w:rsidR="001A3111" w:rsidRPr="008843F0" w:rsidRDefault="001A3111" w:rsidP="002B2FD9">
            <w:pPr>
              <w:pStyle w:val="Body"/>
              <w:jc w:val="right"/>
              <w:rPr>
                <w:rFonts w:cs="Arial"/>
              </w:rPr>
            </w:pPr>
            <w:r w:rsidRPr="008843F0">
              <w:rPr>
                <w:rFonts w:cs="Arial"/>
              </w:rPr>
              <w:t>25 (81%)</w:t>
            </w:r>
          </w:p>
        </w:tc>
        <w:tc>
          <w:tcPr>
            <w:tcW w:w="1782" w:type="dxa"/>
          </w:tcPr>
          <w:p w14:paraId="432394F2" w14:textId="77777777" w:rsidR="001A3111" w:rsidRPr="008843F0" w:rsidRDefault="001A3111" w:rsidP="002B2FD9">
            <w:pPr>
              <w:pStyle w:val="Body"/>
              <w:jc w:val="right"/>
              <w:rPr>
                <w:rFonts w:cs="Arial"/>
              </w:rPr>
            </w:pPr>
            <w:r w:rsidRPr="008843F0">
              <w:rPr>
                <w:rFonts w:cs="Arial"/>
              </w:rPr>
              <w:t>52 (3%)</w:t>
            </w:r>
          </w:p>
          <w:p w14:paraId="4715CDE6" w14:textId="77777777" w:rsidR="001A3111" w:rsidRPr="008843F0" w:rsidRDefault="001A3111" w:rsidP="002B2FD9">
            <w:pPr>
              <w:pStyle w:val="Body"/>
              <w:jc w:val="right"/>
              <w:rPr>
                <w:rFonts w:cs="Arial"/>
                <w:b/>
              </w:rPr>
            </w:pPr>
            <w:r w:rsidRPr="008843F0">
              <w:rPr>
                <w:rFonts w:cs="Arial"/>
              </w:rPr>
              <w:t>36 (69%)</w:t>
            </w:r>
          </w:p>
        </w:tc>
      </w:tr>
    </w:tbl>
    <w:p w14:paraId="52045985" w14:textId="5911A7EB" w:rsidR="001A3111" w:rsidRPr="008F5214" w:rsidRDefault="001A3111" w:rsidP="002B2FD9">
      <w:pPr>
        <w:pStyle w:val="Heading2"/>
      </w:pPr>
      <w:bookmarkStart w:id="112" w:name="_Toc78958795"/>
      <w:r>
        <w:lastRenderedPageBreak/>
        <w:t>Postoperative</w:t>
      </w:r>
      <w:bookmarkEnd w:id="112"/>
    </w:p>
    <w:tbl>
      <w:tblPr>
        <w:tblStyle w:val="TableGrid5"/>
        <w:tblW w:w="0" w:type="auto"/>
        <w:tblLook w:val="04A0" w:firstRow="1" w:lastRow="0" w:firstColumn="1" w:lastColumn="0" w:noHBand="0" w:noVBand="1"/>
      </w:tblPr>
      <w:tblGrid>
        <w:gridCol w:w="5336"/>
        <w:gridCol w:w="1834"/>
        <w:gridCol w:w="1782"/>
      </w:tblGrid>
      <w:tr w:rsidR="001A3111" w:rsidRPr="008843F0" w14:paraId="0A0D51D0" w14:textId="77777777" w:rsidTr="002B2FD9">
        <w:trPr>
          <w:tblHeader/>
        </w:trPr>
        <w:tc>
          <w:tcPr>
            <w:tcW w:w="5336" w:type="dxa"/>
          </w:tcPr>
          <w:p w14:paraId="6315BF7D" w14:textId="529751D5" w:rsidR="001A3111" w:rsidRPr="00F9779F" w:rsidRDefault="001A3111" w:rsidP="002B2FD9">
            <w:pPr>
              <w:pStyle w:val="Tablecolhead"/>
            </w:pPr>
            <w:r w:rsidRPr="003C2836">
              <w:t>Module 2 criteria</w:t>
            </w:r>
          </w:p>
        </w:tc>
        <w:tc>
          <w:tcPr>
            <w:tcW w:w="1834" w:type="dxa"/>
          </w:tcPr>
          <w:p w14:paraId="54601073" w14:textId="492A10DF" w:rsidR="001A3111" w:rsidRPr="003C2836" w:rsidRDefault="001A3111" w:rsidP="002B2FD9">
            <w:pPr>
              <w:pStyle w:val="Tablecolhead"/>
            </w:pPr>
            <w:r w:rsidRPr="00F9779F">
              <w:t>2015 (n</w:t>
            </w:r>
            <w:r>
              <w:t xml:space="preserve"> </w:t>
            </w:r>
            <w:r w:rsidRPr="008F5214">
              <w:t>=</w:t>
            </w:r>
            <w:r>
              <w:t xml:space="preserve"> </w:t>
            </w:r>
            <w:r w:rsidRPr="008F5214">
              <w:t>1,142)</w:t>
            </w:r>
          </w:p>
        </w:tc>
        <w:tc>
          <w:tcPr>
            <w:tcW w:w="1782" w:type="dxa"/>
          </w:tcPr>
          <w:p w14:paraId="0463F727" w14:textId="4766B253" w:rsidR="001A3111" w:rsidRPr="002B2FD9" w:rsidRDefault="001A3111" w:rsidP="002B2FD9">
            <w:pPr>
              <w:pStyle w:val="Tablecolhead"/>
              <w:rPr>
                <w:b w:val="0"/>
              </w:rPr>
            </w:pPr>
            <w:r w:rsidRPr="00F9779F">
              <w:t>2020 (n</w:t>
            </w:r>
            <w:r>
              <w:t xml:space="preserve"> </w:t>
            </w:r>
            <w:r w:rsidRPr="008F5214">
              <w:t>=</w:t>
            </w:r>
            <w:r>
              <w:t xml:space="preserve"> </w:t>
            </w:r>
            <w:r w:rsidRPr="008F5214">
              <w:t>1,541)</w:t>
            </w:r>
          </w:p>
        </w:tc>
      </w:tr>
      <w:tr w:rsidR="001A3111" w:rsidRPr="008843F0" w14:paraId="411FC553" w14:textId="77777777" w:rsidTr="003C2836">
        <w:tc>
          <w:tcPr>
            <w:tcW w:w="5336" w:type="dxa"/>
          </w:tcPr>
          <w:p w14:paraId="22BD0F39" w14:textId="77777777" w:rsidR="001A3111" w:rsidRPr="008843F0" w:rsidRDefault="001A3111" w:rsidP="003C2836">
            <w:pPr>
              <w:pStyle w:val="Body"/>
              <w:rPr>
                <w:rFonts w:cs="Arial"/>
              </w:rPr>
            </w:pPr>
            <w:r w:rsidRPr="008843F0">
              <w:rPr>
                <w:rFonts w:cs="Arial"/>
              </w:rPr>
              <w:t>Transfusion</w:t>
            </w:r>
          </w:p>
        </w:tc>
        <w:tc>
          <w:tcPr>
            <w:tcW w:w="1834" w:type="dxa"/>
          </w:tcPr>
          <w:p w14:paraId="49FDB59A" w14:textId="77777777" w:rsidR="001A3111" w:rsidRPr="008843F0" w:rsidRDefault="001A3111" w:rsidP="002B2FD9">
            <w:pPr>
              <w:pStyle w:val="Body"/>
              <w:jc w:val="right"/>
              <w:rPr>
                <w:rFonts w:cs="Arial"/>
              </w:rPr>
            </w:pPr>
            <w:r w:rsidRPr="008843F0">
              <w:rPr>
                <w:rFonts w:cs="Arial"/>
              </w:rPr>
              <w:t>131 (11%)</w:t>
            </w:r>
          </w:p>
        </w:tc>
        <w:tc>
          <w:tcPr>
            <w:tcW w:w="1782" w:type="dxa"/>
          </w:tcPr>
          <w:p w14:paraId="252CC21E" w14:textId="77777777" w:rsidR="001A3111" w:rsidRPr="00E17191" w:rsidRDefault="001A3111" w:rsidP="002B2FD9">
            <w:pPr>
              <w:pStyle w:val="Body"/>
              <w:jc w:val="right"/>
              <w:rPr>
                <w:rFonts w:cs="Arial"/>
              </w:rPr>
            </w:pPr>
            <w:r w:rsidRPr="00E17191">
              <w:rPr>
                <w:rFonts w:cs="Arial"/>
              </w:rPr>
              <w:t>116 (8%)</w:t>
            </w:r>
          </w:p>
        </w:tc>
      </w:tr>
      <w:tr w:rsidR="001A3111" w:rsidRPr="008843F0" w14:paraId="38608F6A" w14:textId="77777777" w:rsidTr="003C2836">
        <w:tc>
          <w:tcPr>
            <w:tcW w:w="5336" w:type="dxa"/>
          </w:tcPr>
          <w:p w14:paraId="7AE1E57A" w14:textId="77777777" w:rsidR="001A3111" w:rsidRPr="008843F0" w:rsidRDefault="001A3111" w:rsidP="003C2836">
            <w:pPr>
              <w:pStyle w:val="Body"/>
              <w:rPr>
                <w:rFonts w:cs="Arial"/>
              </w:rPr>
            </w:pPr>
            <w:r w:rsidRPr="008843F0">
              <w:rPr>
                <w:rFonts w:cs="Arial"/>
              </w:rPr>
              <w:t xml:space="preserve">Cell salvage </w:t>
            </w:r>
          </w:p>
          <w:p w14:paraId="472D81D7" w14:textId="77777777" w:rsidR="001A3111" w:rsidRPr="008843F0" w:rsidRDefault="001A3111" w:rsidP="003C2836">
            <w:pPr>
              <w:pStyle w:val="Body"/>
              <w:rPr>
                <w:rFonts w:cs="Arial"/>
              </w:rPr>
            </w:pPr>
            <w:r w:rsidRPr="008843F0">
              <w:rPr>
                <w:rFonts w:cs="Arial"/>
              </w:rPr>
              <w:t>Received salvaged blood</w:t>
            </w:r>
          </w:p>
        </w:tc>
        <w:tc>
          <w:tcPr>
            <w:tcW w:w="1834" w:type="dxa"/>
          </w:tcPr>
          <w:p w14:paraId="37DAED26" w14:textId="77777777" w:rsidR="001A3111" w:rsidRPr="008843F0" w:rsidRDefault="001A3111" w:rsidP="002B2FD9">
            <w:pPr>
              <w:pStyle w:val="Body"/>
              <w:jc w:val="right"/>
              <w:rPr>
                <w:rFonts w:cs="Arial"/>
              </w:rPr>
            </w:pPr>
            <w:r w:rsidRPr="008843F0">
              <w:rPr>
                <w:rFonts w:cs="Arial"/>
              </w:rPr>
              <w:t>40 pts (3%)</w:t>
            </w:r>
          </w:p>
          <w:p w14:paraId="64C88EB0" w14:textId="77777777" w:rsidR="001A3111" w:rsidRPr="008843F0" w:rsidRDefault="001A3111" w:rsidP="002B2FD9">
            <w:pPr>
              <w:pStyle w:val="Body"/>
              <w:jc w:val="right"/>
              <w:rPr>
                <w:rFonts w:cs="Arial"/>
              </w:rPr>
            </w:pPr>
            <w:r w:rsidRPr="008843F0">
              <w:rPr>
                <w:rFonts w:cs="Arial"/>
              </w:rPr>
              <w:t>23 pts (57%)</w:t>
            </w:r>
          </w:p>
        </w:tc>
        <w:tc>
          <w:tcPr>
            <w:tcW w:w="1782" w:type="dxa"/>
          </w:tcPr>
          <w:p w14:paraId="7D16E581" w14:textId="77777777" w:rsidR="001A3111" w:rsidRPr="008843F0" w:rsidRDefault="001A3111" w:rsidP="002B2FD9">
            <w:pPr>
              <w:pStyle w:val="Body"/>
              <w:jc w:val="right"/>
              <w:rPr>
                <w:rFonts w:cs="Arial"/>
              </w:rPr>
            </w:pPr>
            <w:r w:rsidRPr="008843F0">
              <w:rPr>
                <w:rFonts w:cs="Arial"/>
              </w:rPr>
              <w:t>33 pts (2%)</w:t>
            </w:r>
          </w:p>
          <w:p w14:paraId="726F7175" w14:textId="77777777" w:rsidR="001A3111" w:rsidRPr="008843F0" w:rsidRDefault="001A3111" w:rsidP="002B2FD9">
            <w:pPr>
              <w:pStyle w:val="Body"/>
              <w:jc w:val="right"/>
              <w:rPr>
                <w:rFonts w:cs="Arial"/>
                <w:b/>
              </w:rPr>
            </w:pPr>
            <w:r w:rsidRPr="008843F0">
              <w:rPr>
                <w:rFonts w:cs="Arial"/>
              </w:rPr>
              <w:t>20 pts (61%)</w:t>
            </w:r>
          </w:p>
        </w:tc>
      </w:tr>
    </w:tbl>
    <w:p w14:paraId="18600693" w14:textId="77777777" w:rsidR="000E4493" w:rsidRPr="008843F0" w:rsidRDefault="000E4493" w:rsidP="000E4493">
      <w:pPr>
        <w:pStyle w:val="Body"/>
        <w:rPr>
          <w:bCs/>
          <w:color w:val="DA372E"/>
          <w:sz w:val="44"/>
          <w:szCs w:val="44"/>
        </w:rPr>
      </w:pPr>
      <w:bookmarkStart w:id="113" w:name="_Toc69106581"/>
      <w:r w:rsidRPr="008843F0">
        <w:rPr>
          <w:rFonts w:ascii="Cambria" w:hAnsi="Cambria"/>
        </w:rPr>
        <w:br w:type="page"/>
      </w:r>
    </w:p>
    <w:p w14:paraId="36E8F684" w14:textId="7AC4E97F" w:rsidR="000E4493" w:rsidRPr="008843F0" w:rsidRDefault="000E4493" w:rsidP="002B2FD9">
      <w:pPr>
        <w:pStyle w:val="Heading1"/>
      </w:pPr>
      <w:bookmarkStart w:id="114" w:name="_Toc72314135"/>
      <w:bookmarkStart w:id="115" w:name="_Toc78958796"/>
      <w:r w:rsidRPr="008843F0">
        <w:lastRenderedPageBreak/>
        <w:t>Appendix 2</w:t>
      </w:r>
      <w:r w:rsidR="001A3111">
        <w:t>:</w:t>
      </w:r>
      <w:r w:rsidRPr="008843F0">
        <w:t xml:space="preserve"> Patient blood management </w:t>
      </w:r>
      <w:r w:rsidRPr="008F5214">
        <w:t>information</w:t>
      </w:r>
      <w:r w:rsidRPr="008843F0">
        <w:t xml:space="preserve"> and education resources</w:t>
      </w:r>
      <w:bookmarkEnd w:id="114"/>
      <w:bookmarkEnd w:id="115"/>
    </w:p>
    <w:p w14:paraId="10542E8D" w14:textId="51FCFAD1" w:rsidR="00F25924" w:rsidRDefault="000E4493" w:rsidP="002B2FD9">
      <w:pPr>
        <w:pStyle w:val="Heading2"/>
      </w:pPr>
      <w:bookmarkStart w:id="116" w:name="_Toc78958797"/>
      <w:r w:rsidRPr="008843F0">
        <w:t xml:space="preserve">Blood </w:t>
      </w:r>
      <w:r w:rsidRPr="008F5214">
        <w:t>Matters</w:t>
      </w:r>
      <w:bookmarkEnd w:id="116"/>
    </w:p>
    <w:p w14:paraId="2245F9E0" w14:textId="712F1298" w:rsidR="000E4493" w:rsidRPr="008843F0" w:rsidRDefault="005E52B4" w:rsidP="000E4493">
      <w:pPr>
        <w:pStyle w:val="Body"/>
        <w:rPr>
          <w:b/>
        </w:rPr>
      </w:pPr>
      <w:hyperlink r:id="rId72" w:history="1">
        <w:r w:rsidR="00F25924" w:rsidRPr="002B2FD9">
          <w:rPr>
            <w:rStyle w:val="Hyperlink"/>
          </w:rPr>
          <w:t>Blood Matters website</w:t>
        </w:r>
      </w:hyperlink>
      <w:r w:rsidR="00F25924" w:rsidRPr="008843F0">
        <w:rPr>
          <w:rFonts w:ascii="Cambria" w:hAnsi="Cambria"/>
        </w:rPr>
        <w:t xml:space="preserve"> </w:t>
      </w:r>
      <w:r w:rsidR="00F25924">
        <w:rPr>
          <w:rFonts w:ascii="Cambria" w:hAnsi="Cambria"/>
        </w:rPr>
        <w:t>&lt;</w:t>
      </w:r>
      <w:r w:rsidR="00F25924" w:rsidRPr="002B2FD9">
        <w:t>https://www2.health.vic.gov.au/hospitals-and-health-services/patient-care/speciality-diagnostics-therapeutics/blood-matters</w:t>
      </w:r>
      <w:r w:rsidR="00F25924">
        <w:t>&gt;</w:t>
      </w:r>
      <w:r w:rsidR="000E4493" w:rsidRPr="008843F0">
        <w:rPr>
          <w:b/>
        </w:rPr>
        <w:t xml:space="preserve">  </w:t>
      </w:r>
    </w:p>
    <w:p w14:paraId="718FCAA2" w14:textId="77777777" w:rsidR="000E4493" w:rsidRPr="008843F0" w:rsidRDefault="000E4493" w:rsidP="002B2FD9">
      <w:pPr>
        <w:pStyle w:val="Bullet1"/>
      </w:pPr>
      <w:r w:rsidRPr="008843F0">
        <w:t>What you need to know about patient blood management consumer information</w:t>
      </w:r>
    </w:p>
    <w:p w14:paraId="345D94E6" w14:textId="35E935EC" w:rsidR="000E4493" w:rsidRPr="008843F0" w:rsidRDefault="000E4493" w:rsidP="002B2FD9">
      <w:pPr>
        <w:pStyle w:val="Bullet1"/>
      </w:pPr>
      <w:r w:rsidRPr="008843F0">
        <w:t xml:space="preserve">What you need to know about patient blood management consumer information </w:t>
      </w:r>
      <w:r w:rsidR="00F25924">
        <w:t>–</w:t>
      </w:r>
      <w:r w:rsidR="00F25924" w:rsidRPr="008843F0">
        <w:t xml:space="preserve"> </w:t>
      </w:r>
      <w:r w:rsidRPr="008843F0">
        <w:t>visual</w:t>
      </w:r>
    </w:p>
    <w:p w14:paraId="3A48B7A7" w14:textId="4EC67D5E" w:rsidR="00F25924" w:rsidRDefault="000E4493" w:rsidP="002B2FD9">
      <w:pPr>
        <w:pStyle w:val="Heading2"/>
      </w:pPr>
      <w:bookmarkStart w:id="117" w:name="_Toc78958798"/>
      <w:r w:rsidRPr="008843F0">
        <w:t>BloodSafe eLearning Australia</w:t>
      </w:r>
      <w:bookmarkEnd w:id="117"/>
    </w:p>
    <w:p w14:paraId="052612B3" w14:textId="1CF5384C" w:rsidR="000E4493" w:rsidRPr="008843F0" w:rsidRDefault="005E52B4" w:rsidP="000E4493">
      <w:pPr>
        <w:pStyle w:val="Body"/>
      </w:pPr>
      <w:hyperlink r:id="rId73" w:history="1">
        <w:r w:rsidR="00F25924" w:rsidRPr="002B2FD9">
          <w:rPr>
            <w:rStyle w:val="Hyperlink"/>
          </w:rPr>
          <w:t>BloodSafe eLearning website</w:t>
        </w:r>
      </w:hyperlink>
      <w:r w:rsidR="00F25924" w:rsidRPr="008843F0">
        <w:rPr>
          <w:b/>
        </w:rPr>
        <w:t xml:space="preserve"> </w:t>
      </w:r>
      <w:r w:rsidR="00F25924">
        <w:rPr>
          <w:b/>
        </w:rPr>
        <w:t>&lt;</w:t>
      </w:r>
      <w:r w:rsidR="00F25924" w:rsidRPr="002B2FD9">
        <w:t>https://bloodsafelearning.org.au/</w:t>
      </w:r>
      <w:r w:rsidR="00F25924">
        <w:t>&gt;</w:t>
      </w:r>
    </w:p>
    <w:p w14:paraId="20A81A05" w14:textId="77777777" w:rsidR="000E4493" w:rsidRPr="00F25924" w:rsidRDefault="000E4493" w:rsidP="002B2FD9">
      <w:pPr>
        <w:pStyle w:val="Bullet1"/>
      </w:pPr>
      <w:r w:rsidRPr="00F25924">
        <w:t xml:space="preserve">Patient Blood Management courses, in particular the ‘Perioperative’ and ‘Iron deficiency anaemia’ courses </w:t>
      </w:r>
    </w:p>
    <w:p w14:paraId="6BFB061C" w14:textId="77777777" w:rsidR="000E4493" w:rsidRPr="00F25924" w:rsidRDefault="000E4493" w:rsidP="002B2FD9">
      <w:pPr>
        <w:pStyle w:val="Bullet1"/>
      </w:pPr>
      <w:r w:rsidRPr="00F25924">
        <w:t>IV Iron administration in primary care (video)</w:t>
      </w:r>
    </w:p>
    <w:p w14:paraId="18264747" w14:textId="77777777" w:rsidR="000E4493" w:rsidRPr="00F25924" w:rsidRDefault="000E4493" w:rsidP="002B2FD9">
      <w:pPr>
        <w:pStyle w:val="Bullet1"/>
      </w:pPr>
      <w:r w:rsidRPr="00F25924">
        <w:t>IDA App</w:t>
      </w:r>
    </w:p>
    <w:p w14:paraId="0F891FE0" w14:textId="77777777" w:rsidR="000E4493" w:rsidRPr="00F25924" w:rsidRDefault="000E4493" w:rsidP="002B2FD9">
      <w:pPr>
        <w:pStyle w:val="Bullet1"/>
      </w:pPr>
      <w:r w:rsidRPr="00F25924">
        <w:t>IV iron tools</w:t>
      </w:r>
    </w:p>
    <w:p w14:paraId="739F45AF" w14:textId="77777777" w:rsidR="00F25924" w:rsidRDefault="000E4493" w:rsidP="00F25924">
      <w:pPr>
        <w:pStyle w:val="Heading2"/>
      </w:pPr>
      <w:bookmarkStart w:id="118" w:name="_Toc78958799"/>
      <w:r w:rsidRPr="008843F0">
        <w:t xml:space="preserve">Australian Red Cross </w:t>
      </w:r>
      <w:r w:rsidRPr="00F25924">
        <w:t>Lifeblood</w:t>
      </w:r>
      <w:bookmarkEnd w:id="118"/>
    </w:p>
    <w:p w14:paraId="1A9886E1" w14:textId="16F5BB54" w:rsidR="000E4493" w:rsidRPr="00F25924" w:rsidRDefault="005E52B4">
      <w:pPr>
        <w:pStyle w:val="Body"/>
      </w:pPr>
      <w:hyperlink r:id="rId74" w:history="1">
        <w:r w:rsidR="00F25924" w:rsidRPr="002B2FD9">
          <w:rPr>
            <w:rStyle w:val="Hyperlink"/>
          </w:rPr>
          <w:t>Australian Red Cross Lifeblood website</w:t>
        </w:r>
      </w:hyperlink>
      <w:r w:rsidR="00F25924" w:rsidRPr="00F25924">
        <w:t xml:space="preserve"> </w:t>
      </w:r>
      <w:r w:rsidR="00F25924">
        <w:t>&lt;</w:t>
      </w:r>
      <w:r w:rsidR="00F25924" w:rsidRPr="002B2FD9">
        <w:t>https://transfusion.com.au/transfusion_practice/patient_blood_management</w:t>
      </w:r>
      <w:r w:rsidR="00F25924">
        <w:t>&gt;</w:t>
      </w:r>
      <w:r w:rsidR="000E4493" w:rsidRPr="00F25924">
        <w:t xml:space="preserve"> </w:t>
      </w:r>
    </w:p>
    <w:p w14:paraId="687B298C" w14:textId="77777777" w:rsidR="000E4493" w:rsidRPr="00C43E1B" w:rsidRDefault="000E4493" w:rsidP="002B2FD9">
      <w:pPr>
        <w:pStyle w:val="Bullet1"/>
      </w:pPr>
      <w:r w:rsidRPr="00C43E1B">
        <w:t xml:space="preserve">Patient blood management pack </w:t>
      </w:r>
    </w:p>
    <w:p w14:paraId="57F5C875" w14:textId="77777777" w:rsidR="000E4493" w:rsidRPr="00C43E1B" w:rsidRDefault="000E4493" w:rsidP="002B2FD9">
      <w:pPr>
        <w:pStyle w:val="Bullet1"/>
      </w:pPr>
      <w:proofErr w:type="spellStart"/>
      <w:r w:rsidRPr="00C43E1B">
        <w:t>iTransfsue</w:t>
      </w:r>
      <w:proofErr w:type="spellEnd"/>
      <w:r w:rsidRPr="00C43E1B">
        <w:t xml:space="preserve"> App</w:t>
      </w:r>
    </w:p>
    <w:p w14:paraId="0B18203A" w14:textId="77777777" w:rsidR="000E4493" w:rsidRPr="00C43E1B" w:rsidRDefault="000E4493" w:rsidP="002B2FD9">
      <w:pPr>
        <w:pStyle w:val="Bullet1"/>
      </w:pPr>
      <w:r w:rsidRPr="00C43E1B">
        <w:t xml:space="preserve">Blood Component Prescribing Checklist </w:t>
      </w:r>
    </w:p>
    <w:p w14:paraId="3798FDE1" w14:textId="77777777" w:rsidR="000E4493" w:rsidRPr="00C43E1B" w:rsidRDefault="000E4493" w:rsidP="002B2FD9">
      <w:pPr>
        <w:pStyle w:val="Bullet1"/>
      </w:pPr>
      <w:r w:rsidRPr="00C43E1B">
        <w:t>Toolkit for Maternity Blood Management</w:t>
      </w:r>
    </w:p>
    <w:p w14:paraId="3AA5E6E6" w14:textId="6C20431B" w:rsidR="00F25924" w:rsidRPr="00C43E1B" w:rsidRDefault="000E4493" w:rsidP="002B2FD9">
      <w:pPr>
        <w:pStyle w:val="Bullet1"/>
      </w:pPr>
      <w:r w:rsidRPr="00C43E1B">
        <w:t xml:space="preserve">Presentations </w:t>
      </w:r>
    </w:p>
    <w:p w14:paraId="6A22C81D" w14:textId="2CBB487D" w:rsidR="00C43E1B" w:rsidRPr="00C43E1B" w:rsidRDefault="000E4493" w:rsidP="002B2FD9">
      <w:pPr>
        <w:pStyle w:val="Bullet2"/>
      </w:pPr>
      <w:r w:rsidRPr="00C43E1B">
        <w:t>Understanding iron deficiency anaemia</w:t>
      </w:r>
    </w:p>
    <w:p w14:paraId="3E240857" w14:textId="27D8A99F" w:rsidR="00C43E1B" w:rsidRPr="00C43E1B" w:rsidRDefault="000E4493" w:rsidP="002B2FD9">
      <w:pPr>
        <w:pStyle w:val="Bullet2"/>
      </w:pPr>
      <w:r w:rsidRPr="00C43E1B">
        <w:t>Administering iron products</w:t>
      </w:r>
    </w:p>
    <w:p w14:paraId="293E3102" w14:textId="3DEFF3CE" w:rsidR="00C43E1B" w:rsidRPr="00C43E1B" w:rsidRDefault="000E4493" w:rsidP="002B2FD9">
      <w:pPr>
        <w:pStyle w:val="Bullet2"/>
      </w:pPr>
      <w:r w:rsidRPr="00C43E1B">
        <w:t>Anaemia: iron and beyond</w:t>
      </w:r>
    </w:p>
    <w:p w14:paraId="3A8F55E1" w14:textId="396904C5" w:rsidR="00C43E1B" w:rsidRPr="00C43E1B" w:rsidRDefault="000E4493" w:rsidP="002B2FD9">
      <w:pPr>
        <w:pStyle w:val="Bullet2"/>
      </w:pPr>
      <w:r w:rsidRPr="00C43E1B">
        <w:t>Getting anaemia right</w:t>
      </w:r>
    </w:p>
    <w:p w14:paraId="19F89F4C" w14:textId="0CE8D8BB" w:rsidR="00C43E1B" w:rsidRPr="00C43E1B" w:rsidRDefault="000E4493" w:rsidP="002B2FD9">
      <w:pPr>
        <w:pStyle w:val="Bullet2"/>
      </w:pPr>
      <w:r w:rsidRPr="00C43E1B">
        <w:t>Obstetric and maternal patient blood management (PBM)</w:t>
      </w:r>
    </w:p>
    <w:p w14:paraId="03506C0C" w14:textId="27DE65EB" w:rsidR="000E4493" w:rsidRPr="00C43E1B" w:rsidRDefault="000E4493" w:rsidP="002B2FD9">
      <w:pPr>
        <w:pStyle w:val="Bullet2"/>
      </w:pPr>
      <w:r w:rsidRPr="00C43E1B">
        <w:t xml:space="preserve">Improving blood management in obstetrics </w:t>
      </w:r>
    </w:p>
    <w:p w14:paraId="3F4DAA87" w14:textId="34D5AFC5" w:rsidR="000E4493" w:rsidRPr="008843F0" w:rsidRDefault="005E52B4" w:rsidP="002B2FD9">
      <w:pPr>
        <w:pStyle w:val="Bullet1"/>
      </w:pPr>
      <w:hyperlink r:id="rId75" w:history="1">
        <w:r w:rsidR="000E4493" w:rsidRPr="002B2FD9">
          <w:rPr>
            <w:rStyle w:val="Hyperlink"/>
          </w:rPr>
          <w:t>Mytransfusion</w:t>
        </w:r>
        <w:r w:rsidR="000E4493" w:rsidRPr="00C43E1B">
          <w:rPr>
            <w:rStyle w:val="Hyperlink"/>
          </w:rPr>
          <w:t xml:space="preserve"> website</w:t>
        </w:r>
      </w:hyperlink>
      <w:r w:rsidR="000E4493" w:rsidRPr="008843F0">
        <w:t xml:space="preserve"> </w:t>
      </w:r>
      <w:r w:rsidR="00C43E1B">
        <w:t>&lt;</w:t>
      </w:r>
      <w:r w:rsidR="00C43E1B" w:rsidRPr="002B2FD9">
        <w:t>https://mytransfusion.com.au/avoid-transfusion-1</w:t>
      </w:r>
      <w:r w:rsidR="00C43E1B">
        <w:t>&gt;</w:t>
      </w:r>
      <w:r w:rsidR="000E4493" w:rsidRPr="008843F0">
        <w:t xml:space="preserve"> </w:t>
      </w:r>
    </w:p>
    <w:p w14:paraId="2193D04B" w14:textId="04C4DB08" w:rsidR="000E4493" w:rsidRPr="002B2FD9" w:rsidRDefault="000E4493" w:rsidP="002B2FD9">
      <w:pPr>
        <w:pStyle w:val="Heading2"/>
        <w:rPr>
          <w:b w:val="0"/>
        </w:rPr>
      </w:pPr>
      <w:bookmarkStart w:id="119" w:name="_Toc78958800"/>
      <w:r w:rsidRPr="008843F0">
        <w:t>BloodSafe, SA Health</w:t>
      </w:r>
      <w:bookmarkEnd w:id="119"/>
    </w:p>
    <w:p w14:paraId="3EAA9028" w14:textId="721D785E" w:rsidR="000E4493" w:rsidRPr="00C43E1B" w:rsidRDefault="005E52B4" w:rsidP="002B2FD9">
      <w:pPr>
        <w:pStyle w:val="Bullet1"/>
      </w:pPr>
      <w:hyperlink r:id="rId76" w:history="1">
        <w:r w:rsidR="00C43E1B" w:rsidRPr="00C43E1B">
          <w:rPr>
            <w:rStyle w:val="Hyperlink"/>
          </w:rPr>
          <w:t>BloodSafe iron deficiency anaemia resources (health professionals)</w:t>
        </w:r>
      </w:hyperlink>
      <w:r w:rsidR="00C43E1B">
        <w:t xml:space="preserve"> &lt;</w:t>
      </w:r>
      <w:r w:rsidR="00C43E1B" w:rsidRPr="002B2FD9">
        <w:t>https://www.sahealth.sa.gov.au/wps/wcm/connect/public+content/sa+health+internet/clinical+resources/clinical+programs+and+practice+guidelines/blood+organ+and+tissue/blood+management/anaemia+management</w:t>
      </w:r>
      <w:r w:rsidR="00C43E1B">
        <w:t>&gt;</w:t>
      </w:r>
    </w:p>
    <w:p w14:paraId="3069303D" w14:textId="57C3348D" w:rsidR="000E4493" w:rsidRPr="00C43E1B" w:rsidRDefault="005E52B4" w:rsidP="002B2FD9">
      <w:pPr>
        <w:pStyle w:val="Bullet1"/>
      </w:pPr>
      <w:hyperlink r:id="rId77" w:history="1">
        <w:r w:rsidR="000E4493" w:rsidRPr="002B2FD9">
          <w:rPr>
            <w:rStyle w:val="Hyperlink"/>
          </w:rPr>
          <w:t>Iron deficiency anaemia resources (consumers)</w:t>
        </w:r>
      </w:hyperlink>
      <w:r w:rsidR="000E4493" w:rsidRPr="00C43E1B">
        <w:t xml:space="preserve"> </w:t>
      </w:r>
      <w:r w:rsidR="00C43E1B">
        <w:t>&lt;</w:t>
      </w:r>
      <w:r w:rsidR="00C43E1B" w:rsidRPr="002B2FD9">
        <w:t>https://www.sahealth.sa.gov.au/wps/wcm/connect/public+content/sa+health+internet/conditions/blood+organ+and+tissue/iron+deficiency+and+iron+therapy</w:t>
      </w:r>
      <w:r w:rsidR="00C43E1B">
        <w:t>&gt;</w:t>
      </w:r>
    </w:p>
    <w:p w14:paraId="28CBC296" w14:textId="77777777" w:rsidR="00C43E1B" w:rsidRDefault="000E4493" w:rsidP="002B2FD9">
      <w:pPr>
        <w:pStyle w:val="Heading2"/>
        <w:rPr>
          <w:shd w:val="clear" w:color="auto" w:fill="FFFFFF"/>
        </w:rPr>
      </w:pPr>
      <w:bookmarkStart w:id="120" w:name="_Toc78958801"/>
      <w:r w:rsidRPr="008843F0">
        <w:rPr>
          <w:shd w:val="clear" w:color="auto" w:fill="FFFFFF"/>
        </w:rPr>
        <w:t xml:space="preserve">The Australian and New Zealand College of </w:t>
      </w:r>
      <w:r w:rsidRPr="002B2FD9">
        <w:t>Perfusionists</w:t>
      </w:r>
      <w:r w:rsidRPr="008843F0">
        <w:rPr>
          <w:shd w:val="clear" w:color="auto" w:fill="FFFFFF"/>
        </w:rPr>
        <w:t xml:space="preserve"> (ANZCP):</w:t>
      </w:r>
      <w:bookmarkEnd w:id="120"/>
    </w:p>
    <w:p w14:paraId="2FF5D0FC" w14:textId="5414B1B0" w:rsidR="000E4493" w:rsidRPr="008843F0" w:rsidRDefault="005E52B4" w:rsidP="000E4493">
      <w:pPr>
        <w:pStyle w:val="Body"/>
        <w:rPr>
          <w:rFonts w:cs="Arial"/>
        </w:rPr>
      </w:pPr>
      <w:hyperlink r:id="rId78" w:history="1">
        <w:r w:rsidR="00C43E1B" w:rsidRPr="00C43E1B">
          <w:rPr>
            <w:rStyle w:val="Hyperlink"/>
            <w:rFonts w:cs="Arial"/>
          </w:rPr>
          <w:t>ANZCP website</w:t>
        </w:r>
      </w:hyperlink>
      <w:r w:rsidR="000E4493" w:rsidRPr="008843F0">
        <w:rPr>
          <w:rFonts w:cs="Arial"/>
        </w:rPr>
        <w:t xml:space="preserve"> </w:t>
      </w:r>
      <w:r w:rsidR="00C43E1B">
        <w:rPr>
          <w:rFonts w:cs="Arial"/>
        </w:rPr>
        <w:t>&lt;</w:t>
      </w:r>
      <w:r w:rsidR="00C43E1B" w:rsidRPr="002B2FD9">
        <w:t>https://anzcp.org/</w:t>
      </w:r>
      <w:r w:rsidR="00C43E1B">
        <w:rPr>
          <w:rFonts w:cs="Arial"/>
        </w:rPr>
        <w:t>&gt;</w:t>
      </w:r>
    </w:p>
    <w:p w14:paraId="045F22C0" w14:textId="77777777" w:rsidR="000E4493" w:rsidRPr="00C43E1B" w:rsidRDefault="000E4493" w:rsidP="002B2FD9">
      <w:pPr>
        <w:pStyle w:val="Bullet1"/>
      </w:pPr>
      <w:r w:rsidRPr="00C43E1B">
        <w:t>Structured course in clinical perfusion</w:t>
      </w:r>
    </w:p>
    <w:p w14:paraId="50C4D300" w14:textId="77777777" w:rsidR="000E4493" w:rsidRPr="00C43E1B" w:rsidRDefault="000E4493" w:rsidP="002B2FD9">
      <w:pPr>
        <w:pStyle w:val="Bullet1"/>
      </w:pPr>
      <w:r w:rsidRPr="00C43E1B">
        <w:t>Autotransfusion course</w:t>
      </w:r>
    </w:p>
    <w:p w14:paraId="29DF8A22" w14:textId="77777777" w:rsidR="000E4493" w:rsidRPr="008843F0" w:rsidRDefault="000E4493" w:rsidP="000E4493">
      <w:pPr>
        <w:pStyle w:val="Body"/>
        <w:rPr>
          <w:rFonts w:cs="Arial"/>
          <w:bCs/>
          <w:color w:val="DA372E"/>
          <w:sz w:val="44"/>
          <w:szCs w:val="44"/>
        </w:rPr>
      </w:pPr>
      <w:r w:rsidRPr="008843F0">
        <w:rPr>
          <w:rFonts w:cs="Arial"/>
        </w:rPr>
        <w:br w:type="page"/>
      </w:r>
    </w:p>
    <w:p w14:paraId="7FC2F9BD" w14:textId="38F1A127" w:rsidR="000E4493" w:rsidRDefault="000E4493" w:rsidP="001A3111">
      <w:pPr>
        <w:pStyle w:val="Heading1"/>
      </w:pPr>
      <w:bookmarkStart w:id="121" w:name="_Toc72314136"/>
      <w:bookmarkStart w:id="122" w:name="_Toc78958802"/>
      <w:r w:rsidRPr="008843F0">
        <w:lastRenderedPageBreak/>
        <w:t>Appendix 3</w:t>
      </w:r>
      <w:r w:rsidR="001A3111">
        <w:t>:</w:t>
      </w:r>
      <w:r w:rsidRPr="008843F0">
        <w:t xml:space="preserve"> </w:t>
      </w:r>
      <w:r w:rsidRPr="00DF1B38">
        <w:t>Audit</w:t>
      </w:r>
      <w:r w:rsidRPr="008843F0">
        <w:t xml:space="preserve"> instructions</w:t>
      </w:r>
      <w:bookmarkEnd w:id="113"/>
      <w:bookmarkEnd w:id="121"/>
      <w:bookmarkEnd w:id="122"/>
      <w:r w:rsidR="000372C7">
        <w:t xml:space="preserve"> </w:t>
      </w:r>
    </w:p>
    <w:p w14:paraId="75F3BB1F" w14:textId="6E42E3A1" w:rsidR="000E4493" w:rsidRPr="008843F0" w:rsidRDefault="000372C7" w:rsidP="000E4493">
      <w:pPr>
        <w:pStyle w:val="Body"/>
      </w:pPr>
      <w:r>
        <w:t xml:space="preserve">Access the </w:t>
      </w:r>
      <w:hyperlink r:id="rId79" w:history="1">
        <w:r w:rsidRPr="000372C7">
          <w:rPr>
            <w:rStyle w:val="Hyperlink"/>
          </w:rPr>
          <w:t>audit instructions on the Blood Matters website</w:t>
        </w:r>
      </w:hyperlink>
      <w:r>
        <w:t xml:space="preserve"> </w:t>
      </w:r>
      <w:r w:rsidRPr="000372C7">
        <w:t>&lt;</w:t>
      </w:r>
      <w:r w:rsidRPr="002B2FD9">
        <w:t>https://www2.health.vic.gov.au/hospitals-and-health-services/patient-care/speciality-diagnostics-therapeutics/blood-matters/transfusion-audits/blood-matters-audits&gt;</w:t>
      </w:r>
      <w:r>
        <w:t>.</w:t>
      </w:r>
    </w:p>
    <w:p w14:paraId="6CD7D235" w14:textId="77777777" w:rsidR="000E4493" w:rsidRPr="008843F0" w:rsidRDefault="000E4493" w:rsidP="000E4493">
      <w:pPr>
        <w:pStyle w:val="Body"/>
      </w:pPr>
      <w:r w:rsidRPr="008843F0">
        <w:rPr>
          <w:rFonts w:ascii="Cambria" w:hAnsi="Cambria"/>
        </w:rPr>
        <w:br w:type="page"/>
      </w:r>
    </w:p>
    <w:p w14:paraId="2EA81A7D" w14:textId="22CDDE4E" w:rsidR="000E4493" w:rsidRDefault="000E4493" w:rsidP="002B2FD9">
      <w:pPr>
        <w:pStyle w:val="Heading1"/>
      </w:pPr>
      <w:bookmarkStart w:id="123" w:name="_Toc69106582"/>
      <w:bookmarkStart w:id="124" w:name="_Toc72314137"/>
      <w:bookmarkStart w:id="125" w:name="_Toc78958803"/>
      <w:r w:rsidRPr="008843F0">
        <w:lastRenderedPageBreak/>
        <w:t>Appendix 4</w:t>
      </w:r>
      <w:r w:rsidR="007B7978">
        <w:t>:</w:t>
      </w:r>
      <w:r w:rsidRPr="008843F0">
        <w:t xml:space="preserve"> Data </w:t>
      </w:r>
      <w:r w:rsidRPr="008F5214">
        <w:t>collection</w:t>
      </w:r>
      <w:r w:rsidRPr="008843F0">
        <w:t xml:space="preserve"> tool</w:t>
      </w:r>
      <w:bookmarkEnd w:id="123"/>
      <w:bookmarkEnd w:id="124"/>
      <w:bookmarkEnd w:id="125"/>
    </w:p>
    <w:p w14:paraId="6A844B21" w14:textId="1ED7AEDD" w:rsidR="000E4493" w:rsidRPr="008843F0" w:rsidRDefault="000372C7" w:rsidP="000E4493">
      <w:pPr>
        <w:pStyle w:val="Body"/>
      </w:pPr>
      <w:r>
        <w:t xml:space="preserve">Access the </w:t>
      </w:r>
      <w:hyperlink r:id="rId80" w:history="1">
        <w:r w:rsidRPr="000372C7">
          <w:rPr>
            <w:rStyle w:val="Hyperlink"/>
          </w:rPr>
          <w:t>data collection tool on the Blood Matters website</w:t>
        </w:r>
      </w:hyperlink>
      <w:r>
        <w:t xml:space="preserve"> </w:t>
      </w:r>
      <w:r w:rsidRPr="007727DB">
        <w:t>&lt;https://www2.health.vic.gov.au/hospitals-and-health-services/patient-care/speciality-diagnostics-therapeutics/blood-matters/transfusion-audits/blood-matters-audits&gt;.</w:t>
      </w:r>
    </w:p>
    <w:p w14:paraId="70432D5E" w14:textId="77777777" w:rsidR="000E4493" w:rsidRPr="008843F0" w:rsidRDefault="000E4493" w:rsidP="000E4493">
      <w:pPr>
        <w:pStyle w:val="Body"/>
        <w:rPr>
          <w:bCs/>
          <w:color w:val="DA372E"/>
          <w:sz w:val="44"/>
          <w:szCs w:val="44"/>
        </w:rPr>
      </w:pPr>
      <w:r w:rsidRPr="008843F0">
        <w:rPr>
          <w:rFonts w:ascii="Cambria" w:hAnsi="Cambria"/>
        </w:rPr>
        <w:t xml:space="preserve"> </w:t>
      </w:r>
      <w:r w:rsidRPr="008843F0">
        <w:rPr>
          <w:rFonts w:ascii="Cambria" w:hAnsi="Cambria"/>
        </w:rPr>
        <w:br w:type="page"/>
      </w:r>
    </w:p>
    <w:p w14:paraId="5C305D11" w14:textId="015DD301" w:rsidR="000E4493" w:rsidRPr="008843F0" w:rsidRDefault="000E4493" w:rsidP="002B2FD9">
      <w:pPr>
        <w:pStyle w:val="Heading1"/>
      </w:pPr>
      <w:bookmarkStart w:id="126" w:name="_Toc69106583"/>
      <w:bookmarkStart w:id="127" w:name="_Toc72314138"/>
      <w:bookmarkStart w:id="128" w:name="_Toc78958804"/>
      <w:r w:rsidRPr="008843F0">
        <w:lastRenderedPageBreak/>
        <w:t>Appendix 5</w:t>
      </w:r>
      <w:r w:rsidR="000372C7">
        <w:t>:</w:t>
      </w:r>
      <w:r w:rsidRPr="008843F0">
        <w:t xml:space="preserve"> </w:t>
      </w:r>
      <w:r w:rsidRPr="008F5214">
        <w:t>Consolidated</w:t>
      </w:r>
      <w:r w:rsidRPr="008843F0">
        <w:t xml:space="preserve"> information for specific surgical groups</w:t>
      </w:r>
      <w:bookmarkEnd w:id="126"/>
      <w:bookmarkEnd w:id="127"/>
      <w:r w:rsidR="002F2114">
        <w:t xml:space="preserve"> on preoperative management</w:t>
      </w:r>
      <w:bookmarkEnd w:id="128"/>
    </w:p>
    <w:p w14:paraId="466F40FF" w14:textId="672C082C" w:rsidR="000E4493" w:rsidRDefault="00E14C18" w:rsidP="002B2FD9">
      <w:pPr>
        <w:pStyle w:val="Heading2"/>
        <w:rPr>
          <w:rFonts w:eastAsiaTheme="minorHAnsi"/>
        </w:rPr>
      </w:pPr>
      <w:bookmarkStart w:id="129" w:name="_Toc75325164"/>
      <w:bookmarkStart w:id="130" w:name="_Toc78958805"/>
      <w:r w:rsidRPr="008843F0">
        <w:rPr>
          <w:rFonts w:eastAsiaTheme="minorHAnsi"/>
        </w:rPr>
        <w:t xml:space="preserve">Orthopaedic </w:t>
      </w:r>
      <w:r w:rsidRPr="002B2FD9">
        <w:rPr>
          <w:rFonts w:eastAsiaTheme="minorHAnsi"/>
        </w:rPr>
        <w:t>surgery</w:t>
      </w:r>
      <w:bookmarkEnd w:id="129"/>
      <w:bookmarkEnd w:id="130"/>
    </w:p>
    <w:p w14:paraId="1F427A7F" w14:textId="6EACCF03" w:rsidR="00E14C18" w:rsidRDefault="00E14C18" w:rsidP="000E4493">
      <w:pPr>
        <w:pStyle w:val="Body"/>
        <w:rPr>
          <w:rFonts w:eastAsiaTheme="minorHAnsi" w:cs="Arial"/>
        </w:rPr>
      </w:pPr>
      <w:r w:rsidRPr="008843F0">
        <w:rPr>
          <w:rFonts w:eastAsiaTheme="minorHAnsi" w:cs="Arial"/>
          <w:b/>
        </w:rPr>
        <w:t>Returned</w:t>
      </w:r>
      <w:r>
        <w:rPr>
          <w:rFonts w:eastAsiaTheme="minorHAnsi" w:cs="Arial"/>
          <w:b/>
        </w:rPr>
        <w:t xml:space="preserve">: </w:t>
      </w:r>
      <w:r w:rsidRPr="008843F0">
        <w:rPr>
          <w:rFonts w:eastAsiaTheme="minorHAnsi" w:cs="Arial"/>
        </w:rPr>
        <w:t>772</w:t>
      </w:r>
    </w:p>
    <w:p w14:paraId="768E95BB" w14:textId="7F8E4D9E" w:rsidR="00E14C18" w:rsidRDefault="00E14C18" w:rsidP="000E4493">
      <w:pPr>
        <w:pStyle w:val="Body"/>
        <w:rPr>
          <w:rFonts w:eastAsiaTheme="minorHAnsi" w:cs="Arial"/>
        </w:rPr>
      </w:pPr>
      <w:r w:rsidRPr="008843F0">
        <w:rPr>
          <w:rFonts w:eastAsiaTheme="minorHAnsi" w:cs="Arial"/>
          <w:b/>
        </w:rPr>
        <w:t>Documented screened</w:t>
      </w:r>
      <w:r>
        <w:rPr>
          <w:rFonts w:eastAsiaTheme="minorHAnsi" w:cs="Arial"/>
          <w:b/>
        </w:rPr>
        <w:t xml:space="preserve">: </w:t>
      </w:r>
      <w:r w:rsidRPr="008843F0">
        <w:rPr>
          <w:rFonts w:eastAsiaTheme="minorHAnsi" w:cs="Arial"/>
        </w:rPr>
        <w:t>654 (8</w:t>
      </w:r>
      <w:r>
        <w:rPr>
          <w:rFonts w:eastAsiaTheme="minorHAnsi" w:cs="Arial"/>
        </w:rPr>
        <w:t>5</w:t>
      </w:r>
      <w:r w:rsidRPr="008843F0">
        <w:rPr>
          <w:rFonts w:eastAsiaTheme="minorHAnsi" w:cs="Arial"/>
        </w:rPr>
        <w:t>%)</w:t>
      </w:r>
    </w:p>
    <w:p w14:paraId="0FFD879D" w14:textId="77777777" w:rsidR="00397076" w:rsidRPr="008843F0" w:rsidRDefault="00397076" w:rsidP="00397076">
      <w:pPr>
        <w:pStyle w:val="Body"/>
        <w:rPr>
          <w:rFonts w:cs="Arial"/>
        </w:rPr>
      </w:pPr>
      <w:r w:rsidRPr="008843F0">
        <w:rPr>
          <w:rFonts w:cs="Arial"/>
        </w:rPr>
        <w:t>The largest proportion of returned audits related to the elective orthopaedic cohort (50</w:t>
      </w:r>
      <w:r>
        <w:rPr>
          <w:rFonts w:cs="Arial"/>
        </w:rPr>
        <w:t xml:space="preserve"> per cent</w:t>
      </w:r>
      <w:r w:rsidRPr="008843F0">
        <w:rPr>
          <w:rFonts w:cs="Arial"/>
        </w:rPr>
        <w:t xml:space="preserve">). This group has been a focus of a number of projects to improve preoperative management over the years, including the Australian Commission on Safety and Quality in Healthcare National Patient Blood Management Collaborative (2015-17). </w:t>
      </w:r>
    </w:p>
    <w:p w14:paraId="11449B11" w14:textId="49F8F746" w:rsidR="00397076" w:rsidRDefault="00397076" w:rsidP="00397076">
      <w:pPr>
        <w:pStyle w:val="Body"/>
        <w:rPr>
          <w:rFonts w:cs="Arial"/>
        </w:rPr>
      </w:pPr>
      <w:r w:rsidRPr="008843F0">
        <w:rPr>
          <w:rFonts w:cs="Arial"/>
        </w:rPr>
        <w:t>The orthopaedic group has previously been a focus of audits by Blood Matters. In 2009, Blood Matters undertook an audit Patient blood management in elective orthopaedic surgery. In this audit it was found that only 20 per</w:t>
      </w:r>
      <w:r>
        <w:rPr>
          <w:rFonts w:cs="Arial"/>
        </w:rPr>
        <w:t xml:space="preserve"> </w:t>
      </w:r>
      <w:r w:rsidRPr="008843F0">
        <w:rPr>
          <w:rFonts w:cs="Arial"/>
        </w:rPr>
        <w:t>cent of patients had a preoperative haemoglobin available and 40 per</w:t>
      </w:r>
      <w:r>
        <w:rPr>
          <w:rFonts w:cs="Arial"/>
        </w:rPr>
        <w:t xml:space="preserve"> </w:t>
      </w:r>
      <w:r w:rsidRPr="008843F0">
        <w:rPr>
          <w:rFonts w:cs="Arial"/>
        </w:rPr>
        <w:t>cent of patients were transfused.</w:t>
      </w:r>
    </w:p>
    <w:p w14:paraId="6F3309CD" w14:textId="4F1D52A8" w:rsidR="00397076" w:rsidRDefault="00397076" w:rsidP="00397076">
      <w:pPr>
        <w:pStyle w:val="Heading3"/>
      </w:pPr>
      <w:r w:rsidRPr="008843F0">
        <w:t xml:space="preserve">Timing of </w:t>
      </w:r>
      <w:r w:rsidRPr="00397076">
        <w:t>screening</w:t>
      </w:r>
    </w:p>
    <w:tbl>
      <w:tblPr>
        <w:tblStyle w:val="TableGrid5"/>
        <w:tblW w:w="0" w:type="auto"/>
        <w:tblLook w:val="04A0" w:firstRow="1" w:lastRow="0" w:firstColumn="1" w:lastColumn="0" w:noHBand="0" w:noVBand="1"/>
      </w:tblPr>
      <w:tblGrid>
        <w:gridCol w:w="1824"/>
        <w:gridCol w:w="1824"/>
        <w:gridCol w:w="1824"/>
        <w:gridCol w:w="1824"/>
      </w:tblGrid>
      <w:tr w:rsidR="00397076" w:rsidRPr="008843F0" w14:paraId="40357CAA" w14:textId="77777777" w:rsidTr="002B2FD9">
        <w:trPr>
          <w:tblHeader/>
        </w:trPr>
        <w:tc>
          <w:tcPr>
            <w:tcW w:w="1824" w:type="dxa"/>
          </w:tcPr>
          <w:p w14:paraId="30D0DB7B" w14:textId="2E3B2136" w:rsidR="00397076" w:rsidRPr="008843F0" w:rsidRDefault="00397076" w:rsidP="002B2FD9">
            <w:pPr>
              <w:pStyle w:val="Tablecolhead"/>
              <w:rPr>
                <w:rFonts w:eastAsiaTheme="minorHAnsi"/>
              </w:rPr>
            </w:pPr>
            <w:r w:rsidRPr="008843F0">
              <w:rPr>
                <w:rFonts w:eastAsiaTheme="minorHAnsi"/>
              </w:rPr>
              <w:t>&gt;</w:t>
            </w:r>
            <w:r>
              <w:rPr>
                <w:rFonts w:eastAsiaTheme="minorHAnsi"/>
              </w:rPr>
              <w:t xml:space="preserve"> </w:t>
            </w:r>
            <w:r w:rsidRPr="008843F0">
              <w:rPr>
                <w:rFonts w:eastAsiaTheme="minorHAnsi"/>
              </w:rPr>
              <w:t>4 weeks</w:t>
            </w:r>
          </w:p>
        </w:tc>
        <w:tc>
          <w:tcPr>
            <w:tcW w:w="1824" w:type="dxa"/>
          </w:tcPr>
          <w:p w14:paraId="5780B847" w14:textId="4B2FDC3B" w:rsidR="00397076" w:rsidRPr="008843F0" w:rsidRDefault="00397076" w:rsidP="002B2FD9">
            <w:pPr>
              <w:pStyle w:val="Tablecolhead"/>
              <w:rPr>
                <w:rFonts w:eastAsiaTheme="minorHAnsi"/>
              </w:rPr>
            </w:pPr>
            <w:r w:rsidRPr="008843F0">
              <w:rPr>
                <w:rFonts w:eastAsiaTheme="minorHAnsi"/>
              </w:rPr>
              <w:t>1–4 weeks</w:t>
            </w:r>
          </w:p>
        </w:tc>
        <w:tc>
          <w:tcPr>
            <w:tcW w:w="1824" w:type="dxa"/>
          </w:tcPr>
          <w:p w14:paraId="002A5749" w14:textId="0620AA8A" w:rsidR="00397076" w:rsidRPr="008843F0" w:rsidRDefault="00397076" w:rsidP="002B2FD9">
            <w:pPr>
              <w:pStyle w:val="Tablecolhead"/>
              <w:rPr>
                <w:rFonts w:eastAsiaTheme="minorHAnsi"/>
              </w:rPr>
            </w:pPr>
            <w:r w:rsidRPr="008843F0">
              <w:rPr>
                <w:rFonts w:eastAsiaTheme="minorHAnsi"/>
              </w:rPr>
              <w:t>&lt;</w:t>
            </w:r>
            <w:r>
              <w:rPr>
                <w:rFonts w:eastAsiaTheme="minorHAnsi"/>
              </w:rPr>
              <w:t xml:space="preserve"> </w:t>
            </w:r>
            <w:r w:rsidRPr="008843F0">
              <w:rPr>
                <w:rFonts w:eastAsiaTheme="minorHAnsi"/>
              </w:rPr>
              <w:t>1 week</w:t>
            </w:r>
          </w:p>
        </w:tc>
        <w:tc>
          <w:tcPr>
            <w:tcW w:w="1824" w:type="dxa"/>
          </w:tcPr>
          <w:p w14:paraId="736336AD" w14:textId="77777777" w:rsidR="00397076" w:rsidRPr="008843F0" w:rsidRDefault="00397076" w:rsidP="002B2FD9">
            <w:pPr>
              <w:pStyle w:val="Tablecolhead"/>
              <w:rPr>
                <w:rFonts w:eastAsiaTheme="minorHAnsi"/>
              </w:rPr>
            </w:pPr>
            <w:r w:rsidRPr="008843F0">
              <w:rPr>
                <w:rFonts w:eastAsiaTheme="minorHAnsi"/>
              </w:rPr>
              <w:t>Day prior to surgery</w:t>
            </w:r>
          </w:p>
        </w:tc>
      </w:tr>
      <w:tr w:rsidR="00397076" w:rsidRPr="008843F0" w14:paraId="23716C39" w14:textId="77777777" w:rsidTr="003C2836">
        <w:tc>
          <w:tcPr>
            <w:tcW w:w="1824" w:type="dxa"/>
          </w:tcPr>
          <w:p w14:paraId="5EFC6AAF" w14:textId="77777777" w:rsidR="00397076" w:rsidRPr="008843F0" w:rsidRDefault="00397076" w:rsidP="003C2836">
            <w:pPr>
              <w:pStyle w:val="Body"/>
              <w:rPr>
                <w:rFonts w:eastAsiaTheme="minorHAnsi" w:cs="Arial"/>
              </w:rPr>
            </w:pPr>
            <w:r w:rsidRPr="008843F0">
              <w:rPr>
                <w:rFonts w:eastAsiaTheme="minorHAnsi" w:cs="Arial"/>
              </w:rPr>
              <w:t>320 (49%)</w:t>
            </w:r>
          </w:p>
        </w:tc>
        <w:tc>
          <w:tcPr>
            <w:tcW w:w="1824" w:type="dxa"/>
          </w:tcPr>
          <w:p w14:paraId="1495AF1E" w14:textId="77777777" w:rsidR="00397076" w:rsidRPr="008843F0" w:rsidRDefault="00397076" w:rsidP="003C2836">
            <w:pPr>
              <w:pStyle w:val="Body"/>
              <w:rPr>
                <w:rFonts w:eastAsiaTheme="minorHAnsi" w:cs="Arial"/>
              </w:rPr>
            </w:pPr>
            <w:r w:rsidRPr="008843F0">
              <w:rPr>
                <w:rFonts w:eastAsiaTheme="minorHAnsi" w:cs="Arial"/>
              </w:rPr>
              <w:t>252 (39%)</w:t>
            </w:r>
          </w:p>
        </w:tc>
        <w:tc>
          <w:tcPr>
            <w:tcW w:w="1824" w:type="dxa"/>
          </w:tcPr>
          <w:p w14:paraId="4D6BC8D2" w14:textId="77777777" w:rsidR="00397076" w:rsidRPr="008843F0" w:rsidRDefault="00397076" w:rsidP="003C2836">
            <w:pPr>
              <w:pStyle w:val="Body"/>
              <w:rPr>
                <w:rFonts w:eastAsiaTheme="minorHAnsi" w:cs="Arial"/>
              </w:rPr>
            </w:pPr>
            <w:r w:rsidRPr="008843F0">
              <w:rPr>
                <w:rFonts w:eastAsiaTheme="minorHAnsi" w:cs="Arial"/>
              </w:rPr>
              <w:t>57 (9%)</w:t>
            </w:r>
          </w:p>
        </w:tc>
        <w:tc>
          <w:tcPr>
            <w:tcW w:w="1824" w:type="dxa"/>
          </w:tcPr>
          <w:p w14:paraId="3B03FF99" w14:textId="77777777" w:rsidR="00397076" w:rsidRPr="008843F0" w:rsidRDefault="00397076" w:rsidP="003C2836">
            <w:pPr>
              <w:pStyle w:val="Body"/>
              <w:rPr>
                <w:rFonts w:eastAsiaTheme="minorHAnsi" w:cs="Arial"/>
              </w:rPr>
            </w:pPr>
            <w:r w:rsidRPr="008843F0">
              <w:rPr>
                <w:rFonts w:eastAsiaTheme="minorHAnsi" w:cs="Arial"/>
              </w:rPr>
              <w:t>25 (4%)</w:t>
            </w:r>
          </w:p>
        </w:tc>
      </w:tr>
    </w:tbl>
    <w:p w14:paraId="54FB4EDE" w14:textId="77777777" w:rsidR="00397076" w:rsidRPr="008843F0" w:rsidRDefault="00397076" w:rsidP="002B2FD9">
      <w:pPr>
        <w:pStyle w:val="Bodyaftertablefigure"/>
      </w:pPr>
      <w:r w:rsidRPr="008843F0">
        <w:t>While 84 per</w:t>
      </w:r>
      <w:r>
        <w:t xml:space="preserve"> </w:t>
      </w:r>
      <w:r w:rsidRPr="008843F0">
        <w:t>cent of patients were documented as having been screened for anaemia in the preoperative period, two per</w:t>
      </w:r>
      <w:r>
        <w:t xml:space="preserve"> </w:t>
      </w:r>
      <w:r w:rsidRPr="008843F0">
        <w:t xml:space="preserve">cent were </w:t>
      </w:r>
      <w:r w:rsidRPr="00397076">
        <w:t>recorded</w:t>
      </w:r>
      <w:r w:rsidRPr="008843F0">
        <w:t xml:space="preserve"> as having no blood tests performed and four per</w:t>
      </w:r>
      <w:r>
        <w:t xml:space="preserve"> </w:t>
      </w:r>
      <w:r w:rsidRPr="008843F0">
        <w:t>cent had the screening performed on the day prior to surgery. This provides no opportunity to assess if anaemia is present, and if present, the cause. Without delaying surgery, further investigation or treatment is unable to proceed.</w:t>
      </w:r>
    </w:p>
    <w:p w14:paraId="32F8E6E6" w14:textId="480D7C94" w:rsidR="00397076" w:rsidRDefault="00397076" w:rsidP="00397076">
      <w:pPr>
        <w:pStyle w:val="Body"/>
      </w:pPr>
      <w:r w:rsidRPr="008843F0">
        <w:rPr>
          <w:rFonts w:cs="Arial"/>
        </w:rPr>
        <w:t>In almost half of the patients who were screened this occurred greater than 4 weeks prior to their surgery. The timing of when the preoperative assessment occurs is important as there needs to be enough time for further investigation of the cause of anaemia, as well as treatment to improve the patients’ postoperative course. Ideally this investigation and treatment will not interfere with the proposed operative date. Delaying needed surgery is not required if investigation and treatment can occur early.</w:t>
      </w:r>
    </w:p>
    <w:p w14:paraId="58AE466E" w14:textId="448008DC" w:rsidR="00397076" w:rsidRDefault="00397076" w:rsidP="00397076">
      <w:pPr>
        <w:pStyle w:val="Heading3"/>
      </w:pPr>
      <w:r>
        <w:t>Investigations</w:t>
      </w:r>
    </w:p>
    <w:tbl>
      <w:tblPr>
        <w:tblStyle w:val="TableGrid5"/>
        <w:tblW w:w="0" w:type="auto"/>
        <w:tblLook w:val="04A0" w:firstRow="1" w:lastRow="0" w:firstColumn="1" w:lastColumn="0" w:noHBand="0" w:noVBand="1"/>
      </w:tblPr>
      <w:tblGrid>
        <w:gridCol w:w="1459"/>
        <w:gridCol w:w="1459"/>
        <w:gridCol w:w="1491"/>
        <w:gridCol w:w="1493"/>
        <w:gridCol w:w="1460"/>
      </w:tblGrid>
      <w:tr w:rsidR="00397076" w:rsidRPr="008843F0" w14:paraId="685BC670" w14:textId="77777777" w:rsidTr="002B2FD9">
        <w:trPr>
          <w:trHeight w:val="424"/>
          <w:tblHeader/>
        </w:trPr>
        <w:tc>
          <w:tcPr>
            <w:tcW w:w="1459" w:type="dxa"/>
          </w:tcPr>
          <w:p w14:paraId="39519624" w14:textId="77777777" w:rsidR="00397076" w:rsidRPr="003C2836" w:rsidRDefault="00397076" w:rsidP="002B2FD9">
            <w:pPr>
              <w:pStyle w:val="Tablecolhead"/>
            </w:pPr>
            <w:r w:rsidRPr="008F5214">
              <w:t>FBE</w:t>
            </w:r>
          </w:p>
        </w:tc>
        <w:tc>
          <w:tcPr>
            <w:tcW w:w="1459" w:type="dxa"/>
          </w:tcPr>
          <w:p w14:paraId="09F9BD12" w14:textId="77777777" w:rsidR="00397076" w:rsidRPr="00F9779F" w:rsidRDefault="00397076" w:rsidP="002B2FD9">
            <w:pPr>
              <w:pStyle w:val="Tablecolhead"/>
            </w:pPr>
            <w:r w:rsidRPr="00F9779F">
              <w:t>Ferritin</w:t>
            </w:r>
          </w:p>
        </w:tc>
        <w:tc>
          <w:tcPr>
            <w:tcW w:w="1491" w:type="dxa"/>
          </w:tcPr>
          <w:p w14:paraId="4CD714C9" w14:textId="77777777" w:rsidR="00397076" w:rsidRPr="00F9779F" w:rsidRDefault="00397076" w:rsidP="002B2FD9">
            <w:pPr>
              <w:pStyle w:val="Tablecolhead"/>
            </w:pPr>
            <w:r w:rsidRPr="00F9779F">
              <w:t>CRP</w:t>
            </w:r>
          </w:p>
        </w:tc>
        <w:tc>
          <w:tcPr>
            <w:tcW w:w="1493" w:type="dxa"/>
          </w:tcPr>
          <w:p w14:paraId="7245342A" w14:textId="77777777" w:rsidR="00397076" w:rsidRPr="007377F8" w:rsidRDefault="00397076" w:rsidP="002B2FD9">
            <w:pPr>
              <w:pStyle w:val="Tablecolhead"/>
            </w:pPr>
            <w:r w:rsidRPr="007377F8">
              <w:t>Renal function</w:t>
            </w:r>
          </w:p>
        </w:tc>
        <w:tc>
          <w:tcPr>
            <w:tcW w:w="1460" w:type="dxa"/>
          </w:tcPr>
          <w:p w14:paraId="63EF2498" w14:textId="77777777" w:rsidR="00397076" w:rsidRPr="00D11B70" w:rsidRDefault="00397076" w:rsidP="002B2FD9">
            <w:pPr>
              <w:pStyle w:val="Tablecolhead"/>
            </w:pPr>
            <w:r w:rsidRPr="00D11B70">
              <w:t>No testing</w:t>
            </w:r>
          </w:p>
        </w:tc>
      </w:tr>
      <w:tr w:rsidR="00397076" w:rsidRPr="008843F0" w14:paraId="6F7FEA6A" w14:textId="77777777" w:rsidTr="003C2836">
        <w:trPr>
          <w:trHeight w:val="424"/>
        </w:trPr>
        <w:tc>
          <w:tcPr>
            <w:tcW w:w="1459" w:type="dxa"/>
          </w:tcPr>
          <w:p w14:paraId="23D8B41F" w14:textId="77777777" w:rsidR="00397076" w:rsidRPr="008843F0" w:rsidRDefault="00397076" w:rsidP="003C2836">
            <w:pPr>
              <w:pStyle w:val="Body"/>
              <w:rPr>
                <w:rFonts w:cs="Arial"/>
              </w:rPr>
            </w:pPr>
            <w:r w:rsidRPr="008843F0">
              <w:rPr>
                <w:rFonts w:cs="Arial"/>
              </w:rPr>
              <w:t>635 (97%)</w:t>
            </w:r>
          </w:p>
        </w:tc>
        <w:tc>
          <w:tcPr>
            <w:tcW w:w="1459" w:type="dxa"/>
          </w:tcPr>
          <w:p w14:paraId="4B82BF49" w14:textId="77777777" w:rsidR="00397076" w:rsidRPr="008843F0" w:rsidRDefault="00397076" w:rsidP="003C2836">
            <w:pPr>
              <w:pStyle w:val="Body"/>
              <w:rPr>
                <w:rFonts w:cs="Arial"/>
              </w:rPr>
            </w:pPr>
            <w:r w:rsidRPr="008843F0">
              <w:rPr>
                <w:rFonts w:cs="Arial"/>
              </w:rPr>
              <w:t>377 (58%)</w:t>
            </w:r>
          </w:p>
        </w:tc>
        <w:tc>
          <w:tcPr>
            <w:tcW w:w="1491" w:type="dxa"/>
          </w:tcPr>
          <w:p w14:paraId="71F12BEF" w14:textId="77777777" w:rsidR="00397076" w:rsidRPr="008843F0" w:rsidRDefault="00397076" w:rsidP="003C2836">
            <w:pPr>
              <w:pStyle w:val="Body"/>
              <w:rPr>
                <w:rFonts w:cs="Arial"/>
              </w:rPr>
            </w:pPr>
            <w:r w:rsidRPr="008843F0">
              <w:rPr>
                <w:rFonts w:cs="Arial"/>
              </w:rPr>
              <w:t>210 (32%)</w:t>
            </w:r>
          </w:p>
        </w:tc>
        <w:tc>
          <w:tcPr>
            <w:tcW w:w="1493" w:type="dxa"/>
          </w:tcPr>
          <w:p w14:paraId="4C2F568D" w14:textId="77777777" w:rsidR="00397076" w:rsidRPr="008843F0" w:rsidRDefault="00397076" w:rsidP="003C2836">
            <w:pPr>
              <w:pStyle w:val="Body"/>
              <w:rPr>
                <w:rFonts w:cs="Arial"/>
              </w:rPr>
            </w:pPr>
            <w:r w:rsidRPr="008843F0">
              <w:rPr>
                <w:rFonts w:cs="Arial"/>
              </w:rPr>
              <w:t>518 (79%)</w:t>
            </w:r>
          </w:p>
        </w:tc>
        <w:tc>
          <w:tcPr>
            <w:tcW w:w="1460" w:type="dxa"/>
          </w:tcPr>
          <w:p w14:paraId="4F183A43" w14:textId="77777777" w:rsidR="00397076" w:rsidRPr="008843F0" w:rsidRDefault="00397076" w:rsidP="003C2836">
            <w:pPr>
              <w:pStyle w:val="Body"/>
              <w:rPr>
                <w:rFonts w:cs="Arial"/>
              </w:rPr>
            </w:pPr>
            <w:r w:rsidRPr="008843F0">
              <w:rPr>
                <w:rFonts w:cs="Arial"/>
              </w:rPr>
              <w:t>15 (2%)</w:t>
            </w:r>
          </w:p>
        </w:tc>
      </w:tr>
    </w:tbl>
    <w:p w14:paraId="7EE0AEAB" w14:textId="21DF95FC" w:rsidR="00397076" w:rsidRDefault="00397076" w:rsidP="002B2FD9">
      <w:pPr>
        <w:pStyle w:val="Bodyaftertablefigure"/>
      </w:pPr>
      <w:r w:rsidRPr="008843F0">
        <w:t>In this audit 97 per</w:t>
      </w:r>
      <w:r>
        <w:t xml:space="preserve"> </w:t>
      </w:r>
      <w:r w:rsidRPr="008843F0">
        <w:t>cent of patients had an FBE taken and 79 per</w:t>
      </w:r>
      <w:r>
        <w:t xml:space="preserve"> </w:t>
      </w:r>
      <w:r w:rsidRPr="008843F0">
        <w:t>cent renal function tests. Ferritin was tested in 58 per</w:t>
      </w:r>
      <w:r>
        <w:t xml:space="preserve"> </w:t>
      </w:r>
      <w:r w:rsidRPr="008843F0">
        <w:t>cent of patients and CRP in 32 per</w:t>
      </w:r>
      <w:r>
        <w:t xml:space="preserve"> </w:t>
      </w:r>
      <w:r w:rsidRPr="008843F0">
        <w:t>cent. It is recommended that at least FBE and ferritin are tested at baseline. This will allow recognition of those patients</w:t>
      </w:r>
      <w:r w:rsidR="005157DF">
        <w:t xml:space="preserve"> who are</w:t>
      </w:r>
      <w:r w:rsidRPr="008843F0">
        <w:t xml:space="preserve"> anaemic </w:t>
      </w:r>
      <w:r w:rsidRPr="008843F0">
        <w:lastRenderedPageBreak/>
        <w:t xml:space="preserve">and/or iron deficient. Where the patient is anaemic but not iron deficient then further investigation is required to determine the cause of anaemia. In some patients this will be </w:t>
      </w:r>
      <w:proofErr w:type="gramStart"/>
      <w:r w:rsidRPr="008843F0">
        <w:t>obvious, but</w:t>
      </w:r>
      <w:proofErr w:type="gramEnd"/>
      <w:r w:rsidRPr="008843F0">
        <w:t xml:space="preserve"> does not preclude the need to try and improve their haemoglobin if able.</w:t>
      </w:r>
    </w:p>
    <w:p w14:paraId="1CB31471" w14:textId="263831D3" w:rsidR="00397076" w:rsidRDefault="00397076" w:rsidP="00397076">
      <w:pPr>
        <w:pStyle w:val="Heading3"/>
      </w:pPr>
      <w:r w:rsidRPr="008843F0">
        <w:t>Screening results</w:t>
      </w:r>
    </w:p>
    <w:tbl>
      <w:tblPr>
        <w:tblStyle w:val="TableGrid5"/>
        <w:tblW w:w="0" w:type="auto"/>
        <w:tblLook w:val="04A0" w:firstRow="1" w:lastRow="0" w:firstColumn="1" w:lastColumn="0" w:noHBand="0" w:noVBand="1"/>
      </w:tblPr>
      <w:tblGrid>
        <w:gridCol w:w="1824"/>
        <w:gridCol w:w="1826"/>
        <w:gridCol w:w="1888"/>
        <w:gridCol w:w="1824"/>
      </w:tblGrid>
      <w:tr w:rsidR="00397076" w:rsidRPr="008843F0" w14:paraId="7BF927A8" w14:textId="77777777" w:rsidTr="002B2FD9">
        <w:trPr>
          <w:tblHeader/>
        </w:trPr>
        <w:tc>
          <w:tcPr>
            <w:tcW w:w="1824" w:type="dxa"/>
          </w:tcPr>
          <w:p w14:paraId="2993FBBB" w14:textId="77777777" w:rsidR="00397076" w:rsidRPr="008843F0" w:rsidRDefault="00397076" w:rsidP="002B2FD9">
            <w:pPr>
              <w:pStyle w:val="Tablecolhead"/>
              <w:rPr>
                <w:rFonts w:eastAsiaTheme="minorHAnsi"/>
              </w:rPr>
            </w:pPr>
            <w:r w:rsidRPr="008843F0">
              <w:rPr>
                <w:rFonts w:eastAsiaTheme="minorHAnsi"/>
              </w:rPr>
              <w:t>Anaemic or iron deficient by Module 2</w:t>
            </w:r>
          </w:p>
        </w:tc>
        <w:tc>
          <w:tcPr>
            <w:tcW w:w="1826" w:type="dxa"/>
          </w:tcPr>
          <w:p w14:paraId="2D2D03C2" w14:textId="77777777" w:rsidR="00397076" w:rsidRPr="008843F0" w:rsidRDefault="00397076" w:rsidP="002B2FD9">
            <w:pPr>
              <w:pStyle w:val="Tablecolhead"/>
              <w:rPr>
                <w:rFonts w:eastAsiaTheme="minorHAnsi"/>
              </w:rPr>
            </w:pPr>
            <w:r w:rsidRPr="008843F0">
              <w:rPr>
                <w:rFonts w:eastAsiaTheme="minorHAnsi"/>
              </w:rPr>
              <w:t>Health service documented as anaemic or iron deficient</w:t>
            </w:r>
          </w:p>
        </w:tc>
        <w:tc>
          <w:tcPr>
            <w:tcW w:w="1888" w:type="dxa"/>
          </w:tcPr>
          <w:p w14:paraId="32F6069D" w14:textId="77777777" w:rsidR="00397076" w:rsidRPr="008843F0" w:rsidRDefault="00397076" w:rsidP="002B2FD9">
            <w:pPr>
              <w:pStyle w:val="Tablecolhead"/>
              <w:rPr>
                <w:rFonts w:eastAsiaTheme="minorHAnsi"/>
              </w:rPr>
            </w:pPr>
            <w:r w:rsidRPr="008843F0">
              <w:rPr>
                <w:rFonts w:eastAsiaTheme="minorHAnsi"/>
              </w:rPr>
              <w:t>Non-anaemic and having ferritin &lt;100 mcg/L Module 2</w:t>
            </w:r>
          </w:p>
        </w:tc>
        <w:tc>
          <w:tcPr>
            <w:tcW w:w="1824" w:type="dxa"/>
          </w:tcPr>
          <w:p w14:paraId="23688669" w14:textId="77777777" w:rsidR="00397076" w:rsidRPr="008843F0" w:rsidRDefault="00397076" w:rsidP="002B2FD9">
            <w:pPr>
              <w:pStyle w:val="Tablecolhead"/>
              <w:rPr>
                <w:rFonts w:eastAsiaTheme="minorHAnsi"/>
              </w:rPr>
            </w:pPr>
            <w:r w:rsidRPr="008843F0">
              <w:rPr>
                <w:rFonts w:eastAsiaTheme="minorHAnsi"/>
              </w:rPr>
              <w:t>Patients documented or managed by health service</w:t>
            </w:r>
          </w:p>
        </w:tc>
      </w:tr>
      <w:tr w:rsidR="00397076" w:rsidRPr="008843F0" w14:paraId="7B562ABD" w14:textId="77777777" w:rsidTr="003C2836">
        <w:tc>
          <w:tcPr>
            <w:tcW w:w="1824" w:type="dxa"/>
          </w:tcPr>
          <w:p w14:paraId="20735D1B" w14:textId="77777777" w:rsidR="00397076" w:rsidRPr="008843F0" w:rsidRDefault="00397076" w:rsidP="003C2836">
            <w:pPr>
              <w:pStyle w:val="Body"/>
              <w:rPr>
                <w:rFonts w:eastAsiaTheme="minorHAnsi" w:cs="Arial"/>
              </w:rPr>
            </w:pPr>
            <w:r w:rsidRPr="008843F0">
              <w:rPr>
                <w:rFonts w:eastAsiaTheme="minorHAnsi" w:cs="Arial"/>
              </w:rPr>
              <w:t>97 (15%)</w:t>
            </w:r>
          </w:p>
        </w:tc>
        <w:tc>
          <w:tcPr>
            <w:tcW w:w="1826" w:type="dxa"/>
          </w:tcPr>
          <w:p w14:paraId="04C79F11" w14:textId="77777777" w:rsidR="00397076" w:rsidRPr="008843F0" w:rsidRDefault="00397076" w:rsidP="003C2836">
            <w:pPr>
              <w:pStyle w:val="Body"/>
              <w:rPr>
                <w:rFonts w:eastAsiaTheme="minorHAnsi" w:cs="Arial"/>
              </w:rPr>
            </w:pPr>
            <w:r w:rsidRPr="008843F0">
              <w:rPr>
                <w:rFonts w:eastAsiaTheme="minorHAnsi" w:cs="Arial"/>
              </w:rPr>
              <w:t>25 (4%)</w:t>
            </w:r>
          </w:p>
        </w:tc>
        <w:tc>
          <w:tcPr>
            <w:tcW w:w="1888" w:type="dxa"/>
          </w:tcPr>
          <w:p w14:paraId="792E02E0" w14:textId="77777777" w:rsidR="00397076" w:rsidRPr="008843F0" w:rsidRDefault="00397076" w:rsidP="003C2836">
            <w:pPr>
              <w:pStyle w:val="Body"/>
              <w:rPr>
                <w:rFonts w:eastAsiaTheme="minorHAnsi" w:cs="Arial"/>
              </w:rPr>
            </w:pPr>
            <w:r w:rsidRPr="008843F0">
              <w:rPr>
                <w:rFonts w:eastAsiaTheme="minorHAnsi" w:cs="Arial"/>
              </w:rPr>
              <w:t>111 (17%)</w:t>
            </w:r>
          </w:p>
        </w:tc>
        <w:tc>
          <w:tcPr>
            <w:tcW w:w="1824" w:type="dxa"/>
          </w:tcPr>
          <w:p w14:paraId="753131F3" w14:textId="77777777" w:rsidR="00397076" w:rsidRPr="008843F0" w:rsidRDefault="00397076" w:rsidP="003C2836">
            <w:pPr>
              <w:pStyle w:val="Body"/>
              <w:rPr>
                <w:rFonts w:eastAsiaTheme="minorHAnsi" w:cs="Arial"/>
              </w:rPr>
            </w:pPr>
            <w:r w:rsidRPr="008843F0">
              <w:rPr>
                <w:rFonts w:eastAsiaTheme="minorHAnsi" w:cs="Arial"/>
              </w:rPr>
              <w:t>4 (1%)</w:t>
            </w:r>
          </w:p>
        </w:tc>
      </w:tr>
    </w:tbl>
    <w:p w14:paraId="41ADCC7B" w14:textId="5BCD4E7A" w:rsidR="00397076" w:rsidRPr="008843F0" w:rsidRDefault="00397076" w:rsidP="002B2FD9">
      <w:pPr>
        <w:pStyle w:val="Bodyaftertablefigure"/>
      </w:pPr>
      <w:r w:rsidRPr="008843F0">
        <w:t>Although 15 per</w:t>
      </w:r>
      <w:r>
        <w:t xml:space="preserve"> </w:t>
      </w:r>
      <w:r w:rsidRPr="008843F0">
        <w:t>cent of all patients were found to be anaemic or iron deficient by the Module 2 definitions, only four per</w:t>
      </w:r>
      <w:r>
        <w:t xml:space="preserve"> </w:t>
      </w:r>
      <w:r w:rsidRPr="00397076">
        <w:t>cent</w:t>
      </w:r>
      <w:r w:rsidRPr="008843F0">
        <w:t xml:space="preserve"> of all patients were documented as this by the health services. </w:t>
      </w:r>
    </w:p>
    <w:p w14:paraId="438A5F5A" w14:textId="77777777" w:rsidR="00397076" w:rsidRPr="008843F0" w:rsidRDefault="00397076" w:rsidP="00397076">
      <w:pPr>
        <w:pStyle w:val="Body"/>
        <w:rPr>
          <w:rFonts w:cs="Arial"/>
        </w:rPr>
      </w:pPr>
      <w:r w:rsidRPr="008843F0">
        <w:rPr>
          <w:rFonts w:cs="Arial"/>
        </w:rPr>
        <w:t>In the audit 17</w:t>
      </w:r>
      <w:r>
        <w:rPr>
          <w:rFonts w:cs="Arial"/>
        </w:rPr>
        <w:t xml:space="preserve"> per cent</w:t>
      </w:r>
      <w:r w:rsidRPr="008843F0">
        <w:rPr>
          <w:rFonts w:cs="Arial"/>
        </w:rPr>
        <w:t xml:space="preserve"> of patients had possible iron deficiency (Ferritin 30-100mcg/L). Without other investigations and testing such as CRP it may not be possible to determine if iron deficiency is a problem for the patient. Ferritin is an acute-phase protein, and its concentration rises in response to infection/inflammation; CRP provides an indication of acute disease (WHO) and when elevated, indicates that the ferritin may also be elevated due to inflammation and is not a true representation of iron levels.</w:t>
      </w:r>
    </w:p>
    <w:p w14:paraId="54DC31A2" w14:textId="2E78E347" w:rsidR="00397076" w:rsidRPr="00397076" w:rsidRDefault="00397076">
      <w:pPr>
        <w:pStyle w:val="Body"/>
      </w:pPr>
      <w:r w:rsidRPr="008843F0">
        <w:rPr>
          <w:rFonts w:eastAsiaTheme="minorHAnsi" w:cs="Arial"/>
        </w:rPr>
        <w:t>It is important that these tests are reviewed by a clinician who can then follow up and determine the need for any further investigation or treatment and arrange for this to commence in the period prior to surgery.</w:t>
      </w:r>
    </w:p>
    <w:p w14:paraId="746C06BA" w14:textId="77777777" w:rsidR="00397076" w:rsidRPr="008843F0" w:rsidRDefault="00397076" w:rsidP="002B2FD9">
      <w:pPr>
        <w:pStyle w:val="Heading2"/>
        <w:rPr>
          <w:rFonts w:eastAsiaTheme="minorHAnsi"/>
        </w:rPr>
      </w:pPr>
      <w:bookmarkStart w:id="131" w:name="_Toc75325165"/>
      <w:bookmarkStart w:id="132" w:name="_Toc78958806"/>
      <w:r w:rsidRPr="002B2FD9">
        <w:rPr>
          <w:rFonts w:eastAsiaTheme="minorHAnsi"/>
        </w:rPr>
        <w:t>Treatment</w:t>
      </w:r>
      <w:bookmarkEnd w:id="131"/>
      <w:bookmarkEnd w:id="132"/>
    </w:p>
    <w:p w14:paraId="6F4B0381" w14:textId="3ED4C23D" w:rsidR="00397076" w:rsidRDefault="00397076" w:rsidP="00397076">
      <w:pPr>
        <w:pStyle w:val="Body"/>
        <w:rPr>
          <w:rFonts w:cs="Arial"/>
        </w:rPr>
      </w:pPr>
      <w:r w:rsidRPr="008843F0">
        <w:rPr>
          <w:rFonts w:cs="Arial"/>
        </w:rPr>
        <w:t>16 patients total</w:t>
      </w:r>
    </w:p>
    <w:tbl>
      <w:tblPr>
        <w:tblStyle w:val="TableGrid5"/>
        <w:tblW w:w="0" w:type="auto"/>
        <w:tblLook w:val="04A0" w:firstRow="1" w:lastRow="0" w:firstColumn="1" w:lastColumn="0" w:noHBand="0" w:noVBand="1"/>
      </w:tblPr>
      <w:tblGrid>
        <w:gridCol w:w="1468"/>
        <w:gridCol w:w="1497"/>
        <w:gridCol w:w="1663"/>
        <w:gridCol w:w="1521"/>
        <w:gridCol w:w="1293"/>
      </w:tblGrid>
      <w:tr w:rsidR="00397076" w:rsidRPr="008843F0" w14:paraId="14458115" w14:textId="77777777" w:rsidTr="002B2FD9">
        <w:trPr>
          <w:tblHeader/>
        </w:trPr>
        <w:tc>
          <w:tcPr>
            <w:tcW w:w="1468" w:type="dxa"/>
          </w:tcPr>
          <w:p w14:paraId="58B46FD2" w14:textId="77777777" w:rsidR="00397076" w:rsidRPr="002B2FD9" w:rsidRDefault="00397076" w:rsidP="002B2FD9">
            <w:pPr>
              <w:pStyle w:val="Tablecolhead"/>
              <w:rPr>
                <w:rFonts w:eastAsiaTheme="minorHAnsi"/>
              </w:rPr>
            </w:pPr>
            <w:r w:rsidRPr="002B2FD9">
              <w:rPr>
                <w:rFonts w:eastAsiaTheme="minorHAnsi"/>
              </w:rPr>
              <w:t>Oral iron</w:t>
            </w:r>
          </w:p>
        </w:tc>
        <w:tc>
          <w:tcPr>
            <w:tcW w:w="1497" w:type="dxa"/>
          </w:tcPr>
          <w:p w14:paraId="1D32BF22" w14:textId="77777777" w:rsidR="00397076" w:rsidRPr="002B2FD9" w:rsidRDefault="00397076" w:rsidP="002B2FD9">
            <w:pPr>
              <w:pStyle w:val="Tablecolhead"/>
              <w:rPr>
                <w:rFonts w:eastAsiaTheme="minorHAnsi"/>
              </w:rPr>
            </w:pPr>
            <w:r w:rsidRPr="002B2FD9">
              <w:rPr>
                <w:rFonts w:eastAsiaTheme="minorHAnsi"/>
              </w:rPr>
              <w:t>IV iron</w:t>
            </w:r>
          </w:p>
        </w:tc>
        <w:tc>
          <w:tcPr>
            <w:tcW w:w="1583" w:type="dxa"/>
          </w:tcPr>
          <w:p w14:paraId="3EDB3ECA" w14:textId="77777777" w:rsidR="00397076" w:rsidRPr="002B2FD9" w:rsidRDefault="00397076" w:rsidP="002B2FD9">
            <w:pPr>
              <w:pStyle w:val="Tablecolhead"/>
              <w:rPr>
                <w:rFonts w:eastAsiaTheme="minorHAnsi"/>
              </w:rPr>
            </w:pPr>
            <w:r w:rsidRPr="002B2FD9">
              <w:rPr>
                <w:rFonts w:eastAsiaTheme="minorHAnsi"/>
              </w:rPr>
              <w:t>Specialist referral (Haematology, GI or renal)</w:t>
            </w:r>
          </w:p>
        </w:tc>
        <w:tc>
          <w:tcPr>
            <w:tcW w:w="1521" w:type="dxa"/>
          </w:tcPr>
          <w:p w14:paraId="7C049123" w14:textId="77777777" w:rsidR="00397076" w:rsidRPr="002B2FD9" w:rsidRDefault="00397076" w:rsidP="002B2FD9">
            <w:pPr>
              <w:pStyle w:val="Tablecolhead"/>
              <w:rPr>
                <w:rFonts w:eastAsiaTheme="minorHAnsi"/>
              </w:rPr>
            </w:pPr>
            <w:r w:rsidRPr="002B2FD9">
              <w:rPr>
                <w:rFonts w:eastAsiaTheme="minorHAnsi"/>
              </w:rPr>
              <w:t>Red cell transfusion</w:t>
            </w:r>
          </w:p>
        </w:tc>
        <w:tc>
          <w:tcPr>
            <w:tcW w:w="1293" w:type="dxa"/>
          </w:tcPr>
          <w:p w14:paraId="5640F00A" w14:textId="77777777" w:rsidR="00397076" w:rsidRPr="002B2FD9" w:rsidRDefault="00397076" w:rsidP="002B2FD9">
            <w:pPr>
              <w:pStyle w:val="Tablecolhead"/>
              <w:rPr>
                <w:rFonts w:eastAsiaTheme="minorHAnsi"/>
              </w:rPr>
            </w:pPr>
            <w:r w:rsidRPr="002B2FD9">
              <w:rPr>
                <w:rFonts w:eastAsiaTheme="minorHAnsi"/>
              </w:rPr>
              <w:t>Other</w:t>
            </w:r>
          </w:p>
        </w:tc>
      </w:tr>
      <w:tr w:rsidR="00397076" w:rsidRPr="008843F0" w14:paraId="2518B3C4" w14:textId="77777777" w:rsidTr="003C2836">
        <w:tc>
          <w:tcPr>
            <w:tcW w:w="1468" w:type="dxa"/>
          </w:tcPr>
          <w:p w14:paraId="4975C71D" w14:textId="77777777" w:rsidR="00397076" w:rsidRPr="008843F0" w:rsidRDefault="00397076" w:rsidP="003C2836">
            <w:pPr>
              <w:pStyle w:val="Body"/>
              <w:rPr>
                <w:rFonts w:eastAsiaTheme="minorHAnsi" w:cs="Arial"/>
              </w:rPr>
            </w:pPr>
            <w:r w:rsidRPr="008843F0">
              <w:rPr>
                <w:rFonts w:eastAsiaTheme="minorHAnsi" w:cs="Arial"/>
              </w:rPr>
              <w:t>5 (31%)</w:t>
            </w:r>
          </w:p>
        </w:tc>
        <w:tc>
          <w:tcPr>
            <w:tcW w:w="1497" w:type="dxa"/>
          </w:tcPr>
          <w:p w14:paraId="46647E20" w14:textId="77777777" w:rsidR="00397076" w:rsidRPr="008843F0" w:rsidRDefault="00397076" w:rsidP="003C2836">
            <w:pPr>
              <w:pStyle w:val="Body"/>
              <w:rPr>
                <w:rFonts w:eastAsiaTheme="minorHAnsi" w:cs="Arial"/>
              </w:rPr>
            </w:pPr>
            <w:r w:rsidRPr="008843F0">
              <w:rPr>
                <w:rFonts w:eastAsiaTheme="minorHAnsi" w:cs="Arial"/>
              </w:rPr>
              <w:t>12 (75%)</w:t>
            </w:r>
          </w:p>
        </w:tc>
        <w:tc>
          <w:tcPr>
            <w:tcW w:w="1583" w:type="dxa"/>
          </w:tcPr>
          <w:p w14:paraId="18475C42" w14:textId="77777777" w:rsidR="00397076" w:rsidRPr="008843F0" w:rsidRDefault="00397076" w:rsidP="003C2836">
            <w:pPr>
              <w:pStyle w:val="Body"/>
              <w:rPr>
                <w:rFonts w:eastAsiaTheme="minorHAnsi" w:cs="Arial"/>
              </w:rPr>
            </w:pPr>
            <w:r w:rsidRPr="008843F0">
              <w:rPr>
                <w:rFonts w:eastAsiaTheme="minorHAnsi" w:cs="Arial"/>
              </w:rPr>
              <w:t>2 (13%)</w:t>
            </w:r>
          </w:p>
        </w:tc>
        <w:tc>
          <w:tcPr>
            <w:tcW w:w="1521" w:type="dxa"/>
          </w:tcPr>
          <w:p w14:paraId="04AB0029" w14:textId="77777777" w:rsidR="00397076" w:rsidRPr="008843F0" w:rsidRDefault="00397076" w:rsidP="003C2836">
            <w:pPr>
              <w:pStyle w:val="Body"/>
              <w:rPr>
                <w:rFonts w:eastAsiaTheme="minorHAnsi" w:cs="Arial"/>
              </w:rPr>
            </w:pPr>
            <w:r w:rsidRPr="008843F0">
              <w:rPr>
                <w:rFonts w:eastAsiaTheme="minorHAnsi" w:cs="Arial"/>
              </w:rPr>
              <w:t>1 (6%)</w:t>
            </w:r>
          </w:p>
        </w:tc>
        <w:tc>
          <w:tcPr>
            <w:tcW w:w="1293" w:type="dxa"/>
          </w:tcPr>
          <w:p w14:paraId="2F31D081" w14:textId="77777777" w:rsidR="00397076" w:rsidRPr="008843F0" w:rsidRDefault="00397076" w:rsidP="003C2836">
            <w:pPr>
              <w:pStyle w:val="Body"/>
              <w:rPr>
                <w:rFonts w:eastAsiaTheme="minorHAnsi" w:cs="Arial"/>
              </w:rPr>
            </w:pPr>
            <w:r w:rsidRPr="008843F0">
              <w:rPr>
                <w:rFonts w:eastAsiaTheme="minorHAnsi" w:cs="Arial"/>
              </w:rPr>
              <w:t>1 (6%)</w:t>
            </w:r>
          </w:p>
        </w:tc>
      </w:tr>
    </w:tbl>
    <w:p w14:paraId="358357F7" w14:textId="41149E78" w:rsidR="00397076" w:rsidRDefault="00397076" w:rsidP="00397076">
      <w:pPr>
        <w:pStyle w:val="Tablefigurenote"/>
      </w:pPr>
      <w:r w:rsidRPr="00397076">
        <w:t>Percentage greater than 100 as patients may have received more than one treatment type</w:t>
      </w:r>
      <w:r>
        <w:t>.</w:t>
      </w:r>
    </w:p>
    <w:p w14:paraId="301EDF2D" w14:textId="621E57A1" w:rsidR="00397076" w:rsidRDefault="00397076" w:rsidP="00397076">
      <w:pPr>
        <w:pStyle w:val="Tablefigurenote"/>
      </w:pPr>
      <w:r w:rsidRPr="00397076">
        <w:t>There were no renal referrals or EPO</w:t>
      </w:r>
      <w:r>
        <w:t>.</w:t>
      </w:r>
    </w:p>
    <w:p w14:paraId="04332651" w14:textId="2DA1DCD4" w:rsidR="00397076" w:rsidRDefault="00397076" w:rsidP="00397076">
      <w:pPr>
        <w:pStyle w:val="Tablefigurenote"/>
      </w:pPr>
      <w:r w:rsidRPr="00397076">
        <w:t>Other included: 1 colonoscopy</w:t>
      </w:r>
      <w:r>
        <w:t>.</w:t>
      </w:r>
    </w:p>
    <w:p w14:paraId="11C04094" w14:textId="664C6570" w:rsidR="00397076" w:rsidRPr="008843F0" w:rsidRDefault="00397076" w:rsidP="002B2FD9">
      <w:pPr>
        <w:pStyle w:val="Bodyaftertablefigure"/>
      </w:pPr>
      <w:r w:rsidRPr="008843F0">
        <w:t>For those patients who are not anaemic, but have a low ferritin, treatment with iron prior to surgery is recommended. These patients will have a poorer response to blood loss as they do not have the required levels of iron to build new red cells as needed.</w:t>
      </w:r>
    </w:p>
    <w:p w14:paraId="177A25E4" w14:textId="5AD75C2E" w:rsidR="00397076" w:rsidRPr="008843F0" w:rsidRDefault="00397076" w:rsidP="00397076">
      <w:pPr>
        <w:pStyle w:val="Body"/>
        <w:rPr>
          <w:rFonts w:cs="Arial"/>
        </w:rPr>
      </w:pPr>
      <w:r w:rsidRPr="008843F0">
        <w:rPr>
          <w:rFonts w:cs="Arial"/>
        </w:rPr>
        <w:t xml:space="preserve">Only 16 of the 97 patients deemed anaemic or iron deficient by </w:t>
      </w:r>
      <w:r>
        <w:rPr>
          <w:rFonts w:cs="Arial"/>
        </w:rPr>
        <w:t>M</w:t>
      </w:r>
      <w:r w:rsidRPr="008843F0">
        <w:rPr>
          <w:rFonts w:cs="Arial"/>
        </w:rPr>
        <w:t>odule 2, were treated. Even those patients recognised by the health service as having anaemia or iron deficiency (25) were not all treated for this, only 64 per</w:t>
      </w:r>
      <w:r>
        <w:rPr>
          <w:rFonts w:cs="Arial"/>
        </w:rPr>
        <w:t xml:space="preserve"> </w:t>
      </w:r>
      <w:r w:rsidRPr="008843F0">
        <w:rPr>
          <w:rFonts w:cs="Arial"/>
        </w:rPr>
        <w:t xml:space="preserve">cent </w:t>
      </w:r>
      <w:r w:rsidR="0004434B">
        <w:rPr>
          <w:rFonts w:cs="Arial"/>
        </w:rPr>
        <w:t>treated</w:t>
      </w:r>
      <w:r w:rsidRPr="008843F0">
        <w:rPr>
          <w:rFonts w:cs="Arial"/>
        </w:rPr>
        <w:t>. Seventy-five per cent of the patients receiving treatment received intravenous iron. Referral to other specialists occurred for 13 per cent of patients. It is not always necessary to refer to other specialists, but treatment algorithms should indicate for which groups of patients this is necessary, to ensure appropriate referrals occur.</w:t>
      </w:r>
    </w:p>
    <w:p w14:paraId="35A18D8E" w14:textId="440C512D" w:rsidR="00397076" w:rsidRPr="008F5214" w:rsidRDefault="00397076" w:rsidP="002B2FD9">
      <w:pPr>
        <w:pStyle w:val="Tablefigurenote"/>
      </w:pPr>
      <w:r w:rsidRPr="008843F0">
        <w:rPr>
          <w:rFonts w:eastAsiaTheme="minorHAnsi" w:cs="Arial"/>
        </w:rPr>
        <w:t xml:space="preserve">Red cell transfusion was used in one patient in this group. We are unable to comment on the appropriateness of this transfusion as we did not ask questions about symptoms of anaemia. Certainly, </w:t>
      </w:r>
      <w:r w:rsidRPr="008843F0">
        <w:rPr>
          <w:rFonts w:eastAsiaTheme="minorHAnsi" w:cs="Arial"/>
        </w:rPr>
        <w:lastRenderedPageBreak/>
        <w:t>where transfusion is necessary for symptomatic anaemia, it should be used in conjunction with other more targeted therapies to treat the cause of anaemia.</w:t>
      </w:r>
    </w:p>
    <w:p w14:paraId="30F853A3" w14:textId="57867A97" w:rsidR="000E4493" w:rsidRDefault="00397076" w:rsidP="00397076">
      <w:pPr>
        <w:pStyle w:val="Heading2"/>
        <w:rPr>
          <w:rFonts w:eastAsiaTheme="minorHAnsi"/>
        </w:rPr>
      </w:pPr>
      <w:bookmarkStart w:id="133" w:name="_Toc75325166"/>
      <w:bookmarkStart w:id="134" w:name="_Toc78958807"/>
      <w:r w:rsidRPr="00397076">
        <w:rPr>
          <w:rFonts w:eastAsiaTheme="minorHAnsi"/>
        </w:rPr>
        <w:t>Gynaecologic</w:t>
      </w:r>
      <w:r w:rsidRPr="008843F0">
        <w:rPr>
          <w:rFonts w:eastAsiaTheme="minorHAnsi"/>
        </w:rPr>
        <w:t xml:space="preserve"> surgery</w:t>
      </w:r>
      <w:bookmarkEnd w:id="133"/>
      <w:bookmarkEnd w:id="134"/>
    </w:p>
    <w:p w14:paraId="5D19E0D9" w14:textId="2DB19A53" w:rsidR="00397076" w:rsidRDefault="00397076" w:rsidP="00397076">
      <w:pPr>
        <w:pStyle w:val="Body"/>
        <w:rPr>
          <w:rFonts w:eastAsiaTheme="minorHAnsi" w:cs="Arial"/>
        </w:rPr>
      </w:pPr>
      <w:r w:rsidRPr="008843F0">
        <w:rPr>
          <w:rFonts w:eastAsiaTheme="minorHAnsi" w:cs="Arial"/>
          <w:b/>
        </w:rPr>
        <w:t>Returned</w:t>
      </w:r>
      <w:r>
        <w:rPr>
          <w:rFonts w:eastAsiaTheme="minorHAnsi" w:cs="Arial"/>
          <w:b/>
        </w:rPr>
        <w:t xml:space="preserve">: </w:t>
      </w:r>
      <w:r w:rsidRPr="008843F0">
        <w:rPr>
          <w:rFonts w:eastAsiaTheme="minorHAnsi" w:cs="Arial"/>
        </w:rPr>
        <w:t>343</w:t>
      </w:r>
    </w:p>
    <w:p w14:paraId="117A27FD" w14:textId="3CDE1664" w:rsidR="00397076" w:rsidRDefault="00397076" w:rsidP="00397076">
      <w:pPr>
        <w:pStyle w:val="Body"/>
        <w:rPr>
          <w:rFonts w:eastAsiaTheme="minorHAnsi" w:cs="Arial"/>
        </w:rPr>
      </w:pPr>
      <w:r w:rsidRPr="008843F0">
        <w:rPr>
          <w:rFonts w:eastAsiaTheme="minorHAnsi" w:cs="Arial"/>
          <w:b/>
        </w:rPr>
        <w:t>Documented screened</w:t>
      </w:r>
      <w:r>
        <w:rPr>
          <w:rFonts w:eastAsiaTheme="minorHAnsi" w:cs="Arial"/>
          <w:b/>
        </w:rPr>
        <w:t xml:space="preserve">: </w:t>
      </w:r>
      <w:r w:rsidRPr="008843F0">
        <w:rPr>
          <w:rFonts w:eastAsiaTheme="minorHAnsi" w:cs="Arial"/>
        </w:rPr>
        <w:t>241 (70%)</w:t>
      </w:r>
    </w:p>
    <w:p w14:paraId="7053AE47" w14:textId="6C390B11" w:rsidR="00397076" w:rsidRPr="008843F0" w:rsidRDefault="00397076" w:rsidP="00397076">
      <w:pPr>
        <w:pStyle w:val="Body"/>
        <w:rPr>
          <w:rFonts w:eastAsiaTheme="minorHAnsi" w:cs="Arial"/>
        </w:rPr>
      </w:pPr>
      <w:r w:rsidRPr="008843F0">
        <w:rPr>
          <w:rFonts w:eastAsiaTheme="minorHAnsi" w:cs="Arial"/>
        </w:rPr>
        <w:t xml:space="preserve">Hysterectomy is a relatively common surgical procedure among premenopausal women. </w:t>
      </w:r>
      <w:r w:rsidR="0004434B">
        <w:rPr>
          <w:rFonts w:eastAsiaTheme="minorHAnsi" w:cs="Arial"/>
        </w:rPr>
        <w:t>C</w:t>
      </w:r>
      <w:r w:rsidRPr="008843F0">
        <w:rPr>
          <w:rFonts w:eastAsiaTheme="minorHAnsi" w:cs="Arial"/>
        </w:rPr>
        <w:t>onditions that lead to the need for a hysterectomy often are accompanied by chronic blood loss that can lead to anaemia. Moreover, hysterectomy and myomectomy may result in significant blood loss, which exacerbates the anaemia. The presence of fatigue associated with anaemia has a substantially negative impact on quality of life and the ability to perform activities of daily living (Rock and Meeks, 2001).</w:t>
      </w:r>
    </w:p>
    <w:p w14:paraId="2F0DDEA9" w14:textId="016C07A9" w:rsidR="00397076" w:rsidRDefault="00397076" w:rsidP="00397076">
      <w:pPr>
        <w:pStyle w:val="Body"/>
        <w:rPr>
          <w:rFonts w:cs="Arial"/>
        </w:rPr>
      </w:pPr>
      <w:r w:rsidRPr="008843F0">
        <w:rPr>
          <w:rFonts w:cs="Arial"/>
        </w:rPr>
        <w:t xml:space="preserve">This is a group that may benefit from preoperative blood management to improve outcomes. Due to </w:t>
      </w:r>
      <w:proofErr w:type="spellStart"/>
      <w:r w:rsidR="0004434B">
        <w:rPr>
          <w:rFonts w:cs="Arial"/>
        </w:rPr>
        <w:t>peroperative</w:t>
      </w:r>
      <w:proofErr w:type="spellEnd"/>
      <w:r w:rsidRPr="008843F0">
        <w:rPr>
          <w:rFonts w:cs="Arial"/>
        </w:rPr>
        <w:t xml:space="preserve"> blood loss issues, a number of these patients may already be receiving treatment, particularly with iron, to alleviate low Hb and iron levels.</w:t>
      </w:r>
    </w:p>
    <w:p w14:paraId="6DA6456C" w14:textId="76A2430D" w:rsidR="00397076" w:rsidRDefault="00397076" w:rsidP="00397076">
      <w:pPr>
        <w:pStyle w:val="Heading3"/>
      </w:pPr>
      <w:r w:rsidRPr="008843F0">
        <w:t>Timing of screening</w:t>
      </w:r>
    </w:p>
    <w:tbl>
      <w:tblPr>
        <w:tblStyle w:val="TableGrid5"/>
        <w:tblW w:w="0" w:type="auto"/>
        <w:tblLook w:val="04A0" w:firstRow="1" w:lastRow="0" w:firstColumn="1" w:lastColumn="0" w:noHBand="0" w:noVBand="1"/>
      </w:tblPr>
      <w:tblGrid>
        <w:gridCol w:w="1827"/>
        <w:gridCol w:w="1836"/>
        <w:gridCol w:w="1886"/>
        <w:gridCol w:w="1827"/>
      </w:tblGrid>
      <w:tr w:rsidR="00397076" w:rsidRPr="008843F0" w14:paraId="705C7F8C" w14:textId="77777777" w:rsidTr="002B2FD9">
        <w:trPr>
          <w:tblHeader/>
        </w:trPr>
        <w:tc>
          <w:tcPr>
            <w:tcW w:w="1827" w:type="dxa"/>
          </w:tcPr>
          <w:p w14:paraId="3C148D01" w14:textId="77777777" w:rsidR="00397076" w:rsidRPr="002B2FD9" w:rsidRDefault="00397076" w:rsidP="002B2FD9">
            <w:pPr>
              <w:pStyle w:val="Tablecolhead"/>
              <w:rPr>
                <w:rFonts w:eastAsiaTheme="minorHAnsi"/>
                <w:b w:val="0"/>
              </w:rPr>
            </w:pPr>
            <w:r w:rsidRPr="002B2FD9">
              <w:rPr>
                <w:rFonts w:eastAsiaTheme="minorHAnsi"/>
              </w:rPr>
              <w:t>&gt;4 weeks</w:t>
            </w:r>
          </w:p>
        </w:tc>
        <w:tc>
          <w:tcPr>
            <w:tcW w:w="1836" w:type="dxa"/>
          </w:tcPr>
          <w:p w14:paraId="7B723587" w14:textId="77777777" w:rsidR="00397076" w:rsidRPr="002B2FD9" w:rsidRDefault="00397076" w:rsidP="002B2FD9">
            <w:pPr>
              <w:pStyle w:val="Tablecolhead"/>
              <w:rPr>
                <w:rFonts w:eastAsiaTheme="minorHAnsi"/>
                <w:b w:val="0"/>
              </w:rPr>
            </w:pPr>
            <w:r w:rsidRPr="002B2FD9">
              <w:rPr>
                <w:rFonts w:eastAsiaTheme="minorHAnsi"/>
              </w:rPr>
              <w:t>1 – 4 weeks</w:t>
            </w:r>
          </w:p>
        </w:tc>
        <w:tc>
          <w:tcPr>
            <w:tcW w:w="1886" w:type="dxa"/>
          </w:tcPr>
          <w:p w14:paraId="677C77E6" w14:textId="77777777" w:rsidR="00397076" w:rsidRPr="002B2FD9" w:rsidRDefault="00397076" w:rsidP="002B2FD9">
            <w:pPr>
              <w:pStyle w:val="Tablecolhead"/>
              <w:rPr>
                <w:rFonts w:eastAsiaTheme="minorHAnsi"/>
                <w:b w:val="0"/>
              </w:rPr>
            </w:pPr>
            <w:r w:rsidRPr="002B2FD9">
              <w:rPr>
                <w:rFonts w:eastAsiaTheme="minorHAnsi"/>
              </w:rPr>
              <w:t>&lt;1 week</w:t>
            </w:r>
          </w:p>
        </w:tc>
        <w:tc>
          <w:tcPr>
            <w:tcW w:w="1827" w:type="dxa"/>
          </w:tcPr>
          <w:p w14:paraId="2D109623" w14:textId="77777777" w:rsidR="00397076" w:rsidRPr="002B2FD9" w:rsidRDefault="00397076" w:rsidP="002B2FD9">
            <w:pPr>
              <w:pStyle w:val="Tablecolhead"/>
              <w:rPr>
                <w:rFonts w:eastAsiaTheme="minorHAnsi"/>
                <w:b w:val="0"/>
              </w:rPr>
            </w:pPr>
            <w:r w:rsidRPr="002B2FD9">
              <w:rPr>
                <w:rFonts w:eastAsiaTheme="minorHAnsi"/>
              </w:rPr>
              <w:t>Day prior to surgery</w:t>
            </w:r>
          </w:p>
        </w:tc>
      </w:tr>
      <w:tr w:rsidR="00397076" w:rsidRPr="008843F0" w14:paraId="74D1B263" w14:textId="77777777" w:rsidTr="003C2836">
        <w:tc>
          <w:tcPr>
            <w:tcW w:w="1827" w:type="dxa"/>
          </w:tcPr>
          <w:p w14:paraId="27961EF6" w14:textId="77777777" w:rsidR="00397076" w:rsidRPr="008843F0" w:rsidRDefault="00397076" w:rsidP="003C2836">
            <w:pPr>
              <w:pStyle w:val="Body"/>
              <w:rPr>
                <w:rFonts w:eastAsiaTheme="minorHAnsi" w:cs="Arial"/>
              </w:rPr>
            </w:pPr>
            <w:r w:rsidRPr="008843F0">
              <w:rPr>
                <w:rFonts w:eastAsiaTheme="minorHAnsi" w:cs="Arial"/>
              </w:rPr>
              <w:t>104 (43%)</w:t>
            </w:r>
          </w:p>
        </w:tc>
        <w:tc>
          <w:tcPr>
            <w:tcW w:w="1836" w:type="dxa"/>
          </w:tcPr>
          <w:p w14:paraId="452E9C02" w14:textId="77777777" w:rsidR="00397076" w:rsidRPr="008843F0" w:rsidRDefault="00397076" w:rsidP="003C2836">
            <w:pPr>
              <w:pStyle w:val="Body"/>
              <w:rPr>
                <w:rFonts w:eastAsiaTheme="minorHAnsi" w:cs="Arial"/>
              </w:rPr>
            </w:pPr>
            <w:r w:rsidRPr="008843F0">
              <w:rPr>
                <w:rFonts w:eastAsiaTheme="minorHAnsi" w:cs="Arial"/>
              </w:rPr>
              <w:t>95 (39%)</w:t>
            </w:r>
          </w:p>
        </w:tc>
        <w:tc>
          <w:tcPr>
            <w:tcW w:w="1886" w:type="dxa"/>
          </w:tcPr>
          <w:p w14:paraId="2823CDFF" w14:textId="77777777" w:rsidR="00397076" w:rsidRPr="008843F0" w:rsidRDefault="00397076" w:rsidP="003C2836">
            <w:pPr>
              <w:pStyle w:val="Body"/>
              <w:rPr>
                <w:rFonts w:eastAsiaTheme="minorHAnsi" w:cs="Arial"/>
              </w:rPr>
            </w:pPr>
            <w:r w:rsidRPr="008843F0">
              <w:rPr>
                <w:rFonts w:eastAsiaTheme="minorHAnsi" w:cs="Arial"/>
              </w:rPr>
              <w:t>35 (15%)</w:t>
            </w:r>
          </w:p>
        </w:tc>
        <w:tc>
          <w:tcPr>
            <w:tcW w:w="1827" w:type="dxa"/>
          </w:tcPr>
          <w:p w14:paraId="00A27E3E" w14:textId="77777777" w:rsidR="00397076" w:rsidRPr="008843F0" w:rsidRDefault="00397076" w:rsidP="003C2836">
            <w:pPr>
              <w:pStyle w:val="Body"/>
              <w:rPr>
                <w:rFonts w:eastAsiaTheme="minorHAnsi" w:cs="Arial"/>
                <w:b/>
              </w:rPr>
            </w:pPr>
            <w:r w:rsidRPr="008843F0">
              <w:rPr>
                <w:rFonts w:eastAsiaTheme="minorHAnsi" w:cs="Arial"/>
              </w:rPr>
              <w:t>7 (3%)</w:t>
            </w:r>
          </w:p>
        </w:tc>
      </w:tr>
    </w:tbl>
    <w:p w14:paraId="6EF89A2C" w14:textId="77777777" w:rsidR="00397076" w:rsidRPr="008843F0" w:rsidRDefault="00397076" w:rsidP="00397076">
      <w:pPr>
        <w:pStyle w:val="Body"/>
        <w:rPr>
          <w:rFonts w:eastAsiaTheme="minorHAnsi" w:cs="Arial"/>
        </w:rPr>
      </w:pPr>
      <w:r w:rsidRPr="008843F0">
        <w:rPr>
          <w:rFonts w:eastAsiaTheme="minorHAnsi" w:cs="Arial"/>
        </w:rPr>
        <w:t>Gynaecologic surgery made up 22</w:t>
      </w:r>
      <w:r>
        <w:rPr>
          <w:rFonts w:eastAsiaTheme="minorHAnsi" w:cs="Arial"/>
        </w:rPr>
        <w:t xml:space="preserve"> per cent</w:t>
      </w:r>
      <w:r w:rsidRPr="008843F0">
        <w:rPr>
          <w:rFonts w:eastAsiaTheme="minorHAnsi" w:cs="Arial"/>
        </w:rPr>
        <w:t xml:space="preserve"> of the responses in this audit with the lowest percentage of patients documented as screened (70 per</w:t>
      </w:r>
      <w:r>
        <w:rPr>
          <w:rFonts w:eastAsiaTheme="minorHAnsi" w:cs="Arial"/>
        </w:rPr>
        <w:t xml:space="preserve"> </w:t>
      </w:r>
      <w:r w:rsidRPr="008843F0">
        <w:rPr>
          <w:rFonts w:eastAsiaTheme="minorHAnsi" w:cs="Arial"/>
        </w:rPr>
        <w:t>cent as compared to 83-85 per</w:t>
      </w:r>
      <w:r>
        <w:rPr>
          <w:rFonts w:eastAsiaTheme="minorHAnsi" w:cs="Arial"/>
        </w:rPr>
        <w:t xml:space="preserve"> </w:t>
      </w:r>
      <w:r w:rsidRPr="008843F0">
        <w:rPr>
          <w:rFonts w:eastAsiaTheme="minorHAnsi" w:cs="Arial"/>
        </w:rPr>
        <w:t xml:space="preserve">cent in other surgical groups). </w:t>
      </w:r>
    </w:p>
    <w:p w14:paraId="523F7189" w14:textId="77777777" w:rsidR="00397076" w:rsidRPr="008843F0" w:rsidRDefault="00397076" w:rsidP="00397076">
      <w:pPr>
        <w:pStyle w:val="Body"/>
        <w:rPr>
          <w:rFonts w:cs="Arial"/>
        </w:rPr>
      </w:pPr>
      <w:r w:rsidRPr="008843F0">
        <w:rPr>
          <w:rFonts w:cs="Arial"/>
        </w:rPr>
        <w:t xml:space="preserve">Only 43 per cent of the audits showed screening occurred more than 4 weeks prior to surgery, which would allow time to properly investigate and start treating any anaemia that may be present. </w:t>
      </w:r>
    </w:p>
    <w:p w14:paraId="49F3522B" w14:textId="1822CC35" w:rsidR="00397076" w:rsidRDefault="00397076" w:rsidP="00397076">
      <w:pPr>
        <w:pStyle w:val="Body"/>
      </w:pPr>
      <w:r w:rsidRPr="008843F0">
        <w:rPr>
          <w:rFonts w:cs="Arial"/>
        </w:rPr>
        <w:t>This group of patients may often be having surgery to treat ongoing bleeding issues and so may, in some cases, already be receiving oral iron therapy. The effectiveness of this treatment should, however</w:t>
      </w:r>
      <w:r w:rsidR="00971720">
        <w:rPr>
          <w:rFonts w:cs="Arial"/>
        </w:rPr>
        <w:t xml:space="preserve">, </w:t>
      </w:r>
      <w:r w:rsidRPr="008843F0">
        <w:rPr>
          <w:rFonts w:cs="Arial"/>
        </w:rPr>
        <w:t>be assessed prior to surgery, of note only 36 per</w:t>
      </w:r>
      <w:r>
        <w:rPr>
          <w:rFonts w:cs="Arial"/>
        </w:rPr>
        <w:t xml:space="preserve"> </w:t>
      </w:r>
      <w:r w:rsidRPr="008843F0">
        <w:rPr>
          <w:rFonts w:cs="Arial"/>
        </w:rPr>
        <w:t xml:space="preserve">cent of patients had a ferritin taken as part of their preoperative screening. Where no treatment has occurred, the ongoing blood loss puts these patients at risk of iron </w:t>
      </w:r>
      <w:proofErr w:type="gramStart"/>
      <w:r w:rsidRPr="008843F0">
        <w:rPr>
          <w:rFonts w:cs="Arial"/>
        </w:rPr>
        <w:t>deficiency</w:t>
      </w:r>
      <w:proofErr w:type="gramEnd"/>
      <w:r w:rsidRPr="008843F0">
        <w:rPr>
          <w:rFonts w:cs="Arial"/>
        </w:rPr>
        <w:t xml:space="preserve"> and this should be investigated.</w:t>
      </w:r>
    </w:p>
    <w:p w14:paraId="15C83135" w14:textId="6A71AC3A" w:rsidR="00397076" w:rsidRDefault="00397076" w:rsidP="00397076">
      <w:pPr>
        <w:pStyle w:val="Heading3"/>
      </w:pPr>
      <w:r w:rsidRPr="00397076">
        <w:t>Investigations</w:t>
      </w:r>
    </w:p>
    <w:tbl>
      <w:tblPr>
        <w:tblStyle w:val="TableGrid5"/>
        <w:tblW w:w="0" w:type="auto"/>
        <w:tblLook w:val="04A0" w:firstRow="1" w:lastRow="0" w:firstColumn="1" w:lastColumn="0" w:noHBand="0" w:noVBand="1"/>
      </w:tblPr>
      <w:tblGrid>
        <w:gridCol w:w="1451"/>
        <w:gridCol w:w="1490"/>
        <w:gridCol w:w="1663"/>
        <w:gridCol w:w="1512"/>
        <w:gridCol w:w="1260"/>
      </w:tblGrid>
      <w:tr w:rsidR="00397076" w:rsidRPr="008843F0" w14:paraId="05B9637D" w14:textId="77777777" w:rsidTr="003C2836">
        <w:tc>
          <w:tcPr>
            <w:tcW w:w="1451" w:type="dxa"/>
          </w:tcPr>
          <w:p w14:paraId="5CEF5D14" w14:textId="77777777" w:rsidR="00397076" w:rsidRPr="008843F0" w:rsidRDefault="00397076" w:rsidP="003C2836">
            <w:pPr>
              <w:pStyle w:val="Body"/>
              <w:rPr>
                <w:rFonts w:eastAsiaTheme="minorHAnsi" w:cs="Arial"/>
                <w:b/>
              </w:rPr>
            </w:pPr>
            <w:r w:rsidRPr="008843F0">
              <w:rPr>
                <w:rFonts w:eastAsiaTheme="minorHAnsi" w:cs="Arial"/>
                <w:b/>
              </w:rPr>
              <w:t>FBE</w:t>
            </w:r>
          </w:p>
        </w:tc>
        <w:tc>
          <w:tcPr>
            <w:tcW w:w="1490" w:type="dxa"/>
          </w:tcPr>
          <w:p w14:paraId="65D2A40D" w14:textId="77777777" w:rsidR="00397076" w:rsidRPr="008843F0" w:rsidRDefault="00397076" w:rsidP="003C2836">
            <w:pPr>
              <w:pStyle w:val="Body"/>
              <w:rPr>
                <w:rFonts w:eastAsiaTheme="minorHAnsi" w:cs="Arial"/>
                <w:b/>
              </w:rPr>
            </w:pPr>
            <w:r w:rsidRPr="008843F0">
              <w:rPr>
                <w:rFonts w:eastAsiaTheme="minorHAnsi" w:cs="Arial"/>
                <w:b/>
              </w:rPr>
              <w:t>Ferritin</w:t>
            </w:r>
          </w:p>
        </w:tc>
        <w:tc>
          <w:tcPr>
            <w:tcW w:w="1663" w:type="dxa"/>
          </w:tcPr>
          <w:p w14:paraId="5CEC741E" w14:textId="77777777" w:rsidR="00397076" w:rsidRPr="008843F0" w:rsidRDefault="00397076" w:rsidP="003C2836">
            <w:pPr>
              <w:pStyle w:val="Body"/>
              <w:rPr>
                <w:rFonts w:eastAsiaTheme="minorHAnsi" w:cs="Arial"/>
                <w:b/>
              </w:rPr>
            </w:pPr>
            <w:r w:rsidRPr="008843F0">
              <w:rPr>
                <w:rFonts w:eastAsiaTheme="minorHAnsi" w:cs="Arial"/>
                <w:b/>
              </w:rPr>
              <w:t>CRP</w:t>
            </w:r>
          </w:p>
        </w:tc>
        <w:tc>
          <w:tcPr>
            <w:tcW w:w="1512" w:type="dxa"/>
          </w:tcPr>
          <w:p w14:paraId="762F843A" w14:textId="77777777" w:rsidR="00397076" w:rsidRPr="008843F0" w:rsidRDefault="00397076" w:rsidP="003C2836">
            <w:pPr>
              <w:pStyle w:val="Body"/>
              <w:rPr>
                <w:rFonts w:eastAsiaTheme="minorHAnsi" w:cs="Arial"/>
                <w:b/>
              </w:rPr>
            </w:pPr>
            <w:r w:rsidRPr="008843F0">
              <w:rPr>
                <w:rFonts w:eastAsiaTheme="minorHAnsi" w:cs="Arial"/>
                <w:b/>
              </w:rPr>
              <w:t>Renal function</w:t>
            </w:r>
          </w:p>
        </w:tc>
        <w:tc>
          <w:tcPr>
            <w:tcW w:w="1260" w:type="dxa"/>
          </w:tcPr>
          <w:p w14:paraId="17F0A367" w14:textId="77777777" w:rsidR="00397076" w:rsidRPr="008843F0" w:rsidRDefault="00397076" w:rsidP="003C2836">
            <w:pPr>
              <w:pStyle w:val="Body"/>
              <w:rPr>
                <w:rFonts w:eastAsiaTheme="minorHAnsi" w:cs="Arial"/>
                <w:b/>
              </w:rPr>
            </w:pPr>
            <w:r w:rsidRPr="008843F0">
              <w:rPr>
                <w:rFonts w:eastAsiaTheme="minorHAnsi" w:cs="Arial"/>
                <w:b/>
              </w:rPr>
              <w:t>No testing</w:t>
            </w:r>
          </w:p>
        </w:tc>
      </w:tr>
      <w:tr w:rsidR="00397076" w:rsidRPr="008843F0" w14:paraId="0E4FF362" w14:textId="77777777" w:rsidTr="003C2836">
        <w:tc>
          <w:tcPr>
            <w:tcW w:w="1451" w:type="dxa"/>
          </w:tcPr>
          <w:p w14:paraId="342A6750" w14:textId="77777777" w:rsidR="00397076" w:rsidRPr="008843F0" w:rsidRDefault="00397076" w:rsidP="003C2836">
            <w:pPr>
              <w:pStyle w:val="Body"/>
              <w:rPr>
                <w:rFonts w:eastAsiaTheme="minorHAnsi" w:cs="Arial"/>
              </w:rPr>
            </w:pPr>
            <w:r w:rsidRPr="008843F0">
              <w:rPr>
                <w:rFonts w:eastAsiaTheme="minorHAnsi" w:cs="Arial"/>
              </w:rPr>
              <w:t>214 (89%)</w:t>
            </w:r>
          </w:p>
        </w:tc>
        <w:tc>
          <w:tcPr>
            <w:tcW w:w="1490" w:type="dxa"/>
          </w:tcPr>
          <w:p w14:paraId="59CA24AE" w14:textId="77777777" w:rsidR="00397076" w:rsidRPr="008843F0" w:rsidRDefault="00397076" w:rsidP="003C2836">
            <w:pPr>
              <w:pStyle w:val="Body"/>
              <w:rPr>
                <w:rFonts w:eastAsiaTheme="minorHAnsi" w:cs="Arial"/>
              </w:rPr>
            </w:pPr>
            <w:r w:rsidRPr="008843F0">
              <w:rPr>
                <w:rFonts w:eastAsiaTheme="minorHAnsi" w:cs="Arial"/>
              </w:rPr>
              <w:t>87 (36%)</w:t>
            </w:r>
          </w:p>
        </w:tc>
        <w:tc>
          <w:tcPr>
            <w:tcW w:w="1663" w:type="dxa"/>
          </w:tcPr>
          <w:p w14:paraId="3AEDFF07" w14:textId="77777777" w:rsidR="00397076" w:rsidRPr="008843F0" w:rsidRDefault="00397076" w:rsidP="003C2836">
            <w:pPr>
              <w:pStyle w:val="Body"/>
              <w:rPr>
                <w:rFonts w:eastAsiaTheme="minorHAnsi" w:cs="Arial"/>
              </w:rPr>
            </w:pPr>
            <w:r w:rsidRPr="008843F0">
              <w:rPr>
                <w:rFonts w:eastAsiaTheme="minorHAnsi" w:cs="Arial"/>
              </w:rPr>
              <w:t>40 (17%)</w:t>
            </w:r>
          </w:p>
        </w:tc>
        <w:tc>
          <w:tcPr>
            <w:tcW w:w="1512" w:type="dxa"/>
          </w:tcPr>
          <w:p w14:paraId="575D84E3" w14:textId="77777777" w:rsidR="00397076" w:rsidRPr="008843F0" w:rsidRDefault="00397076" w:rsidP="003C2836">
            <w:pPr>
              <w:pStyle w:val="Body"/>
              <w:rPr>
                <w:rFonts w:eastAsiaTheme="minorHAnsi" w:cs="Arial"/>
              </w:rPr>
            </w:pPr>
            <w:r w:rsidRPr="008843F0">
              <w:rPr>
                <w:rFonts w:eastAsiaTheme="minorHAnsi" w:cs="Arial"/>
              </w:rPr>
              <w:t>75 (31%)</w:t>
            </w:r>
          </w:p>
        </w:tc>
        <w:tc>
          <w:tcPr>
            <w:tcW w:w="1260" w:type="dxa"/>
          </w:tcPr>
          <w:p w14:paraId="39BFCE09" w14:textId="77777777" w:rsidR="00397076" w:rsidRPr="008843F0" w:rsidRDefault="00397076" w:rsidP="003C2836">
            <w:pPr>
              <w:pStyle w:val="Body"/>
              <w:rPr>
                <w:rFonts w:eastAsiaTheme="minorHAnsi" w:cs="Arial"/>
              </w:rPr>
            </w:pPr>
            <w:r w:rsidRPr="008843F0">
              <w:rPr>
                <w:rFonts w:eastAsiaTheme="minorHAnsi" w:cs="Arial"/>
              </w:rPr>
              <w:t>26 (11%)</w:t>
            </w:r>
          </w:p>
        </w:tc>
      </w:tr>
    </w:tbl>
    <w:p w14:paraId="25E90C88" w14:textId="57560483" w:rsidR="00397076" w:rsidRDefault="00397076" w:rsidP="00397076">
      <w:pPr>
        <w:pStyle w:val="Bodyaftertablefigure"/>
      </w:pPr>
      <w:r w:rsidRPr="008843F0">
        <w:t xml:space="preserve">Over </w:t>
      </w:r>
      <w:r>
        <w:t>10</w:t>
      </w:r>
      <w:r w:rsidRPr="008843F0">
        <w:t xml:space="preserve"> per</w:t>
      </w:r>
      <w:r>
        <w:t xml:space="preserve"> </w:t>
      </w:r>
      <w:r w:rsidRPr="008843F0">
        <w:t xml:space="preserve">cent of the patients in this group had no testing available prior to surgery. This is a missed </w:t>
      </w:r>
      <w:r w:rsidRPr="00397076">
        <w:t>opportunity</w:t>
      </w:r>
      <w:r w:rsidRPr="008843F0">
        <w:t xml:space="preserve"> to improve the patient haemoglobin and or iron levels prior to surgery and potentially avoid some of the problems associated with low haemoglobin and iron levels. We acknowledge that a number of these patients may have been treated outside of the health service for ongoing anaemia and iron deficiency and results may not have been available to the auditor. However, it is important that the clinical team performing the surgery have access to these results and are aware of the patient status relating to anaemia and iron deficiency.</w:t>
      </w:r>
    </w:p>
    <w:p w14:paraId="19F80144" w14:textId="13CC3239" w:rsidR="00397076" w:rsidRDefault="00397076" w:rsidP="00397076">
      <w:pPr>
        <w:pStyle w:val="Heading3"/>
      </w:pPr>
      <w:r w:rsidRPr="008843F0">
        <w:lastRenderedPageBreak/>
        <w:t>Screening results</w:t>
      </w:r>
    </w:p>
    <w:tbl>
      <w:tblPr>
        <w:tblStyle w:val="TableGrid5"/>
        <w:tblW w:w="0" w:type="auto"/>
        <w:tblLook w:val="04A0" w:firstRow="1" w:lastRow="0" w:firstColumn="1" w:lastColumn="0" w:noHBand="0" w:noVBand="1"/>
      </w:tblPr>
      <w:tblGrid>
        <w:gridCol w:w="1827"/>
        <w:gridCol w:w="1836"/>
        <w:gridCol w:w="1886"/>
        <w:gridCol w:w="1827"/>
      </w:tblGrid>
      <w:tr w:rsidR="00397076" w:rsidRPr="008843F0" w14:paraId="63431858" w14:textId="77777777" w:rsidTr="003C2836">
        <w:tc>
          <w:tcPr>
            <w:tcW w:w="1827" w:type="dxa"/>
          </w:tcPr>
          <w:p w14:paraId="1B204518" w14:textId="77777777" w:rsidR="00397076" w:rsidRPr="008843F0" w:rsidRDefault="00397076" w:rsidP="003C2836">
            <w:pPr>
              <w:pStyle w:val="Body"/>
              <w:rPr>
                <w:rFonts w:eastAsiaTheme="minorHAnsi" w:cs="Arial"/>
                <w:b/>
              </w:rPr>
            </w:pPr>
            <w:r w:rsidRPr="008843F0">
              <w:rPr>
                <w:rFonts w:eastAsiaTheme="minorHAnsi" w:cs="Arial"/>
                <w:b/>
              </w:rPr>
              <w:t>A</w:t>
            </w:r>
            <w:r w:rsidRPr="008843F0">
              <w:rPr>
                <w:rFonts w:cs="Arial"/>
                <w:b/>
              </w:rPr>
              <w:t>naemic or iron deficient by Module 2</w:t>
            </w:r>
          </w:p>
        </w:tc>
        <w:tc>
          <w:tcPr>
            <w:tcW w:w="1836" w:type="dxa"/>
          </w:tcPr>
          <w:p w14:paraId="40075F6A" w14:textId="77777777" w:rsidR="00397076" w:rsidRPr="008843F0" w:rsidRDefault="00397076" w:rsidP="003C2836">
            <w:pPr>
              <w:pStyle w:val="Body"/>
              <w:rPr>
                <w:rFonts w:eastAsiaTheme="minorHAnsi" w:cs="Arial"/>
                <w:b/>
              </w:rPr>
            </w:pPr>
            <w:r w:rsidRPr="008843F0">
              <w:rPr>
                <w:rFonts w:eastAsiaTheme="minorHAnsi" w:cs="Arial"/>
                <w:b/>
              </w:rPr>
              <w:t xml:space="preserve">Health service </w:t>
            </w:r>
            <w:r w:rsidRPr="008843F0">
              <w:rPr>
                <w:rFonts w:cs="Arial"/>
                <w:b/>
              </w:rPr>
              <w:t>documented as anaemic or iron deficient</w:t>
            </w:r>
          </w:p>
        </w:tc>
        <w:tc>
          <w:tcPr>
            <w:tcW w:w="1886" w:type="dxa"/>
          </w:tcPr>
          <w:p w14:paraId="75E440FE" w14:textId="77777777" w:rsidR="00397076" w:rsidRPr="008843F0" w:rsidRDefault="00397076" w:rsidP="003C2836">
            <w:pPr>
              <w:pStyle w:val="Body"/>
              <w:rPr>
                <w:rFonts w:eastAsiaTheme="minorHAnsi" w:cs="Arial"/>
                <w:b/>
              </w:rPr>
            </w:pPr>
            <w:r w:rsidRPr="008843F0">
              <w:rPr>
                <w:rFonts w:eastAsiaTheme="minorHAnsi" w:cs="Arial"/>
                <w:b/>
              </w:rPr>
              <w:t>N</w:t>
            </w:r>
            <w:r w:rsidRPr="008843F0">
              <w:rPr>
                <w:rFonts w:cs="Arial"/>
                <w:b/>
              </w:rPr>
              <w:t>on-anaemic and having ferritin &lt;100 mcg/L Module 2</w:t>
            </w:r>
          </w:p>
        </w:tc>
        <w:tc>
          <w:tcPr>
            <w:tcW w:w="1827" w:type="dxa"/>
          </w:tcPr>
          <w:p w14:paraId="509E4828" w14:textId="77777777" w:rsidR="00397076" w:rsidRPr="008843F0" w:rsidRDefault="00397076" w:rsidP="003C2836">
            <w:pPr>
              <w:pStyle w:val="Body"/>
              <w:rPr>
                <w:rFonts w:eastAsiaTheme="minorHAnsi" w:cs="Arial"/>
                <w:b/>
              </w:rPr>
            </w:pPr>
            <w:r w:rsidRPr="008843F0">
              <w:rPr>
                <w:rFonts w:cs="Arial"/>
                <w:b/>
              </w:rPr>
              <w:t>Patients documented or managed by health service</w:t>
            </w:r>
          </w:p>
        </w:tc>
      </w:tr>
      <w:tr w:rsidR="00397076" w:rsidRPr="008843F0" w14:paraId="560EB304" w14:textId="77777777" w:rsidTr="003C2836">
        <w:tc>
          <w:tcPr>
            <w:tcW w:w="1827" w:type="dxa"/>
          </w:tcPr>
          <w:p w14:paraId="2009E4CD" w14:textId="77777777" w:rsidR="00397076" w:rsidRPr="008843F0" w:rsidRDefault="00397076" w:rsidP="003C2836">
            <w:pPr>
              <w:pStyle w:val="Body"/>
              <w:rPr>
                <w:rFonts w:eastAsiaTheme="minorHAnsi" w:cs="Arial"/>
              </w:rPr>
            </w:pPr>
            <w:r w:rsidRPr="008843F0">
              <w:rPr>
                <w:rFonts w:eastAsiaTheme="minorHAnsi" w:cs="Arial"/>
              </w:rPr>
              <w:t>56 (23%)</w:t>
            </w:r>
          </w:p>
        </w:tc>
        <w:tc>
          <w:tcPr>
            <w:tcW w:w="1836" w:type="dxa"/>
          </w:tcPr>
          <w:p w14:paraId="369B577A" w14:textId="77777777" w:rsidR="00397076" w:rsidRPr="008843F0" w:rsidRDefault="00397076" w:rsidP="003C2836">
            <w:pPr>
              <w:pStyle w:val="Body"/>
              <w:rPr>
                <w:rFonts w:eastAsiaTheme="minorHAnsi" w:cs="Arial"/>
              </w:rPr>
            </w:pPr>
            <w:r w:rsidRPr="008843F0">
              <w:rPr>
                <w:rFonts w:eastAsiaTheme="minorHAnsi" w:cs="Arial"/>
              </w:rPr>
              <w:t>25 (10%)</w:t>
            </w:r>
          </w:p>
        </w:tc>
        <w:tc>
          <w:tcPr>
            <w:tcW w:w="1886" w:type="dxa"/>
          </w:tcPr>
          <w:p w14:paraId="0077B658" w14:textId="77777777" w:rsidR="00397076" w:rsidRPr="008843F0" w:rsidRDefault="00397076" w:rsidP="003C2836">
            <w:pPr>
              <w:pStyle w:val="Body"/>
              <w:rPr>
                <w:rFonts w:eastAsiaTheme="minorHAnsi" w:cs="Arial"/>
              </w:rPr>
            </w:pPr>
            <w:r w:rsidRPr="008843F0">
              <w:rPr>
                <w:rFonts w:eastAsiaTheme="minorHAnsi" w:cs="Arial"/>
              </w:rPr>
              <w:t>34 (14%)</w:t>
            </w:r>
          </w:p>
        </w:tc>
        <w:tc>
          <w:tcPr>
            <w:tcW w:w="1827" w:type="dxa"/>
          </w:tcPr>
          <w:p w14:paraId="0B9B0B57" w14:textId="77777777" w:rsidR="00397076" w:rsidRPr="008843F0" w:rsidRDefault="00397076" w:rsidP="003C2836">
            <w:pPr>
              <w:pStyle w:val="Body"/>
              <w:rPr>
                <w:rFonts w:eastAsiaTheme="minorHAnsi" w:cs="Arial"/>
                <w:b/>
              </w:rPr>
            </w:pPr>
            <w:r w:rsidRPr="008843F0">
              <w:rPr>
                <w:rFonts w:eastAsiaTheme="minorHAnsi" w:cs="Arial"/>
              </w:rPr>
              <w:t>10 (4%)</w:t>
            </w:r>
          </w:p>
        </w:tc>
      </w:tr>
    </w:tbl>
    <w:p w14:paraId="18DE55A1" w14:textId="0C0F011F" w:rsidR="00397076" w:rsidRPr="008843F0" w:rsidRDefault="00397076" w:rsidP="00397076">
      <w:pPr>
        <w:pStyle w:val="Body"/>
        <w:rPr>
          <w:rFonts w:eastAsiaTheme="minorHAnsi" w:cs="Arial"/>
        </w:rPr>
      </w:pPr>
      <w:r w:rsidRPr="008843F0">
        <w:rPr>
          <w:rFonts w:eastAsiaTheme="minorHAnsi" w:cs="Arial"/>
        </w:rPr>
        <w:t>Twenty-three per</w:t>
      </w:r>
      <w:r>
        <w:rPr>
          <w:rFonts w:eastAsiaTheme="minorHAnsi" w:cs="Arial"/>
        </w:rPr>
        <w:t xml:space="preserve"> </w:t>
      </w:r>
      <w:r w:rsidRPr="008843F0">
        <w:rPr>
          <w:rFonts w:eastAsiaTheme="minorHAnsi" w:cs="Arial"/>
        </w:rPr>
        <w:t xml:space="preserve">cent of patients in this group were found to be anaemic or iron deficient when compared to Module 2 template. This was the second largest proportion of patients </w:t>
      </w:r>
      <w:r w:rsidR="005157DF">
        <w:rPr>
          <w:rFonts w:eastAsiaTheme="minorHAnsi" w:cs="Arial"/>
        </w:rPr>
        <w:t xml:space="preserve">who were </w:t>
      </w:r>
      <w:r w:rsidRPr="008843F0">
        <w:rPr>
          <w:rFonts w:eastAsiaTheme="minorHAnsi" w:cs="Arial"/>
        </w:rPr>
        <w:t>anaemic, after the gastrointestinal group. In both groups, patients may be experiencing some degree of blood loss over a period of time and so are at greater risk of anaemia and/or iron deficiency.</w:t>
      </w:r>
    </w:p>
    <w:p w14:paraId="1BAF6902" w14:textId="2487CF44" w:rsidR="00397076" w:rsidRPr="00397076" w:rsidRDefault="00397076">
      <w:pPr>
        <w:pStyle w:val="Body"/>
      </w:pPr>
      <w:r w:rsidRPr="008843F0">
        <w:rPr>
          <w:rFonts w:cs="Arial"/>
        </w:rPr>
        <w:t>In the audit 14</w:t>
      </w:r>
      <w:r>
        <w:rPr>
          <w:rFonts w:cs="Arial"/>
        </w:rPr>
        <w:t xml:space="preserve"> per cent</w:t>
      </w:r>
      <w:r w:rsidRPr="008843F0">
        <w:rPr>
          <w:rFonts w:cs="Arial"/>
        </w:rPr>
        <w:t xml:space="preserve"> of patients had possible iron deficiency (Ferritin 30-100mcg/L). Without other investigations and testing such as CRP it may not be possible to determine if iron deficiency is a problem for the patient. Ferritin is an acute-phase protein, and its concentration rises in response to infection/inflammation; CRP provides an indication of acute disease (WHO) and when elevated, indicates that the ferritin may also be elevated due to inflammation and is not a true representation of iron levels.</w:t>
      </w:r>
    </w:p>
    <w:p w14:paraId="410EB427" w14:textId="77777777" w:rsidR="00397076" w:rsidRPr="008843F0" w:rsidRDefault="00397076" w:rsidP="002B2FD9">
      <w:pPr>
        <w:pStyle w:val="Heading3"/>
      </w:pPr>
      <w:r w:rsidRPr="008F5214">
        <w:t>Treatment</w:t>
      </w:r>
    </w:p>
    <w:p w14:paraId="6C22024C" w14:textId="77777777" w:rsidR="00397076" w:rsidRPr="008843F0" w:rsidRDefault="00397076" w:rsidP="00397076">
      <w:pPr>
        <w:pStyle w:val="Body"/>
        <w:rPr>
          <w:rFonts w:cs="Arial"/>
        </w:rPr>
      </w:pPr>
      <w:r w:rsidRPr="008843F0">
        <w:rPr>
          <w:rFonts w:cs="Arial"/>
        </w:rPr>
        <w:t>20 patients total</w:t>
      </w:r>
    </w:p>
    <w:tbl>
      <w:tblPr>
        <w:tblStyle w:val="TableGrid5"/>
        <w:tblW w:w="0" w:type="auto"/>
        <w:tblLook w:val="04A0" w:firstRow="1" w:lastRow="0" w:firstColumn="1" w:lastColumn="0" w:noHBand="0" w:noVBand="1"/>
      </w:tblPr>
      <w:tblGrid>
        <w:gridCol w:w="1451"/>
        <w:gridCol w:w="1490"/>
        <w:gridCol w:w="1663"/>
        <w:gridCol w:w="1512"/>
        <w:gridCol w:w="1260"/>
      </w:tblGrid>
      <w:tr w:rsidR="00397076" w:rsidRPr="008843F0" w14:paraId="1C882DF0" w14:textId="77777777" w:rsidTr="002B2FD9">
        <w:trPr>
          <w:tblHeader/>
        </w:trPr>
        <w:tc>
          <w:tcPr>
            <w:tcW w:w="1451" w:type="dxa"/>
          </w:tcPr>
          <w:p w14:paraId="279F1463" w14:textId="77777777" w:rsidR="00397076" w:rsidRPr="002B2FD9" w:rsidRDefault="00397076" w:rsidP="002B2FD9">
            <w:pPr>
              <w:pStyle w:val="Tablecolhead"/>
              <w:rPr>
                <w:rFonts w:eastAsiaTheme="minorHAnsi"/>
                <w:b w:val="0"/>
              </w:rPr>
            </w:pPr>
            <w:r w:rsidRPr="002B2FD9">
              <w:rPr>
                <w:rFonts w:eastAsiaTheme="minorHAnsi"/>
              </w:rPr>
              <w:t>Oral iron</w:t>
            </w:r>
          </w:p>
        </w:tc>
        <w:tc>
          <w:tcPr>
            <w:tcW w:w="1490" w:type="dxa"/>
          </w:tcPr>
          <w:p w14:paraId="1CDDD250" w14:textId="77777777" w:rsidR="00397076" w:rsidRPr="002B2FD9" w:rsidRDefault="00397076" w:rsidP="002B2FD9">
            <w:pPr>
              <w:pStyle w:val="Tablecolhead"/>
              <w:rPr>
                <w:rFonts w:eastAsiaTheme="minorHAnsi"/>
                <w:b w:val="0"/>
              </w:rPr>
            </w:pPr>
            <w:r w:rsidRPr="002B2FD9">
              <w:rPr>
                <w:rFonts w:eastAsiaTheme="minorHAnsi"/>
              </w:rPr>
              <w:t>IV iron</w:t>
            </w:r>
          </w:p>
        </w:tc>
        <w:tc>
          <w:tcPr>
            <w:tcW w:w="1663" w:type="dxa"/>
          </w:tcPr>
          <w:p w14:paraId="04DA1152" w14:textId="77777777" w:rsidR="00397076" w:rsidRPr="002B2FD9" w:rsidRDefault="00397076" w:rsidP="002B2FD9">
            <w:pPr>
              <w:pStyle w:val="Tablecolhead"/>
              <w:rPr>
                <w:rFonts w:eastAsiaTheme="minorHAnsi"/>
                <w:b w:val="0"/>
              </w:rPr>
            </w:pPr>
            <w:r w:rsidRPr="008F5214">
              <w:t>Specialist referral (Haematology, GI or renal)</w:t>
            </w:r>
          </w:p>
        </w:tc>
        <w:tc>
          <w:tcPr>
            <w:tcW w:w="1512" w:type="dxa"/>
          </w:tcPr>
          <w:p w14:paraId="3CD72A7D" w14:textId="77777777" w:rsidR="00397076" w:rsidRPr="002B2FD9" w:rsidRDefault="00397076" w:rsidP="002B2FD9">
            <w:pPr>
              <w:pStyle w:val="Tablecolhead"/>
              <w:rPr>
                <w:rFonts w:eastAsiaTheme="minorHAnsi"/>
                <w:b w:val="0"/>
              </w:rPr>
            </w:pPr>
            <w:r w:rsidRPr="008F5214">
              <w:t>Red cell t</w:t>
            </w:r>
            <w:r w:rsidRPr="003C2836">
              <w:t>ransfusion</w:t>
            </w:r>
          </w:p>
        </w:tc>
        <w:tc>
          <w:tcPr>
            <w:tcW w:w="1260" w:type="dxa"/>
          </w:tcPr>
          <w:p w14:paraId="2585E3FD" w14:textId="77777777" w:rsidR="00397076" w:rsidRPr="002B2FD9" w:rsidRDefault="00397076" w:rsidP="002B2FD9">
            <w:pPr>
              <w:pStyle w:val="Tablecolhead"/>
              <w:rPr>
                <w:rFonts w:eastAsiaTheme="minorHAnsi"/>
                <w:b w:val="0"/>
              </w:rPr>
            </w:pPr>
            <w:r w:rsidRPr="002B2FD9">
              <w:rPr>
                <w:rFonts w:eastAsiaTheme="minorHAnsi"/>
              </w:rPr>
              <w:t>Other</w:t>
            </w:r>
          </w:p>
        </w:tc>
      </w:tr>
      <w:tr w:rsidR="00397076" w:rsidRPr="008843F0" w14:paraId="73C06A95" w14:textId="77777777" w:rsidTr="003C2836">
        <w:tc>
          <w:tcPr>
            <w:tcW w:w="1451" w:type="dxa"/>
          </w:tcPr>
          <w:p w14:paraId="2F571F8A" w14:textId="77777777" w:rsidR="00397076" w:rsidRPr="008843F0" w:rsidRDefault="00397076" w:rsidP="003C2836">
            <w:pPr>
              <w:pStyle w:val="Body"/>
              <w:rPr>
                <w:rFonts w:eastAsiaTheme="minorHAnsi" w:cs="Arial"/>
              </w:rPr>
            </w:pPr>
            <w:r w:rsidRPr="008843F0">
              <w:rPr>
                <w:rFonts w:eastAsiaTheme="minorHAnsi" w:cs="Arial"/>
              </w:rPr>
              <w:t>7 (35%)</w:t>
            </w:r>
          </w:p>
        </w:tc>
        <w:tc>
          <w:tcPr>
            <w:tcW w:w="1490" w:type="dxa"/>
          </w:tcPr>
          <w:p w14:paraId="3C61B252" w14:textId="77777777" w:rsidR="00397076" w:rsidRPr="008843F0" w:rsidRDefault="00397076" w:rsidP="003C2836">
            <w:pPr>
              <w:pStyle w:val="Body"/>
              <w:rPr>
                <w:rFonts w:eastAsiaTheme="minorHAnsi" w:cs="Arial"/>
              </w:rPr>
            </w:pPr>
            <w:r w:rsidRPr="008843F0">
              <w:rPr>
                <w:rFonts w:eastAsiaTheme="minorHAnsi" w:cs="Arial"/>
              </w:rPr>
              <w:t>12 (60%)</w:t>
            </w:r>
          </w:p>
        </w:tc>
        <w:tc>
          <w:tcPr>
            <w:tcW w:w="1663" w:type="dxa"/>
          </w:tcPr>
          <w:p w14:paraId="0B02CEAE" w14:textId="77777777" w:rsidR="00397076" w:rsidRPr="008843F0" w:rsidRDefault="00397076" w:rsidP="003C2836">
            <w:pPr>
              <w:pStyle w:val="Body"/>
              <w:rPr>
                <w:rFonts w:eastAsiaTheme="minorHAnsi" w:cs="Arial"/>
              </w:rPr>
            </w:pPr>
            <w:r w:rsidRPr="008843F0">
              <w:rPr>
                <w:rFonts w:eastAsiaTheme="minorHAnsi" w:cs="Arial"/>
              </w:rPr>
              <w:t>0</w:t>
            </w:r>
          </w:p>
        </w:tc>
        <w:tc>
          <w:tcPr>
            <w:tcW w:w="1512" w:type="dxa"/>
          </w:tcPr>
          <w:p w14:paraId="05BFA95A" w14:textId="77777777" w:rsidR="00397076" w:rsidRPr="008843F0" w:rsidRDefault="00397076" w:rsidP="003C2836">
            <w:pPr>
              <w:pStyle w:val="Body"/>
              <w:rPr>
                <w:rFonts w:eastAsiaTheme="minorHAnsi" w:cs="Arial"/>
              </w:rPr>
            </w:pPr>
            <w:r w:rsidRPr="008843F0">
              <w:rPr>
                <w:rFonts w:eastAsiaTheme="minorHAnsi" w:cs="Arial"/>
              </w:rPr>
              <w:t>2 (10%)</w:t>
            </w:r>
          </w:p>
        </w:tc>
        <w:tc>
          <w:tcPr>
            <w:tcW w:w="1260" w:type="dxa"/>
          </w:tcPr>
          <w:p w14:paraId="24D0A7C1" w14:textId="77777777" w:rsidR="00397076" w:rsidRPr="008843F0" w:rsidRDefault="00397076" w:rsidP="003C2836">
            <w:pPr>
              <w:pStyle w:val="Body"/>
              <w:rPr>
                <w:rFonts w:eastAsiaTheme="minorHAnsi" w:cs="Arial"/>
              </w:rPr>
            </w:pPr>
            <w:r w:rsidRPr="008843F0">
              <w:rPr>
                <w:rFonts w:eastAsiaTheme="minorHAnsi" w:cs="Arial"/>
              </w:rPr>
              <w:t>0</w:t>
            </w:r>
          </w:p>
        </w:tc>
      </w:tr>
    </w:tbl>
    <w:p w14:paraId="6C642623" w14:textId="2288983D" w:rsidR="00397076" w:rsidRDefault="00397076" w:rsidP="00397076">
      <w:pPr>
        <w:pStyle w:val="Tablefigurenote"/>
      </w:pPr>
      <w:r w:rsidRPr="00397076">
        <w:t>Percentage greater than 100 as patients may have received more than one treatment type</w:t>
      </w:r>
      <w:r>
        <w:t>.</w:t>
      </w:r>
    </w:p>
    <w:p w14:paraId="43CE5067" w14:textId="06CDDC49" w:rsidR="00397076" w:rsidRPr="008F5214" w:rsidRDefault="00397076" w:rsidP="002B2FD9">
      <w:pPr>
        <w:pStyle w:val="Tablefigurenote"/>
      </w:pPr>
      <w:r w:rsidRPr="008F5214">
        <w:t>There were no renal referrals or EPO</w:t>
      </w:r>
      <w:r>
        <w:t>.</w:t>
      </w:r>
    </w:p>
    <w:p w14:paraId="0BB3233F" w14:textId="77777777" w:rsidR="00397076" w:rsidRPr="008843F0" w:rsidRDefault="00397076" w:rsidP="002B2FD9">
      <w:pPr>
        <w:pStyle w:val="Bodyafterbullets"/>
      </w:pPr>
      <w:r w:rsidRPr="008843F0">
        <w:t xml:space="preserve">While less than half the patients found to be </w:t>
      </w:r>
      <w:r w:rsidRPr="00397076">
        <w:t>anaemic</w:t>
      </w:r>
      <w:r w:rsidRPr="008843F0">
        <w:t xml:space="preserve"> by Module 2 were documented as anaemic, by the health service, 80 per cent of those documented as anaemic by the health service were treated. This was the largest proportion in this audit. </w:t>
      </w:r>
    </w:p>
    <w:p w14:paraId="725BCC60" w14:textId="77777777" w:rsidR="00397076" w:rsidRPr="008843F0" w:rsidRDefault="00397076" w:rsidP="00397076">
      <w:pPr>
        <w:pStyle w:val="Body"/>
        <w:rPr>
          <w:rFonts w:cs="Arial"/>
        </w:rPr>
      </w:pPr>
      <w:r w:rsidRPr="008843F0">
        <w:rPr>
          <w:rFonts w:cs="Arial"/>
        </w:rPr>
        <w:t>Treatment in 60 per cent of cases was with iron infusions, with a further 35 per cent receiving oral iron. It is important to remember to test, particularly with oral iron, that the treatment has had the desired effect and iron stores have been replaced. In this audit only 30 per cent of the patients receiving treatment had pathology results that demonstrated the anaemia had been resolved prior to surgery (as defined by Module 2). Despite treatment a number of patients may still be going to surgery with suboptimal haemoglobin or iron levels.</w:t>
      </w:r>
    </w:p>
    <w:p w14:paraId="46BC6A52" w14:textId="5DB41156" w:rsidR="00397076" w:rsidRPr="008843F0" w:rsidRDefault="00397076" w:rsidP="00397076">
      <w:pPr>
        <w:pStyle w:val="Body"/>
        <w:rPr>
          <w:rFonts w:cs="Arial"/>
        </w:rPr>
      </w:pPr>
      <w:r w:rsidRPr="008843F0">
        <w:rPr>
          <w:rFonts w:cs="Arial"/>
        </w:rPr>
        <w:t xml:space="preserve">It is unclear from this audit if all patients in this group received an appropriate trial of oral </w:t>
      </w:r>
      <w:proofErr w:type="gramStart"/>
      <w:r w:rsidRPr="008843F0">
        <w:rPr>
          <w:rFonts w:cs="Arial"/>
        </w:rPr>
        <w:t>iron, but</w:t>
      </w:r>
      <w:proofErr w:type="gramEnd"/>
      <w:r w:rsidRPr="008843F0">
        <w:rPr>
          <w:rFonts w:cs="Arial"/>
        </w:rPr>
        <w:t xml:space="preserve"> considering 60 per</w:t>
      </w:r>
      <w:r>
        <w:rPr>
          <w:rFonts w:cs="Arial"/>
        </w:rPr>
        <w:t xml:space="preserve"> </w:t>
      </w:r>
      <w:r w:rsidRPr="008843F0">
        <w:rPr>
          <w:rFonts w:cs="Arial"/>
        </w:rPr>
        <w:t>cent of patients were assessed with 4 weeks or less to surgery, there is the potential for this to not have the desired effect. We acknowledge some patients may be on long</w:t>
      </w:r>
      <w:r w:rsidR="00173908">
        <w:rPr>
          <w:rFonts w:cs="Arial"/>
        </w:rPr>
        <w:t>-</w:t>
      </w:r>
      <w:r w:rsidRPr="008843F0">
        <w:rPr>
          <w:rFonts w:cs="Arial"/>
        </w:rPr>
        <w:t>term oral iron for ongoing blood loss.</w:t>
      </w:r>
    </w:p>
    <w:p w14:paraId="19E2DA95" w14:textId="195C4BE2" w:rsidR="00397076" w:rsidRDefault="00397076" w:rsidP="00397076">
      <w:pPr>
        <w:pStyle w:val="Body"/>
        <w:rPr>
          <w:rFonts w:cs="Arial"/>
        </w:rPr>
      </w:pPr>
      <w:r w:rsidRPr="008843F0">
        <w:rPr>
          <w:rFonts w:cs="Arial"/>
        </w:rPr>
        <w:t>Red cell transfusion was used for two patients in this group. We are unable to comment on the appropriateness of these transfusions as we did not ask questions about symptoms of anaemia. Certainly, where transfusion is necessary for symptomatic anaemia, it should be used in conjunction with other more targeted therapies to treat the cause of anaemia.</w:t>
      </w:r>
    </w:p>
    <w:p w14:paraId="6A12A546" w14:textId="16821098" w:rsidR="00397076" w:rsidRPr="008843F0" w:rsidRDefault="00397076" w:rsidP="00397076">
      <w:pPr>
        <w:pStyle w:val="Body"/>
        <w:rPr>
          <w:rFonts w:cs="Arial"/>
          <w:b/>
        </w:rPr>
      </w:pPr>
      <w:r w:rsidRPr="008843F0">
        <w:rPr>
          <w:rFonts w:cs="Arial"/>
          <w:b/>
        </w:rPr>
        <w:lastRenderedPageBreak/>
        <w:t>References</w:t>
      </w:r>
    </w:p>
    <w:p w14:paraId="04D7E902" w14:textId="5FD80D13" w:rsidR="00397076" w:rsidRDefault="00397076" w:rsidP="00397076">
      <w:pPr>
        <w:pStyle w:val="Body"/>
      </w:pPr>
      <w:r w:rsidRPr="008843F0">
        <w:rPr>
          <w:rFonts w:cs="Arial"/>
        </w:rPr>
        <w:t>Rock WA and Meeks GR</w:t>
      </w:r>
      <w:r>
        <w:rPr>
          <w:rFonts w:cs="Arial"/>
        </w:rPr>
        <w:t xml:space="preserve"> 2001,</w:t>
      </w:r>
      <w:r w:rsidRPr="008843F0">
        <w:rPr>
          <w:rFonts w:cs="Arial"/>
        </w:rPr>
        <w:t xml:space="preserve"> </w:t>
      </w:r>
      <w:r>
        <w:rPr>
          <w:rFonts w:cs="Arial"/>
        </w:rPr>
        <w:t>‘</w:t>
      </w:r>
      <w:r w:rsidRPr="002B2FD9">
        <w:rPr>
          <w:rFonts w:cs="Arial"/>
          <w:bCs/>
          <w:iCs/>
        </w:rPr>
        <w:t xml:space="preserve">Managing </w:t>
      </w:r>
      <w:proofErr w:type="spellStart"/>
      <w:r w:rsidRPr="002B2FD9">
        <w:rPr>
          <w:rFonts w:cs="Arial"/>
          <w:bCs/>
          <w:iCs/>
        </w:rPr>
        <w:t>anemia</w:t>
      </w:r>
      <w:proofErr w:type="spellEnd"/>
      <w:r w:rsidRPr="002B2FD9">
        <w:rPr>
          <w:rFonts w:cs="Arial"/>
          <w:bCs/>
          <w:iCs/>
        </w:rPr>
        <w:t xml:space="preserve"> and blood loss in elective </w:t>
      </w:r>
      <w:proofErr w:type="spellStart"/>
      <w:r w:rsidRPr="002B2FD9">
        <w:rPr>
          <w:rFonts w:cs="Arial"/>
          <w:bCs/>
          <w:iCs/>
        </w:rPr>
        <w:t>gynecologic</w:t>
      </w:r>
      <w:proofErr w:type="spellEnd"/>
      <w:r w:rsidRPr="002B2FD9">
        <w:rPr>
          <w:rFonts w:cs="Arial"/>
          <w:bCs/>
          <w:iCs/>
        </w:rPr>
        <w:t xml:space="preserve"> surgery patients</w:t>
      </w:r>
      <w:r>
        <w:rPr>
          <w:rFonts w:cs="Arial"/>
          <w:bCs/>
          <w:iCs/>
        </w:rPr>
        <w:t>’,</w:t>
      </w:r>
      <w:r w:rsidRPr="008F5214">
        <w:rPr>
          <w:rFonts w:cs="Arial"/>
          <w:bCs/>
          <w:iCs/>
        </w:rPr>
        <w:t xml:space="preserve"> </w:t>
      </w:r>
      <w:r w:rsidRPr="002B2FD9">
        <w:rPr>
          <w:rFonts w:cs="Arial"/>
          <w:bCs/>
          <w:i/>
          <w:iCs/>
        </w:rPr>
        <w:t>The Journal of Reproductive Medicine</w:t>
      </w:r>
      <w:r w:rsidRPr="008843F0">
        <w:rPr>
          <w:rFonts w:cs="Arial"/>
          <w:bCs/>
        </w:rPr>
        <w:t>, </w:t>
      </w:r>
      <w:r>
        <w:rPr>
          <w:rFonts w:cs="Arial"/>
          <w:bCs/>
        </w:rPr>
        <w:t xml:space="preserve">vol. </w:t>
      </w:r>
      <w:r w:rsidRPr="008843F0">
        <w:rPr>
          <w:rFonts w:cs="Arial"/>
          <w:bCs/>
        </w:rPr>
        <w:t>46</w:t>
      </w:r>
      <w:r>
        <w:rPr>
          <w:rFonts w:cs="Arial"/>
          <w:bCs/>
        </w:rPr>
        <w:t xml:space="preserve">, no. </w:t>
      </w:r>
      <w:r w:rsidRPr="008843F0">
        <w:rPr>
          <w:rFonts w:cs="Arial"/>
          <w:bCs/>
        </w:rPr>
        <w:t xml:space="preserve">5 </w:t>
      </w:r>
      <w:r>
        <w:rPr>
          <w:rFonts w:cs="Arial"/>
          <w:bCs/>
        </w:rPr>
        <w:t>(</w:t>
      </w:r>
      <w:r w:rsidRPr="008843F0">
        <w:rPr>
          <w:rFonts w:cs="Arial"/>
          <w:bCs/>
        </w:rPr>
        <w:t>Suppl)</w:t>
      </w:r>
      <w:r>
        <w:rPr>
          <w:rFonts w:cs="Arial"/>
          <w:bCs/>
        </w:rPr>
        <w:t xml:space="preserve"> pp. </w:t>
      </w:r>
      <w:r w:rsidRPr="008843F0">
        <w:rPr>
          <w:rFonts w:cs="Arial"/>
          <w:bCs/>
        </w:rPr>
        <w:t>507</w:t>
      </w:r>
      <w:r>
        <w:rPr>
          <w:rFonts w:cs="Arial"/>
          <w:bCs/>
        </w:rPr>
        <w:t>–</w:t>
      </w:r>
      <w:r w:rsidRPr="008843F0">
        <w:rPr>
          <w:rFonts w:cs="Arial"/>
          <w:bCs/>
        </w:rPr>
        <w:t>514</w:t>
      </w:r>
      <w:r>
        <w:rPr>
          <w:rFonts w:cs="Arial"/>
          <w:bCs/>
        </w:rPr>
        <w:t>.</w:t>
      </w:r>
    </w:p>
    <w:p w14:paraId="22520ECE" w14:textId="09405727" w:rsidR="00397076" w:rsidRPr="00397076" w:rsidRDefault="0095426F" w:rsidP="002B2FD9">
      <w:pPr>
        <w:pStyle w:val="Heading2"/>
      </w:pPr>
      <w:bookmarkStart w:id="135" w:name="_Toc75325167"/>
      <w:bookmarkStart w:id="136" w:name="_Toc78958808"/>
      <w:r w:rsidRPr="008843F0">
        <w:t xml:space="preserve">Major </w:t>
      </w:r>
      <w:r w:rsidRPr="008F5214">
        <w:t>gastrointestinal</w:t>
      </w:r>
      <w:r w:rsidRPr="008843F0">
        <w:t xml:space="preserve"> surgery</w:t>
      </w:r>
      <w:bookmarkEnd w:id="135"/>
      <w:bookmarkEnd w:id="136"/>
    </w:p>
    <w:p w14:paraId="49467403" w14:textId="026DB0EA" w:rsidR="000E4493" w:rsidRDefault="0095426F" w:rsidP="000E4493">
      <w:pPr>
        <w:pStyle w:val="Body"/>
        <w:rPr>
          <w:rFonts w:cs="Arial"/>
        </w:rPr>
      </w:pPr>
      <w:r w:rsidRPr="008843F0">
        <w:rPr>
          <w:rFonts w:cs="Arial"/>
          <w:b/>
        </w:rPr>
        <w:t>Returned</w:t>
      </w:r>
      <w:r>
        <w:rPr>
          <w:rFonts w:cs="Arial"/>
          <w:b/>
        </w:rPr>
        <w:t xml:space="preserve">: </w:t>
      </w:r>
      <w:r w:rsidRPr="008843F0">
        <w:rPr>
          <w:rFonts w:cs="Arial"/>
        </w:rPr>
        <w:t>296</w:t>
      </w:r>
    </w:p>
    <w:p w14:paraId="4528B71B" w14:textId="1FBBE1EB" w:rsidR="0095426F" w:rsidRDefault="0095426F" w:rsidP="000E4493">
      <w:pPr>
        <w:pStyle w:val="Body"/>
        <w:rPr>
          <w:rFonts w:cs="Arial"/>
        </w:rPr>
      </w:pPr>
      <w:r w:rsidRPr="008843F0">
        <w:rPr>
          <w:rFonts w:cs="Arial"/>
          <w:b/>
        </w:rPr>
        <w:t>Documented screened</w:t>
      </w:r>
      <w:r>
        <w:rPr>
          <w:rFonts w:cs="Arial"/>
          <w:b/>
        </w:rPr>
        <w:t xml:space="preserve">: </w:t>
      </w:r>
      <w:r w:rsidRPr="008843F0">
        <w:rPr>
          <w:rFonts w:cs="Arial"/>
        </w:rPr>
        <w:t>245 (83%)</w:t>
      </w:r>
    </w:p>
    <w:p w14:paraId="05D6C0E0" w14:textId="0C41FFBB" w:rsidR="0095426F" w:rsidRDefault="0095426F" w:rsidP="000E4493">
      <w:pPr>
        <w:pStyle w:val="Body"/>
        <w:rPr>
          <w:rFonts w:cs="Arial"/>
        </w:rPr>
      </w:pPr>
      <w:r w:rsidRPr="008843F0">
        <w:rPr>
          <w:rFonts w:cs="Arial"/>
        </w:rPr>
        <w:t xml:space="preserve">Patients in this group may have health issues that lead to blood loss or poor ability to absorb iron. These patients are good candidates for preoperative patient blood management because of these </w:t>
      </w:r>
      <w:proofErr w:type="gramStart"/>
      <w:r w:rsidRPr="008843F0">
        <w:rPr>
          <w:rFonts w:cs="Arial"/>
        </w:rPr>
        <w:t>issues, but</w:t>
      </w:r>
      <w:proofErr w:type="gramEnd"/>
      <w:r w:rsidRPr="008843F0">
        <w:rPr>
          <w:rFonts w:cs="Arial"/>
        </w:rPr>
        <w:t xml:space="preserve"> may have a short time to surgery.</w:t>
      </w:r>
    </w:p>
    <w:p w14:paraId="5AFC4FE5" w14:textId="259A8C94" w:rsidR="0095426F" w:rsidRDefault="0095426F" w:rsidP="0095426F">
      <w:pPr>
        <w:pStyle w:val="Heading3"/>
      </w:pPr>
      <w:r w:rsidRPr="008843F0">
        <w:t>Timing of screening</w:t>
      </w:r>
    </w:p>
    <w:tbl>
      <w:tblPr>
        <w:tblStyle w:val="TableGrid5"/>
        <w:tblW w:w="0" w:type="auto"/>
        <w:tblLook w:val="04A0" w:firstRow="1" w:lastRow="0" w:firstColumn="1" w:lastColumn="0" w:noHBand="0" w:noVBand="1"/>
      </w:tblPr>
      <w:tblGrid>
        <w:gridCol w:w="1827"/>
        <w:gridCol w:w="1827"/>
        <w:gridCol w:w="1827"/>
        <w:gridCol w:w="1827"/>
      </w:tblGrid>
      <w:tr w:rsidR="0095426F" w:rsidRPr="008843F0" w14:paraId="7AA2B576" w14:textId="77777777" w:rsidTr="002B2FD9">
        <w:trPr>
          <w:tblHeader/>
        </w:trPr>
        <w:tc>
          <w:tcPr>
            <w:tcW w:w="1827" w:type="dxa"/>
          </w:tcPr>
          <w:p w14:paraId="10053513" w14:textId="77777777" w:rsidR="0095426F" w:rsidRPr="002B2FD9" w:rsidRDefault="0095426F" w:rsidP="002B2FD9">
            <w:pPr>
              <w:pStyle w:val="Tablecolhead"/>
              <w:rPr>
                <w:b w:val="0"/>
              </w:rPr>
            </w:pPr>
            <w:r w:rsidRPr="008F5214">
              <w:t>&gt;4 weeks</w:t>
            </w:r>
          </w:p>
        </w:tc>
        <w:tc>
          <w:tcPr>
            <w:tcW w:w="1827" w:type="dxa"/>
          </w:tcPr>
          <w:p w14:paraId="32D1C716" w14:textId="77777777" w:rsidR="0095426F" w:rsidRPr="002B2FD9" w:rsidRDefault="0095426F" w:rsidP="002B2FD9">
            <w:pPr>
              <w:pStyle w:val="Tablecolhead"/>
              <w:rPr>
                <w:b w:val="0"/>
              </w:rPr>
            </w:pPr>
            <w:r w:rsidRPr="008F5214">
              <w:t>1 – 4 weeks</w:t>
            </w:r>
          </w:p>
        </w:tc>
        <w:tc>
          <w:tcPr>
            <w:tcW w:w="1827" w:type="dxa"/>
          </w:tcPr>
          <w:p w14:paraId="34CF5EC6" w14:textId="77777777" w:rsidR="0095426F" w:rsidRPr="002B2FD9" w:rsidRDefault="0095426F" w:rsidP="002B2FD9">
            <w:pPr>
              <w:pStyle w:val="Tablecolhead"/>
              <w:rPr>
                <w:b w:val="0"/>
              </w:rPr>
            </w:pPr>
            <w:r w:rsidRPr="008F5214">
              <w:t>&lt;1 week</w:t>
            </w:r>
          </w:p>
        </w:tc>
        <w:tc>
          <w:tcPr>
            <w:tcW w:w="1827" w:type="dxa"/>
          </w:tcPr>
          <w:p w14:paraId="1273AC39" w14:textId="77777777" w:rsidR="0095426F" w:rsidRPr="002B2FD9" w:rsidRDefault="0095426F" w:rsidP="002B2FD9">
            <w:pPr>
              <w:pStyle w:val="Tablecolhead"/>
              <w:rPr>
                <w:b w:val="0"/>
              </w:rPr>
            </w:pPr>
            <w:r w:rsidRPr="008F5214">
              <w:t>Day prior to surgery</w:t>
            </w:r>
          </w:p>
        </w:tc>
      </w:tr>
      <w:tr w:rsidR="0095426F" w:rsidRPr="008843F0" w14:paraId="13D66F5C" w14:textId="77777777" w:rsidTr="003C2836">
        <w:tc>
          <w:tcPr>
            <w:tcW w:w="1827" w:type="dxa"/>
          </w:tcPr>
          <w:p w14:paraId="4F1856E5" w14:textId="77777777" w:rsidR="0095426F" w:rsidRPr="008843F0" w:rsidRDefault="0095426F" w:rsidP="003C2836">
            <w:pPr>
              <w:pStyle w:val="Body"/>
              <w:rPr>
                <w:rFonts w:cs="Arial"/>
              </w:rPr>
            </w:pPr>
            <w:r w:rsidRPr="008843F0">
              <w:rPr>
                <w:rFonts w:cs="Arial"/>
              </w:rPr>
              <w:t>48 (20%)</w:t>
            </w:r>
          </w:p>
        </w:tc>
        <w:tc>
          <w:tcPr>
            <w:tcW w:w="1827" w:type="dxa"/>
          </w:tcPr>
          <w:p w14:paraId="73CA5FBD" w14:textId="77777777" w:rsidR="0095426F" w:rsidRPr="008843F0" w:rsidRDefault="0095426F" w:rsidP="003C2836">
            <w:pPr>
              <w:pStyle w:val="Body"/>
              <w:rPr>
                <w:rFonts w:cs="Arial"/>
              </w:rPr>
            </w:pPr>
            <w:r w:rsidRPr="008843F0">
              <w:rPr>
                <w:rFonts w:cs="Arial"/>
              </w:rPr>
              <w:t>138 (56%)</w:t>
            </w:r>
          </w:p>
        </w:tc>
        <w:tc>
          <w:tcPr>
            <w:tcW w:w="1827" w:type="dxa"/>
          </w:tcPr>
          <w:p w14:paraId="35C7B99E" w14:textId="77777777" w:rsidR="0095426F" w:rsidRPr="008843F0" w:rsidRDefault="0095426F" w:rsidP="003C2836">
            <w:pPr>
              <w:pStyle w:val="Body"/>
              <w:rPr>
                <w:rFonts w:cs="Arial"/>
              </w:rPr>
            </w:pPr>
            <w:r w:rsidRPr="008843F0">
              <w:rPr>
                <w:rFonts w:cs="Arial"/>
              </w:rPr>
              <w:t>48 (20%)</w:t>
            </w:r>
          </w:p>
        </w:tc>
        <w:tc>
          <w:tcPr>
            <w:tcW w:w="1827" w:type="dxa"/>
          </w:tcPr>
          <w:p w14:paraId="4A28A1DD" w14:textId="77777777" w:rsidR="0095426F" w:rsidRPr="008843F0" w:rsidRDefault="0095426F" w:rsidP="003C2836">
            <w:pPr>
              <w:pStyle w:val="Body"/>
              <w:rPr>
                <w:rFonts w:cs="Arial"/>
                <w:b/>
              </w:rPr>
            </w:pPr>
            <w:r w:rsidRPr="008843F0">
              <w:rPr>
                <w:rFonts w:cs="Arial"/>
              </w:rPr>
              <w:t>11 (4%)</w:t>
            </w:r>
          </w:p>
        </w:tc>
      </w:tr>
    </w:tbl>
    <w:p w14:paraId="4EA09D2A" w14:textId="77777777" w:rsidR="0095426F" w:rsidRPr="008843F0" w:rsidRDefault="0095426F" w:rsidP="002B2FD9">
      <w:pPr>
        <w:pStyle w:val="Bodyaftertablefigure"/>
      </w:pPr>
      <w:r w:rsidRPr="008843F0">
        <w:t xml:space="preserve">In this group of patients, as with the cardiothoracic group, the surgery they are undergoing is often more urgent </w:t>
      </w:r>
      <w:r w:rsidRPr="0095426F">
        <w:t>and</w:t>
      </w:r>
      <w:r w:rsidRPr="008843F0">
        <w:t xml:space="preserve"> the time from waitlist to surgery date is shorter. With this in mind, it is not surprising that only 20 per</w:t>
      </w:r>
      <w:r>
        <w:t xml:space="preserve"> </w:t>
      </w:r>
      <w:r w:rsidRPr="008843F0">
        <w:t>cent of patients were screened with greater than 4 weeks to surgery.</w:t>
      </w:r>
    </w:p>
    <w:p w14:paraId="02BA240F" w14:textId="77777777" w:rsidR="0095426F" w:rsidRPr="008843F0" w:rsidRDefault="0095426F" w:rsidP="0095426F">
      <w:pPr>
        <w:pStyle w:val="Body"/>
        <w:rPr>
          <w:rFonts w:cs="Arial"/>
        </w:rPr>
      </w:pPr>
      <w:r w:rsidRPr="008843F0">
        <w:rPr>
          <w:rFonts w:cs="Arial"/>
        </w:rPr>
        <w:t>As with other surgical groups a small percentage were screened the day prior to surgery (4 per</w:t>
      </w:r>
      <w:r>
        <w:rPr>
          <w:rFonts w:cs="Arial"/>
        </w:rPr>
        <w:t xml:space="preserve"> </w:t>
      </w:r>
      <w:r w:rsidRPr="008843F0">
        <w:rPr>
          <w:rFonts w:cs="Arial"/>
        </w:rPr>
        <w:t>cent), a further 2 per</w:t>
      </w:r>
      <w:r>
        <w:rPr>
          <w:rFonts w:cs="Arial"/>
        </w:rPr>
        <w:t xml:space="preserve"> </w:t>
      </w:r>
      <w:r w:rsidRPr="008843F0">
        <w:rPr>
          <w:rFonts w:cs="Arial"/>
        </w:rPr>
        <w:t xml:space="preserve">cent had no preoperative testing performed. This allows no time to diagnose or treat any anaemia or iron deficiency the patient may have. </w:t>
      </w:r>
    </w:p>
    <w:p w14:paraId="350FBFCA" w14:textId="71001B1B" w:rsidR="0095426F" w:rsidRDefault="0095426F" w:rsidP="0095426F">
      <w:pPr>
        <w:pStyle w:val="Body"/>
      </w:pPr>
      <w:r w:rsidRPr="008843F0">
        <w:rPr>
          <w:rFonts w:cs="Arial"/>
        </w:rPr>
        <w:t xml:space="preserve">Working with general practitioners to address the investigation and commence treatment earlier for this group of patients </w:t>
      </w:r>
      <w:r w:rsidR="0004434B">
        <w:rPr>
          <w:rFonts w:cs="Arial"/>
        </w:rPr>
        <w:t>is</w:t>
      </w:r>
      <w:r w:rsidRPr="008843F0">
        <w:rPr>
          <w:rFonts w:cs="Arial"/>
        </w:rPr>
        <w:t xml:space="preserve"> something that health services should consider.</w:t>
      </w:r>
    </w:p>
    <w:p w14:paraId="2A82F8D6" w14:textId="3361AB93" w:rsidR="0095426F" w:rsidRDefault="0095426F" w:rsidP="0095426F">
      <w:pPr>
        <w:pStyle w:val="Heading3"/>
      </w:pPr>
      <w:r w:rsidRPr="0095426F">
        <w:t>Investigations</w:t>
      </w:r>
    </w:p>
    <w:tbl>
      <w:tblPr>
        <w:tblStyle w:val="TableGrid5"/>
        <w:tblW w:w="0" w:type="auto"/>
        <w:tblLook w:val="04A0" w:firstRow="1" w:lastRow="0" w:firstColumn="1" w:lastColumn="0" w:noHBand="0" w:noVBand="1"/>
      </w:tblPr>
      <w:tblGrid>
        <w:gridCol w:w="1411"/>
        <w:gridCol w:w="1524"/>
        <w:gridCol w:w="1732"/>
        <w:gridCol w:w="1524"/>
        <w:gridCol w:w="1117"/>
      </w:tblGrid>
      <w:tr w:rsidR="0095426F" w:rsidRPr="008843F0" w14:paraId="7A5819AC" w14:textId="77777777" w:rsidTr="003C2836">
        <w:tc>
          <w:tcPr>
            <w:tcW w:w="1411" w:type="dxa"/>
          </w:tcPr>
          <w:p w14:paraId="3122CBE1" w14:textId="77777777" w:rsidR="0095426F" w:rsidRPr="008843F0" w:rsidRDefault="0095426F" w:rsidP="002B2FD9">
            <w:pPr>
              <w:pStyle w:val="Tablecolhead"/>
            </w:pPr>
            <w:r w:rsidRPr="008843F0">
              <w:t>FBE</w:t>
            </w:r>
          </w:p>
        </w:tc>
        <w:tc>
          <w:tcPr>
            <w:tcW w:w="1524" w:type="dxa"/>
          </w:tcPr>
          <w:p w14:paraId="1EF45680" w14:textId="77777777" w:rsidR="0095426F" w:rsidRPr="008843F0" w:rsidRDefault="0095426F" w:rsidP="002B2FD9">
            <w:pPr>
              <w:pStyle w:val="Tablecolhead"/>
            </w:pPr>
            <w:r w:rsidRPr="008843F0">
              <w:t>Ferritin</w:t>
            </w:r>
          </w:p>
        </w:tc>
        <w:tc>
          <w:tcPr>
            <w:tcW w:w="1732" w:type="dxa"/>
          </w:tcPr>
          <w:p w14:paraId="1EA72539" w14:textId="77777777" w:rsidR="0095426F" w:rsidRPr="008843F0" w:rsidRDefault="0095426F" w:rsidP="002B2FD9">
            <w:pPr>
              <w:pStyle w:val="Tablecolhead"/>
            </w:pPr>
            <w:r w:rsidRPr="008843F0">
              <w:t>CRP</w:t>
            </w:r>
          </w:p>
        </w:tc>
        <w:tc>
          <w:tcPr>
            <w:tcW w:w="1524" w:type="dxa"/>
          </w:tcPr>
          <w:p w14:paraId="0D4BC271" w14:textId="77777777" w:rsidR="0095426F" w:rsidRPr="008843F0" w:rsidRDefault="0095426F" w:rsidP="002B2FD9">
            <w:pPr>
              <w:pStyle w:val="Tablecolhead"/>
            </w:pPr>
            <w:r w:rsidRPr="008843F0">
              <w:t>Renal function</w:t>
            </w:r>
          </w:p>
        </w:tc>
        <w:tc>
          <w:tcPr>
            <w:tcW w:w="1117" w:type="dxa"/>
          </w:tcPr>
          <w:p w14:paraId="2E6F2E83" w14:textId="77777777" w:rsidR="0095426F" w:rsidRPr="008843F0" w:rsidRDefault="0095426F" w:rsidP="002B2FD9">
            <w:pPr>
              <w:pStyle w:val="Tablecolhead"/>
            </w:pPr>
            <w:r w:rsidRPr="008843F0">
              <w:t>No testing</w:t>
            </w:r>
          </w:p>
        </w:tc>
      </w:tr>
      <w:tr w:rsidR="0095426F" w:rsidRPr="008843F0" w14:paraId="3AB10257" w14:textId="77777777" w:rsidTr="003C2836">
        <w:tc>
          <w:tcPr>
            <w:tcW w:w="1411" w:type="dxa"/>
          </w:tcPr>
          <w:p w14:paraId="20DDE3A2" w14:textId="77777777" w:rsidR="0095426F" w:rsidRPr="008843F0" w:rsidRDefault="0095426F" w:rsidP="003C2836">
            <w:pPr>
              <w:pStyle w:val="Body"/>
              <w:rPr>
                <w:rFonts w:cs="Arial"/>
              </w:rPr>
            </w:pPr>
            <w:r w:rsidRPr="008843F0">
              <w:rPr>
                <w:rFonts w:cs="Arial"/>
              </w:rPr>
              <w:t>241 (98%)</w:t>
            </w:r>
          </w:p>
        </w:tc>
        <w:tc>
          <w:tcPr>
            <w:tcW w:w="1524" w:type="dxa"/>
          </w:tcPr>
          <w:p w14:paraId="7B7272F9" w14:textId="77777777" w:rsidR="0095426F" w:rsidRPr="008843F0" w:rsidRDefault="0095426F" w:rsidP="003C2836">
            <w:pPr>
              <w:pStyle w:val="Body"/>
              <w:rPr>
                <w:rFonts w:cs="Arial"/>
              </w:rPr>
            </w:pPr>
            <w:r w:rsidRPr="008843F0">
              <w:rPr>
                <w:rFonts w:cs="Arial"/>
              </w:rPr>
              <w:t>83 (34%)</w:t>
            </w:r>
          </w:p>
        </w:tc>
        <w:tc>
          <w:tcPr>
            <w:tcW w:w="1732" w:type="dxa"/>
          </w:tcPr>
          <w:p w14:paraId="70B1B257" w14:textId="77777777" w:rsidR="0095426F" w:rsidRPr="008843F0" w:rsidRDefault="0095426F" w:rsidP="003C2836">
            <w:pPr>
              <w:pStyle w:val="Body"/>
              <w:rPr>
                <w:rFonts w:cs="Arial"/>
              </w:rPr>
            </w:pPr>
            <w:r w:rsidRPr="008843F0">
              <w:rPr>
                <w:rFonts w:cs="Arial"/>
              </w:rPr>
              <w:t>62 (25%)</w:t>
            </w:r>
          </w:p>
        </w:tc>
        <w:tc>
          <w:tcPr>
            <w:tcW w:w="1524" w:type="dxa"/>
          </w:tcPr>
          <w:p w14:paraId="6C13A56B" w14:textId="77777777" w:rsidR="0095426F" w:rsidRPr="008843F0" w:rsidRDefault="0095426F" w:rsidP="003C2836">
            <w:pPr>
              <w:pStyle w:val="Body"/>
              <w:rPr>
                <w:rFonts w:cs="Arial"/>
              </w:rPr>
            </w:pPr>
            <w:r w:rsidRPr="008843F0">
              <w:rPr>
                <w:rFonts w:cs="Arial"/>
              </w:rPr>
              <w:t>189 (77%)</w:t>
            </w:r>
          </w:p>
        </w:tc>
        <w:tc>
          <w:tcPr>
            <w:tcW w:w="1117" w:type="dxa"/>
          </w:tcPr>
          <w:p w14:paraId="48BDF6C7" w14:textId="77777777" w:rsidR="0095426F" w:rsidRPr="008843F0" w:rsidRDefault="0095426F" w:rsidP="003C2836">
            <w:pPr>
              <w:pStyle w:val="Body"/>
              <w:rPr>
                <w:rFonts w:cs="Arial"/>
              </w:rPr>
            </w:pPr>
            <w:r w:rsidRPr="008843F0">
              <w:rPr>
                <w:rFonts w:cs="Arial"/>
              </w:rPr>
              <w:t>4 (2%)</w:t>
            </w:r>
          </w:p>
        </w:tc>
      </w:tr>
    </w:tbl>
    <w:p w14:paraId="44FFF7ED" w14:textId="66C4775C" w:rsidR="0095426F" w:rsidRDefault="0095426F" w:rsidP="0095426F">
      <w:pPr>
        <w:pStyle w:val="Body"/>
        <w:rPr>
          <w:rFonts w:cs="Arial"/>
        </w:rPr>
      </w:pPr>
      <w:r w:rsidRPr="008843F0">
        <w:rPr>
          <w:rFonts w:cs="Arial"/>
        </w:rPr>
        <w:t>While 98 per</w:t>
      </w:r>
      <w:r>
        <w:rPr>
          <w:rFonts w:cs="Arial"/>
        </w:rPr>
        <w:t xml:space="preserve"> </w:t>
      </w:r>
      <w:r w:rsidRPr="008843F0">
        <w:rPr>
          <w:rFonts w:cs="Arial"/>
        </w:rPr>
        <w:t xml:space="preserve">cent had </w:t>
      </w:r>
      <w:r w:rsidR="005157DF" w:rsidRPr="008843F0">
        <w:rPr>
          <w:rFonts w:cs="Arial"/>
        </w:rPr>
        <w:t>an</w:t>
      </w:r>
      <w:r w:rsidRPr="008843F0">
        <w:rPr>
          <w:rFonts w:cs="Arial"/>
        </w:rPr>
        <w:t xml:space="preserve"> FBE, only 34 per cent had a ferritin taken. This is a group of patients who may often have an ongoing blood loss associated with their disease and are likely at risk of iron deficiency.</w:t>
      </w:r>
    </w:p>
    <w:p w14:paraId="6BD66715" w14:textId="22B0BB4D" w:rsidR="0095426F" w:rsidRPr="008F5214" w:rsidRDefault="0095426F" w:rsidP="002B2FD9">
      <w:pPr>
        <w:pStyle w:val="Heading3"/>
      </w:pPr>
      <w:r w:rsidRPr="008843F0">
        <w:t>Screening results</w:t>
      </w:r>
    </w:p>
    <w:tbl>
      <w:tblPr>
        <w:tblStyle w:val="TableGrid5"/>
        <w:tblW w:w="0" w:type="auto"/>
        <w:tblLook w:val="04A0" w:firstRow="1" w:lastRow="0" w:firstColumn="1" w:lastColumn="0" w:noHBand="0" w:noVBand="1"/>
      </w:tblPr>
      <w:tblGrid>
        <w:gridCol w:w="1827"/>
        <w:gridCol w:w="1827"/>
        <w:gridCol w:w="1827"/>
        <w:gridCol w:w="1827"/>
      </w:tblGrid>
      <w:tr w:rsidR="0095426F" w:rsidRPr="008843F0" w14:paraId="06FCF6D0" w14:textId="77777777" w:rsidTr="002B2FD9">
        <w:trPr>
          <w:tblHeader/>
        </w:trPr>
        <w:tc>
          <w:tcPr>
            <w:tcW w:w="1827" w:type="dxa"/>
          </w:tcPr>
          <w:p w14:paraId="13F6B4FC" w14:textId="77777777" w:rsidR="0095426F" w:rsidRPr="002B2FD9" w:rsidRDefault="0095426F" w:rsidP="002B2FD9">
            <w:pPr>
              <w:pStyle w:val="Tablecolhead"/>
              <w:rPr>
                <w:b w:val="0"/>
              </w:rPr>
            </w:pPr>
            <w:r w:rsidRPr="003C2836">
              <w:t>Anaemic or iron deficient by Module 2</w:t>
            </w:r>
          </w:p>
        </w:tc>
        <w:tc>
          <w:tcPr>
            <w:tcW w:w="1827" w:type="dxa"/>
          </w:tcPr>
          <w:p w14:paraId="7A89E85B" w14:textId="77777777" w:rsidR="0095426F" w:rsidRPr="002B2FD9" w:rsidRDefault="0095426F" w:rsidP="002B2FD9">
            <w:pPr>
              <w:pStyle w:val="Tablecolhead"/>
              <w:rPr>
                <w:b w:val="0"/>
              </w:rPr>
            </w:pPr>
            <w:r w:rsidRPr="008F5214">
              <w:t>Health servic</w:t>
            </w:r>
            <w:r w:rsidRPr="003C2836">
              <w:t>e documented as anaemic or iron deficient</w:t>
            </w:r>
          </w:p>
        </w:tc>
        <w:tc>
          <w:tcPr>
            <w:tcW w:w="1827" w:type="dxa"/>
          </w:tcPr>
          <w:p w14:paraId="17A3EFD6" w14:textId="77777777" w:rsidR="0095426F" w:rsidRPr="002B2FD9" w:rsidRDefault="0095426F" w:rsidP="002B2FD9">
            <w:pPr>
              <w:pStyle w:val="Tablecolhead"/>
              <w:rPr>
                <w:b w:val="0"/>
              </w:rPr>
            </w:pPr>
            <w:r w:rsidRPr="008F5214">
              <w:t>Non-anaemic and having ferritin &lt;100 mcg/L Module 2</w:t>
            </w:r>
          </w:p>
        </w:tc>
        <w:tc>
          <w:tcPr>
            <w:tcW w:w="1827" w:type="dxa"/>
          </w:tcPr>
          <w:p w14:paraId="07349320" w14:textId="77777777" w:rsidR="0095426F" w:rsidRPr="002B2FD9" w:rsidRDefault="0095426F" w:rsidP="002B2FD9">
            <w:pPr>
              <w:pStyle w:val="Tablecolhead"/>
              <w:rPr>
                <w:b w:val="0"/>
              </w:rPr>
            </w:pPr>
            <w:r w:rsidRPr="008F5214">
              <w:t>Patients documented or managed by health service</w:t>
            </w:r>
          </w:p>
        </w:tc>
      </w:tr>
      <w:tr w:rsidR="0095426F" w:rsidRPr="008843F0" w14:paraId="1F385B37" w14:textId="77777777" w:rsidTr="003C2836">
        <w:tc>
          <w:tcPr>
            <w:tcW w:w="1827" w:type="dxa"/>
          </w:tcPr>
          <w:p w14:paraId="31954847" w14:textId="77777777" w:rsidR="0095426F" w:rsidRPr="008843F0" w:rsidRDefault="0095426F" w:rsidP="003C2836">
            <w:pPr>
              <w:pStyle w:val="Body"/>
              <w:rPr>
                <w:rFonts w:cs="Arial"/>
              </w:rPr>
            </w:pPr>
            <w:r w:rsidRPr="008843F0">
              <w:rPr>
                <w:rFonts w:cs="Arial"/>
              </w:rPr>
              <w:t>78 (32%)</w:t>
            </w:r>
          </w:p>
        </w:tc>
        <w:tc>
          <w:tcPr>
            <w:tcW w:w="1827" w:type="dxa"/>
          </w:tcPr>
          <w:p w14:paraId="4702A6E8" w14:textId="77777777" w:rsidR="0095426F" w:rsidRPr="008843F0" w:rsidRDefault="0095426F" w:rsidP="003C2836">
            <w:pPr>
              <w:pStyle w:val="Body"/>
              <w:rPr>
                <w:rFonts w:cs="Arial"/>
              </w:rPr>
            </w:pPr>
            <w:r w:rsidRPr="008843F0">
              <w:rPr>
                <w:rFonts w:cs="Arial"/>
              </w:rPr>
              <w:t>42 (17%)</w:t>
            </w:r>
          </w:p>
        </w:tc>
        <w:tc>
          <w:tcPr>
            <w:tcW w:w="1827" w:type="dxa"/>
          </w:tcPr>
          <w:p w14:paraId="4BC9E753" w14:textId="77777777" w:rsidR="0095426F" w:rsidRPr="008843F0" w:rsidRDefault="0095426F" w:rsidP="003C2836">
            <w:pPr>
              <w:pStyle w:val="Body"/>
              <w:rPr>
                <w:rFonts w:cs="Arial"/>
              </w:rPr>
            </w:pPr>
            <w:r w:rsidRPr="008843F0">
              <w:rPr>
                <w:rFonts w:cs="Arial"/>
              </w:rPr>
              <w:t>21 (9%)</w:t>
            </w:r>
          </w:p>
        </w:tc>
        <w:tc>
          <w:tcPr>
            <w:tcW w:w="1827" w:type="dxa"/>
          </w:tcPr>
          <w:p w14:paraId="1BBC3B37" w14:textId="77777777" w:rsidR="0095426F" w:rsidRPr="008843F0" w:rsidRDefault="0095426F" w:rsidP="003C2836">
            <w:pPr>
              <w:pStyle w:val="Body"/>
              <w:rPr>
                <w:rFonts w:cs="Arial"/>
                <w:b/>
              </w:rPr>
            </w:pPr>
            <w:r w:rsidRPr="008843F0">
              <w:rPr>
                <w:rFonts w:cs="Arial"/>
              </w:rPr>
              <w:t>2 (1%)</w:t>
            </w:r>
          </w:p>
        </w:tc>
      </w:tr>
    </w:tbl>
    <w:p w14:paraId="710E2EC5" w14:textId="2197FC87" w:rsidR="0095426F" w:rsidRDefault="0095426F" w:rsidP="002B2FD9">
      <w:pPr>
        <w:pStyle w:val="Bodyaftertablefigure"/>
      </w:pPr>
      <w:r w:rsidRPr="008843F0">
        <w:t>The gastrointestinal surgery group had the largest proportion of patients with anaemia either according to Module 2 (32 per</w:t>
      </w:r>
      <w:r>
        <w:t xml:space="preserve"> </w:t>
      </w:r>
      <w:r w:rsidRPr="008843F0">
        <w:t xml:space="preserve">cent) or health service recognised (17 per cent). Another 9 per cent </w:t>
      </w:r>
      <w:r w:rsidRPr="008843F0">
        <w:lastRenderedPageBreak/>
        <w:t>of patients were found to be potentially iron deficient according to Module 2 with the health services recognising another one per</w:t>
      </w:r>
      <w:r>
        <w:t xml:space="preserve"> </w:t>
      </w:r>
      <w:r w:rsidRPr="008843F0">
        <w:t>cent.</w:t>
      </w:r>
    </w:p>
    <w:p w14:paraId="24E95F28" w14:textId="77777777" w:rsidR="0095426F" w:rsidRPr="008843F0" w:rsidRDefault="0095426F" w:rsidP="0095426F">
      <w:pPr>
        <w:pStyle w:val="Body"/>
        <w:rPr>
          <w:rFonts w:cs="Arial"/>
          <w:b/>
        </w:rPr>
      </w:pPr>
      <w:r w:rsidRPr="008843F0">
        <w:rPr>
          <w:rFonts w:cs="Arial"/>
          <w:b/>
        </w:rPr>
        <w:t>Treatment</w:t>
      </w:r>
    </w:p>
    <w:p w14:paraId="27F451DB" w14:textId="77777777" w:rsidR="0095426F" w:rsidRPr="008843F0" w:rsidRDefault="0095426F" w:rsidP="0095426F">
      <w:pPr>
        <w:pStyle w:val="Body"/>
        <w:rPr>
          <w:rFonts w:cs="Arial"/>
        </w:rPr>
      </w:pPr>
      <w:r w:rsidRPr="008843F0">
        <w:rPr>
          <w:rFonts w:cs="Arial"/>
        </w:rPr>
        <w:t>30 patients total</w:t>
      </w:r>
    </w:p>
    <w:tbl>
      <w:tblPr>
        <w:tblStyle w:val="TableGrid5"/>
        <w:tblW w:w="0" w:type="auto"/>
        <w:tblLook w:val="04A0" w:firstRow="1" w:lastRow="0" w:firstColumn="1" w:lastColumn="0" w:noHBand="0" w:noVBand="1"/>
      </w:tblPr>
      <w:tblGrid>
        <w:gridCol w:w="1411"/>
        <w:gridCol w:w="1524"/>
        <w:gridCol w:w="1732"/>
        <w:gridCol w:w="1524"/>
        <w:gridCol w:w="777"/>
      </w:tblGrid>
      <w:tr w:rsidR="0095426F" w:rsidRPr="008843F0" w14:paraId="309907BE" w14:textId="77777777" w:rsidTr="002B2FD9">
        <w:trPr>
          <w:tblHeader/>
        </w:trPr>
        <w:tc>
          <w:tcPr>
            <w:tcW w:w="1411" w:type="dxa"/>
          </w:tcPr>
          <w:p w14:paraId="52A712AF" w14:textId="77777777" w:rsidR="0095426F" w:rsidRPr="002B2FD9" w:rsidRDefault="0095426F" w:rsidP="002B2FD9">
            <w:pPr>
              <w:pStyle w:val="Tablecolhead"/>
              <w:rPr>
                <w:b w:val="0"/>
              </w:rPr>
            </w:pPr>
            <w:r w:rsidRPr="008F5214">
              <w:t>Oral iron</w:t>
            </w:r>
          </w:p>
        </w:tc>
        <w:tc>
          <w:tcPr>
            <w:tcW w:w="1524" w:type="dxa"/>
          </w:tcPr>
          <w:p w14:paraId="6E84A581" w14:textId="77777777" w:rsidR="0095426F" w:rsidRPr="002B2FD9" w:rsidRDefault="0095426F" w:rsidP="002B2FD9">
            <w:pPr>
              <w:pStyle w:val="Tablecolhead"/>
              <w:rPr>
                <w:b w:val="0"/>
              </w:rPr>
            </w:pPr>
            <w:r w:rsidRPr="008F5214">
              <w:t>IV iron</w:t>
            </w:r>
          </w:p>
        </w:tc>
        <w:tc>
          <w:tcPr>
            <w:tcW w:w="1732" w:type="dxa"/>
          </w:tcPr>
          <w:p w14:paraId="71CE2F36" w14:textId="77777777" w:rsidR="0095426F" w:rsidRPr="002B2FD9" w:rsidRDefault="0095426F" w:rsidP="002B2FD9">
            <w:pPr>
              <w:pStyle w:val="Tablecolhead"/>
              <w:rPr>
                <w:b w:val="0"/>
              </w:rPr>
            </w:pPr>
            <w:r w:rsidRPr="008F5214">
              <w:t>Specialist referral (Haematology, GI or renal)</w:t>
            </w:r>
          </w:p>
        </w:tc>
        <w:tc>
          <w:tcPr>
            <w:tcW w:w="1524" w:type="dxa"/>
          </w:tcPr>
          <w:p w14:paraId="0DF61372" w14:textId="77777777" w:rsidR="0095426F" w:rsidRPr="002B2FD9" w:rsidRDefault="0095426F" w:rsidP="002B2FD9">
            <w:pPr>
              <w:pStyle w:val="Tablecolhead"/>
              <w:rPr>
                <w:b w:val="0"/>
              </w:rPr>
            </w:pPr>
            <w:r w:rsidRPr="008F5214">
              <w:t>Red cell transfusion</w:t>
            </w:r>
          </w:p>
        </w:tc>
        <w:tc>
          <w:tcPr>
            <w:tcW w:w="236" w:type="dxa"/>
          </w:tcPr>
          <w:p w14:paraId="3454B463" w14:textId="77777777" w:rsidR="0095426F" w:rsidRPr="002B2FD9" w:rsidRDefault="0095426F" w:rsidP="002B2FD9">
            <w:pPr>
              <w:pStyle w:val="Tablecolhead"/>
              <w:rPr>
                <w:b w:val="0"/>
              </w:rPr>
            </w:pPr>
            <w:r w:rsidRPr="008F5214">
              <w:t>Other</w:t>
            </w:r>
          </w:p>
        </w:tc>
      </w:tr>
      <w:tr w:rsidR="0095426F" w:rsidRPr="008843F0" w14:paraId="431CE863" w14:textId="77777777" w:rsidTr="003C2836">
        <w:tc>
          <w:tcPr>
            <w:tcW w:w="1411" w:type="dxa"/>
          </w:tcPr>
          <w:p w14:paraId="79CACC53" w14:textId="77777777" w:rsidR="0095426F" w:rsidRPr="008843F0" w:rsidRDefault="0095426F" w:rsidP="003C2836">
            <w:pPr>
              <w:pStyle w:val="Body"/>
              <w:rPr>
                <w:rFonts w:cs="Arial"/>
              </w:rPr>
            </w:pPr>
            <w:r w:rsidRPr="008843F0">
              <w:rPr>
                <w:rFonts w:cs="Arial"/>
              </w:rPr>
              <w:t>3 (10%)</w:t>
            </w:r>
          </w:p>
        </w:tc>
        <w:tc>
          <w:tcPr>
            <w:tcW w:w="1524" w:type="dxa"/>
          </w:tcPr>
          <w:p w14:paraId="740D9737" w14:textId="77777777" w:rsidR="0095426F" w:rsidRPr="008843F0" w:rsidRDefault="0095426F" w:rsidP="003C2836">
            <w:pPr>
              <w:pStyle w:val="Body"/>
              <w:rPr>
                <w:rFonts w:cs="Arial"/>
              </w:rPr>
            </w:pPr>
            <w:r w:rsidRPr="008843F0">
              <w:rPr>
                <w:rFonts w:cs="Arial"/>
              </w:rPr>
              <w:t>20 (67%)</w:t>
            </w:r>
          </w:p>
        </w:tc>
        <w:tc>
          <w:tcPr>
            <w:tcW w:w="1732" w:type="dxa"/>
          </w:tcPr>
          <w:p w14:paraId="486F1DFA" w14:textId="77777777" w:rsidR="0095426F" w:rsidRPr="008843F0" w:rsidRDefault="0095426F" w:rsidP="003C2836">
            <w:pPr>
              <w:pStyle w:val="Body"/>
              <w:rPr>
                <w:rFonts w:cs="Arial"/>
              </w:rPr>
            </w:pPr>
            <w:r w:rsidRPr="008843F0">
              <w:rPr>
                <w:rFonts w:cs="Arial"/>
              </w:rPr>
              <w:t>10 (33%)</w:t>
            </w:r>
          </w:p>
        </w:tc>
        <w:tc>
          <w:tcPr>
            <w:tcW w:w="1524" w:type="dxa"/>
          </w:tcPr>
          <w:p w14:paraId="69DDE98B" w14:textId="77777777" w:rsidR="0095426F" w:rsidRPr="008843F0" w:rsidRDefault="0095426F" w:rsidP="003C2836">
            <w:pPr>
              <w:pStyle w:val="Body"/>
              <w:rPr>
                <w:rFonts w:cs="Arial"/>
              </w:rPr>
            </w:pPr>
            <w:r w:rsidRPr="008843F0">
              <w:rPr>
                <w:rFonts w:cs="Arial"/>
              </w:rPr>
              <w:t>10 (33%)</w:t>
            </w:r>
          </w:p>
        </w:tc>
        <w:tc>
          <w:tcPr>
            <w:tcW w:w="236" w:type="dxa"/>
          </w:tcPr>
          <w:p w14:paraId="01555EA7" w14:textId="77777777" w:rsidR="0095426F" w:rsidRPr="008843F0" w:rsidRDefault="0095426F" w:rsidP="003C2836">
            <w:pPr>
              <w:pStyle w:val="Body"/>
              <w:rPr>
                <w:rFonts w:cs="Arial"/>
              </w:rPr>
            </w:pPr>
            <w:r w:rsidRPr="008843F0">
              <w:rPr>
                <w:rFonts w:cs="Arial"/>
              </w:rPr>
              <w:t>0</w:t>
            </w:r>
          </w:p>
        </w:tc>
      </w:tr>
    </w:tbl>
    <w:p w14:paraId="1C87FEB6" w14:textId="77777777" w:rsidR="0095426F" w:rsidRDefault="0095426F" w:rsidP="0095426F">
      <w:pPr>
        <w:pStyle w:val="Tablefigurenote"/>
      </w:pPr>
      <w:r w:rsidRPr="007727DB">
        <w:t>Percentage greater than 100 as patients may have received more than one treatment type</w:t>
      </w:r>
      <w:r>
        <w:t>.</w:t>
      </w:r>
    </w:p>
    <w:p w14:paraId="28433ACD" w14:textId="77777777" w:rsidR="0095426F" w:rsidRPr="007727DB" w:rsidRDefault="0095426F" w:rsidP="0095426F">
      <w:pPr>
        <w:pStyle w:val="Tablefigurenote"/>
      </w:pPr>
      <w:r w:rsidRPr="007727DB">
        <w:t>There were no renal referrals or EPO</w:t>
      </w:r>
      <w:r>
        <w:t>.</w:t>
      </w:r>
    </w:p>
    <w:p w14:paraId="0D820540" w14:textId="77777777" w:rsidR="0095426F" w:rsidRPr="008843F0" w:rsidRDefault="0095426F" w:rsidP="002B2FD9">
      <w:pPr>
        <w:pStyle w:val="Bodyaftertablefigure"/>
      </w:pPr>
      <w:r w:rsidRPr="008843F0">
        <w:t>Again, as seen in other groups, not all patients received treatment for their anaemia or iron deficiency, 71 per cent of those recognised as anaemic or iron deficient by the health service were treated. Ten per</w:t>
      </w:r>
      <w:r>
        <w:t xml:space="preserve"> </w:t>
      </w:r>
      <w:r w:rsidRPr="008843F0">
        <w:t>cent of patients received oral iron. Of the surgical groups receiving oral iron as treatment, this was the smallest proportion and is probably due to the nature of illness with many patients poorly absorbing iron due to their gastrointestinal issues.</w:t>
      </w:r>
    </w:p>
    <w:p w14:paraId="50101701" w14:textId="3A721531" w:rsidR="0095426F" w:rsidRPr="008843F0" w:rsidRDefault="0095426F" w:rsidP="0095426F">
      <w:pPr>
        <w:pStyle w:val="Body"/>
        <w:rPr>
          <w:rFonts w:cs="Arial"/>
        </w:rPr>
      </w:pPr>
      <w:r w:rsidRPr="008843F0">
        <w:rPr>
          <w:rFonts w:cs="Arial"/>
        </w:rPr>
        <w:t>Two</w:t>
      </w:r>
      <w:r w:rsidR="00173908">
        <w:rPr>
          <w:rFonts w:cs="Arial"/>
        </w:rPr>
        <w:t>-</w:t>
      </w:r>
      <w:r w:rsidRPr="008843F0">
        <w:rPr>
          <w:rFonts w:cs="Arial"/>
        </w:rPr>
        <w:t>thirds of patients received IV iron as part of their treatment and one</w:t>
      </w:r>
      <w:r w:rsidR="00971720">
        <w:rPr>
          <w:rFonts w:cs="Arial"/>
        </w:rPr>
        <w:t>-</w:t>
      </w:r>
      <w:r w:rsidRPr="008843F0">
        <w:rPr>
          <w:rFonts w:cs="Arial"/>
        </w:rPr>
        <w:t>third were referred to other specialists for further investigation.</w:t>
      </w:r>
    </w:p>
    <w:p w14:paraId="492B4878" w14:textId="144F6865" w:rsidR="0095426F" w:rsidRPr="0095426F" w:rsidRDefault="0095426F" w:rsidP="0095426F">
      <w:pPr>
        <w:pStyle w:val="Body"/>
      </w:pPr>
      <w:r w:rsidRPr="008843F0">
        <w:rPr>
          <w:rFonts w:cs="Arial"/>
        </w:rPr>
        <w:t>This group had the highest recorded treatment with transfusion preoperatively. We are unable to comment on the appropriateness of these transfusions, as no questions were asked regarding symptomatic anaemia. However, even when transfusion is required, it should be followed by more targeted treatment for the anaemia or iron deficiency.</w:t>
      </w:r>
    </w:p>
    <w:p w14:paraId="36A30776" w14:textId="62CFCE12" w:rsidR="000E4493" w:rsidRDefault="0095426F" w:rsidP="0095426F">
      <w:pPr>
        <w:pStyle w:val="Heading2"/>
      </w:pPr>
      <w:bookmarkStart w:id="137" w:name="_Toc75325168"/>
      <w:bookmarkStart w:id="138" w:name="_Toc78958809"/>
      <w:r w:rsidRPr="008843F0">
        <w:t xml:space="preserve">Cardiothoracic </w:t>
      </w:r>
      <w:r w:rsidRPr="0095426F">
        <w:t>surgery</w:t>
      </w:r>
      <w:bookmarkEnd w:id="137"/>
      <w:bookmarkEnd w:id="138"/>
    </w:p>
    <w:p w14:paraId="59217EDA" w14:textId="5DA96926" w:rsidR="0095426F" w:rsidRDefault="0095426F" w:rsidP="0095426F">
      <w:pPr>
        <w:pStyle w:val="Body"/>
        <w:rPr>
          <w:rFonts w:cs="Arial"/>
        </w:rPr>
      </w:pPr>
      <w:r w:rsidRPr="008843F0">
        <w:rPr>
          <w:rFonts w:cs="Arial"/>
          <w:b/>
        </w:rPr>
        <w:t>Returned</w:t>
      </w:r>
      <w:r>
        <w:rPr>
          <w:rFonts w:cs="Arial"/>
          <w:b/>
        </w:rPr>
        <w:t xml:space="preserve">: </w:t>
      </w:r>
      <w:r w:rsidRPr="008843F0">
        <w:rPr>
          <w:rFonts w:cs="Arial"/>
        </w:rPr>
        <w:t>130</w:t>
      </w:r>
    </w:p>
    <w:p w14:paraId="4733BCB5" w14:textId="19A038C2" w:rsidR="0095426F" w:rsidRDefault="0095426F" w:rsidP="0095426F">
      <w:pPr>
        <w:pStyle w:val="Body"/>
        <w:rPr>
          <w:rFonts w:cs="Arial"/>
        </w:rPr>
      </w:pPr>
      <w:r w:rsidRPr="008843F0">
        <w:rPr>
          <w:rFonts w:cs="Arial"/>
          <w:b/>
        </w:rPr>
        <w:t>Documented screened</w:t>
      </w:r>
      <w:r>
        <w:rPr>
          <w:rFonts w:cs="Arial"/>
          <w:b/>
        </w:rPr>
        <w:t xml:space="preserve">: </w:t>
      </w:r>
      <w:r w:rsidRPr="008843F0">
        <w:rPr>
          <w:rFonts w:cs="Arial"/>
        </w:rPr>
        <w:t>110 (85%)</w:t>
      </w:r>
    </w:p>
    <w:p w14:paraId="32AE26B8" w14:textId="65C83D20" w:rsidR="0095426F" w:rsidRDefault="0095426F" w:rsidP="0095426F">
      <w:pPr>
        <w:pStyle w:val="Body"/>
        <w:rPr>
          <w:rFonts w:cs="Arial"/>
        </w:rPr>
      </w:pPr>
      <w:r w:rsidRPr="008843F0">
        <w:rPr>
          <w:rFonts w:cs="Arial"/>
        </w:rPr>
        <w:t>Bleeding and transfusion in cardiac surgery are common and associated with poorer outcomes (</w:t>
      </w:r>
      <w:proofErr w:type="spellStart"/>
      <w:r w:rsidRPr="008843F0">
        <w:rPr>
          <w:rFonts w:cs="Arial"/>
        </w:rPr>
        <w:t>Meesters</w:t>
      </w:r>
      <w:proofErr w:type="spellEnd"/>
      <w:r w:rsidRPr="008843F0">
        <w:rPr>
          <w:rFonts w:cs="Arial"/>
        </w:rPr>
        <w:t xml:space="preserve"> and </w:t>
      </w:r>
      <w:proofErr w:type="spellStart"/>
      <w:r w:rsidRPr="008843F0">
        <w:rPr>
          <w:rFonts w:cs="Arial"/>
        </w:rPr>
        <w:t>Heymann</w:t>
      </w:r>
      <w:proofErr w:type="spellEnd"/>
      <w:r w:rsidRPr="008843F0">
        <w:rPr>
          <w:rFonts w:cs="Arial"/>
        </w:rPr>
        <w:t>, 2019). Coagulopathy is recognised as a common occurrence in this group due to preoperative anticoagulant use, cardiopulmonary bypass and the effect it has on coagulation and the use of heparin during the procedure, which all contribute to the coagulopathy that may be seen. Preparing the patient for potential blood loss due to these effects is important to reduce the risk of transfusion in this group.</w:t>
      </w:r>
    </w:p>
    <w:p w14:paraId="4DDDE6D1" w14:textId="2B1874E2" w:rsidR="0095426F" w:rsidRDefault="0095426F" w:rsidP="0095426F">
      <w:pPr>
        <w:pStyle w:val="Heading3"/>
      </w:pPr>
      <w:r w:rsidRPr="008843F0">
        <w:t>Timing of screening</w:t>
      </w:r>
    </w:p>
    <w:tbl>
      <w:tblPr>
        <w:tblStyle w:val="TableGrid5"/>
        <w:tblW w:w="0" w:type="auto"/>
        <w:tblLook w:val="04A0" w:firstRow="1" w:lastRow="0" w:firstColumn="1" w:lastColumn="0" w:noHBand="0" w:noVBand="1"/>
      </w:tblPr>
      <w:tblGrid>
        <w:gridCol w:w="1828"/>
        <w:gridCol w:w="1828"/>
        <w:gridCol w:w="1828"/>
        <w:gridCol w:w="1828"/>
      </w:tblGrid>
      <w:tr w:rsidR="0095426F" w:rsidRPr="008843F0" w14:paraId="70A1EDBD" w14:textId="77777777" w:rsidTr="003C2836">
        <w:tc>
          <w:tcPr>
            <w:tcW w:w="1828" w:type="dxa"/>
          </w:tcPr>
          <w:p w14:paraId="11E9A064" w14:textId="77777777" w:rsidR="0095426F" w:rsidRPr="008843F0" w:rsidRDefault="0095426F" w:rsidP="003C2836">
            <w:pPr>
              <w:pStyle w:val="Body"/>
              <w:rPr>
                <w:rFonts w:cs="Arial"/>
                <w:b/>
              </w:rPr>
            </w:pPr>
            <w:r w:rsidRPr="008843F0">
              <w:rPr>
                <w:rFonts w:cs="Arial"/>
                <w:b/>
              </w:rPr>
              <w:t>&gt;4 weeks</w:t>
            </w:r>
          </w:p>
        </w:tc>
        <w:tc>
          <w:tcPr>
            <w:tcW w:w="1828" w:type="dxa"/>
          </w:tcPr>
          <w:p w14:paraId="4ABAE89B" w14:textId="77777777" w:rsidR="0095426F" w:rsidRPr="008843F0" w:rsidRDefault="0095426F" w:rsidP="003C2836">
            <w:pPr>
              <w:pStyle w:val="Body"/>
              <w:rPr>
                <w:rFonts w:cs="Arial"/>
                <w:b/>
              </w:rPr>
            </w:pPr>
            <w:r w:rsidRPr="008843F0">
              <w:rPr>
                <w:rFonts w:cs="Arial"/>
                <w:b/>
              </w:rPr>
              <w:t>1 – 4 weeks</w:t>
            </w:r>
          </w:p>
        </w:tc>
        <w:tc>
          <w:tcPr>
            <w:tcW w:w="1828" w:type="dxa"/>
          </w:tcPr>
          <w:p w14:paraId="7F7A58B3" w14:textId="77777777" w:rsidR="0095426F" w:rsidRPr="008843F0" w:rsidRDefault="0095426F" w:rsidP="003C2836">
            <w:pPr>
              <w:pStyle w:val="Body"/>
              <w:rPr>
                <w:rFonts w:cs="Arial"/>
                <w:b/>
              </w:rPr>
            </w:pPr>
            <w:r w:rsidRPr="008843F0">
              <w:rPr>
                <w:rFonts w:cs="Arial"/>
                <w:b/>
              </w:rPr>
              <w:t>&lt;1 week</w:t>
            </w:r>
          </w:p>
        </w:tc>
        <w:tc>
          <w:tcPr>
            <w:tcW w:w="1828" w:type="dxa"/>
          </w:tcPr>
          <w:p w14:paraId="13A9B56E" w14:textId="77777777" w:rsidR="0095426F" w:rsidRPr="008843F0" w:rsidRDefault="0095426F" w:rsidP="003C2836">
            <w:pPr>
              <w:pStyle w:val="Body"/>
              <w:rPr>
                <w:rFonts w:cs="Arial"/>
                <w:b/>
              </w:rPr>
            </w:pPr>
            <w:r w:rsidRPr="008843F0">
              <w:rPr>
                <w:rFonts w:cs="Arial"/>
                <w:b/>
              </w:rPr>
              <w:t>Day prior to surgery</w:t>
            </w:r>
          </w:p>
        </w:tc>
      </w:tr>
      <w:tr w:rsidR="0095426F" w:rsidRPr="008843F0" w14:paraId="44310478" w14:textId="77777777" w:rsidTr="003C2836">
        <w:tc>
          <w:tcPr>
            <w:tcW w:w="1828" w:type="dxa"/>
          </w:tcPr>
          <w:p w14:paraId="0F2A4F05" w14:textId="77777777" w:rsidR="0095426F" w:rsidRPr="008843F0" w:rsidRDefault="0095426F" w:rsidP="003C2836">
            <w:pPr>
              <w:pStyle w:val="Body"/>
              <w:rPr>
                <w:rFonts w:cs="Arial"/>
              </w:rPr>
            </w:pPr>
            <w:r w:rsidRPr="008843F0">
              <w:rPr>
                <w:rFonts w:cs="Arial"/>
              </w:rPr>
              <w:t>26 (24%)</w:t>
            </w:r>
          </w:p>
        </w:tc>
        <w:tc>
          <w:tcPr>
            <w:tcW w:w="1828" w:type="dxa"/>
          </w:tcPr>
          <w:p w14:paraId="652620E5" w14:textId="77777777" w:rsidR="0095426F" w:rsidRPr="008843F0" w:rsidRDefault="0095426F" w:rsidP="003C2836">
            <w:pPr>
              <w:pStyle w:val="Body"/>
              <w:rPr>
                <w:rFonts w:cs="Arial"/>
              </w:rPr>
            </w:pPr>
            <w:r w:rsidRPr="008843F0">
              <w:rPr>
                <w:rFonts w:cs="Arial"/>
              </w:rPr>
              <w:t>59 (54%)</w:t>
            </w:r>
          </w:p>
        </w:tc>
        <w:tc>
          <w:tcPr>
            <w:tcW w:w="1828" w:type="dxa"/>
          </w:tcPr>
          <w:p w14:paraId="02C8E63C" w14:textId="77777777" w:rsidR="0095426F" w:rsidRPr="008843F0" w:rsidRDefault="0095426F" w:rsidP="003C2836">
            <w:pPr>
              <w:pStyle w:val="Body"/>
              <w:rPr>
                <w:rFonts w:cs="Arial"/>
              </w:rPr>
            </w:pPr>
            <w:r w:rsidRPr="008843F0">
              <w:rPr>
                <w:rFonts w:cs="Arial"/>
              </w:rPr>
              <w:t>15 (14%)</w:t>
            </w:r>
          </w:p>
        </w:tc>
        <w:tc>
          <w:tcPr>
            <w:tcW w:w="1828" w:type="dxa"/>
          </w:tcPr>
          <w:p w14:paraId="703534A1" w14:textId="77777777" w:rsidR="0095426F" w:rsidRPr="008843F0" w:rsidRDefault="0095426F" w:rsidP="003C2836">
            <w:pPr>
              <w:pStyle w:val="Body"/>
              <w:rPr>
                <w:rFonts w:cs="Arial"/>
                <w:b/>
              </w:rPr>
            </w:pPr>
            <w:r w:rsidRPr="008843F0">
              <w:rPr>
                <w:rFonts w:cs="Arial"/>
              </w:rPr>
              <w:t>10 (9%)</w:t>
            </w:r>
          </w:p>
        </w:tc>
      </w:tr>
    </w:tbl>
    <w:p w14:paraId="3168D48E" w14:textId="77777777" w:rsidR="0095426F" w:rsidRPr="008843F0" w:rsidRDefault="0095426F" w:rsidP="002B2FD9">
      <w:pPr>
        <w:pStyle w:val="Bodyaftertablefigure"/>
      </w:pPr>
      <w:r w:rsidRPr="008843F0">
        <w:t xml:space="preserve">Patients </w:t>
      </w:r>
      <w:r w:rsidRPr="0095426F">
        <w:t>undergoing</w:t>
      </w:r>
      <w:r w:rsidRPr="008843F0">
        <w:t xml:space="preserve"> cardiothoracic surgery were the smallest proportion of audits returned. However, they were the largest proportion of those documented as screened. </w:t>
      </w:r>
    </w:p>
    <w:p w14:paraId="6448D558" w14:textId="1DAF1BB0" w:rsidR="0095426F" w:rsidRDefault="0095426F" w:rsidP="0095426F">
      <w:pPr>
        <w:pStyle w:val="Body"/>
      </w:pPr>
      <w:r w:rsidRPr="008843F0">
        <w:rPr>
          <w:rFonts w:cs="Arial"/>
        </w:rPr>
        <w:t xml:space="preserve">Like the gastrointestinal group most patients were screened in the 1 - </w:t>
      </w:r>
      <w:proofErr w:type="gramStart"/>
      <w:r w:rsidRPr="008843F0">
        <w:rPr>
          <w:rFonts w:cs="Arial"/>
        </w:rPr>
        <w:t>4 week</w:t>
      </w:r>
      <w:proofErr w:type="gramEnd"/>
      <w:r w:rsidRPr="008843F0">
        <w:rPr>
          <w:rFonts w:cs="Arial"/>
        </w:rPr>
        <w:t xml:space="preserve"> period prior to surgery. This is most likely because of the more urgent nature of this surgery, with less overall time </w:t>
      </w:r>
      <w:r w:rsidRPr="008843F0">
        <w:rPr>
          <w:rFonts w:cs="Arial"/>
        </w:rPr>
        <w:lastRenderedPageBreak/>
        <w:t>from waitlist to actual surgery. However, like the gastrointestinal group there is the opportunity to work with general practitioners to ensure the anaemia assessment and any treatment is started as early as possible.</w:t>
      </w:r>
    </w:p>
    <w:p w14:paraId="2DD2FABB" w14:textId="2419000A" w:rsidR="0095426F" w:rsidRDefault="0095426F" w:rsidP="0095426F">
      <w:pPr>
        <w:pStyle w:val="Heading3"/>
      </w:pPr>
      <w:r w:rsidRPr="008843F0">
        <w:t>Investigations</w:t>
      </w:r>
    </w:p>
    <w:tbl>
      <w:tblPr>
        <w:tblStyle w:val="TableGrid5"/>
        <w:tblW w:w="0" w:type="auto"/>
        <w:tblLook w:val="04A0" w:firstRow="1" w:lastRow="0" w:firstColumn="1" w:lastColumn="0" w:noHBand="0" w:noVBand="1"/>
      </w:tblPr>
      <w:tblGrid>
        <w:gridCol w:w="1476"/>
        <w:gridCol w:w="1524"/>
        <w:gridCol w:w="1732"/>
        <w:gridCol w:w="1524"/>
        <w:gridCol w:w="1056"/>
      </w:tblGrid>
      <w:tr w:rsidR="0095426F" w:rsidRPr="008843F0" w14:paraId="5CF4E433" w14:textId="77777777" w:rsidTr="003C2836">
        <w:tc>
          <w:tcPr>
            <w:tcW w:w="1476" w:type="dxa"/>
          </w:tcPr>
          <w:p w14:paraId="4FDD6634" w14:textId="77777777" w:rsidR="0095426F" w:rsidRPr="008843F0" w:rsidRDefault="0095426F" w:rsidP="003C2836">
            <w:pPr>
              <w:pStyle w:val="Body"/>
              <w:rPr>
                <w:rFonts w:cs="Arial"/>
                <w:b/>
              </w:rPr>
            </w:pPr>
            <w:r w:rsidRPr="008843F0">
              <w:rPr>
                <w:rFonts w:cs="Arial"/>
                <w:b/>
              </w:rPr>
              <w:t>FBE</w:t>
            </w:r>
          </w:p>
        </w:tc>
        <w:tc>
          <w:tcPr>
            <w:tcW w:w="1524" w:type="dxa"/>
          </w:tcPr>
          <w:p w14:paraId="7BA6ABD5" w14:textId="77777777" w:rsidR="0095426F" w:rsidRPr="008843F0" w:rsidRDefault="0095426F" w:rsidP="003C2836">
            <w:pPr>
              <w:pStyle w:val="Body"/>
              <w:rPr>
                <w:rFonts w:cs="Arial"/>
                <w:b/>
              </w:rPr>
            </w:pPr>
            <w:r w:rsidRPr="008843F0">
              <w:rPr>
                <w:rFonts w:cs="Arial"/>
                <w:b/>
              </w:rPr>
              <w:t>Ferritin</w:t>
            </w:r>
          </w:p>
        </w:tc>
        <w:tc>
          <w:tcPr>
            <w:tcW w:w="1732" w:type="dxa"/>
          </w:tcPr>
          <w:p w14:paraId="441B0D81" w14:textId="77777777" w:rsidR="0095426F" w:rsidRPr="008843F0" w:rsidRDefault="0095426F" w:rsidP="003C2836">
            <w:pPr>
              <w:pStyle w:val="Body"/>
              <w:rPr>
                <w:rFonts w:cs="Arial"/>
                <w:b/>
              </w:rPr>
            </w:pPr>
            <w:r w:rsidRPr="008843F0">
              <w:rPr>
                <w:rFonts w:cs="Arial"/>
                <w:b/>
              </w:rPr>
              <w:t>CRP</w:t>
            </w:r>
          </w:p>
        </w:tc>
        <w:tc>
          <w:tcPr>
            <w:tcW w:w="1524" w:type="dxa"/>
          </w:tcPr>
          <w:p w14:paraId="5CE1E2E8" w14:textId="77777777" w:rsidR="0095426F" w:rsidRPr="008843F0" w:rsidRDefault="0095426F" w:rsidP="003C2836">
            <w:pPr>
              <w:pStyle w:val="Body"/>
              <w:rPr>
                <w:rFonts w:cs="Arial"/>
                <w:b/>
              </w:rPr>
            </w:pPr>
            <w:r w:rsidRPr="008843F0">
              <w:rPr>
                <w:rFonts w:cs="Arial"/>
                <w:b/>
              </w:rPr>
              <w:t>Renal function</w:t>
            </w:r>
          </w:p>
        </w:tc>
        <w:tc>
          <w:tcPr>
            <w:tcW w:w="1056" w:type="dxa"/>
          </w:tcPr>
          <w:p w14:paraId="60CABE56" w14:textId="77777777" w:rsidR="0095426F" w:rsidRPr="008843F0" w:rsidRDefault="0095426F" w:rsidP="003C2836">
            <w:pPr>
              <w:pStyle w:val="Body"/>
              <w:rPr>
                <w:rFonts w:cs="Arial"/>
                <w:b/>
              </w:rPr>
            </w:pPr>
            <w:r w:rsidRPr="008843F0">
              <w:rPr>
                <w:rFonts w:cs="Arial"/>
                <w:b/>
              </w:rPr>
              <w:t>No testing</w:t>
            </w:r>
          </w:p>
        </w:tc>
      </w:tr>
      <w:tr w:rsidR="0095426F" w:rsidRPr="008843F0" w14:paraId="35F7E991" w14:textId="77777777" w:rsidTr="003C2836">
        <w:tc>
          <w:tcPr>
            <w:tcW w:w="1476" w:type="dxa"/>
          </w:tcPr>
          <w:p w14:paraId="39E35524" w14:textId="77777777" w:rsidR="0095426F" w:rsidRPr="008843F0" w:rsidRDefault="0095426F" w:rsidP="003C2836">
            <w:pPr>
              <w:pStyle w:val="Body"/>
              <w:rPr>
                <w:rFonts w:cs="Arial"/>
              </w:rPr>
            </w:pPr>
            <w:r w:rsidRPr="008843F0">
              <w:rPr>
                <w:rFonts w:cs="Arial"/>
              </w:rPr>
              <w:t>108 (98%)</w:t>
            </w:r>
          </w:p>
        </w:tc>
        <w:tc>
          <w:tcPr>
            <w:tcW w:w="1524" w:type="dxa"/>
          </w:tcPr>
          <w:p w14:paraId="61460D09" w14:textId="77777777" w:rsidR="0095426F" w:rsidRPr="008843F0" w:rsidRDefault="0095426F" w:rsidP="003C2836">
            <w:pPr>
              <w:pStyle w:val="Body"/>
              <w:rPr>
                <w:rFonts w:cs="Arial"/>
              </w:rPr>
            </w:pPr>
            <w:r w:rsidRPr="008843F0">
              <w:rPr>
                <w:rFonts w:cs="Arial"/>
              </w:rPr>
              <w:t>41 (37%)</w:t>
            </w:r>
          </w:p>
        </w:tc>
        <w:tc>
          <w:tcPr>
            <w:tcW w:w="1732" w:type="dxa"/>
          </w:tcPr>
          <w:p w14:paraId="576EECA2" w14:textId="77777777" w:rsidR="0095426F" w:rsidRPr="008843F0" w:rsidRDefault="0095426F" w:rsidP="003C2836">
            <w:pPr>
              <w:pStyle w:val="Body"/>
              <w:rPr>
                <w:rFonts w:cs="Arial"/>
              </w:rPr>
            </w:pPr>
            <w:r w:rsidRPr="008843F0">
              <w:rPr>
                <w:rFonts w:cs="Arial"/>
              </w:rPr>
              <w:t>31 (28%)</w:t>
            </w:r>
          </w:p>
        </w:tc>
        <w:tc>
          <w:tcPr>
            <w:tcW w:w="1524" w:type="dxa"/>
          </w:tcPr>
          <w:p w14:paraId="5578DEF0" w14:textId="77777777" w:rsidR="0095426F" w:rsidRPr="008843F0" w:rsidRDefault="0095426F" w:rsidP="003C2836">
            <w:pPr>
              <w:pStyle w:val="Body"/>
              <w:rPr>
                <w:rFonts w:cs="Arial"/>
              </w:rPr>
            </w:pPr>
            <w:r w:rsidRPr="008843F0">
              <w:rPr>
                <w:rFonts w:cs="Arial"/>
              </w:rPr>
              <w:t>98 (89%)</w:t>
            </w:r>
          </w:p>
        </w:tc>
        <w:tc>
          <w:tcPr>
            <w:tcW w:w="1056" w:type="dxa"/>
          </w:tcPr>
          <w:p w14:paraId="190D8018" w14:textId="77777777" w:rsidR="0095426F" w:rsidRPr="008843F0" w:rsidRDefault="0095426F" w:rsidP="003C2836">
            <w:pPr>
              <w:pStyle w:val="Body"/>
              <w:rPr>
                <w:rFonts w:cs="Arial"/>
              </w:rPr>
            </w:pPr>
            <w:r w:rsidRPr="008843F0">
              <w:rPr>
                <w:rFonts w:cs="Arial"/>
              </w:rPr>
              <w:t>1 (1%)</w:t>
            </w:r>
          </w:p>
        </w:tc>
      </w:tr>
    </w:tbl>
    <w:p w14:paraId="0F1D32B1" w14:textId="77777777" w:rsidR="0095426F" w:rsidRPr="008843F0" w:rsidRDefault="0095426F" w:rsidP="0095426F">
      <w:pPr>
        <w:pStyle w:val="Body"/>
        <w:rPr>
          <w:rFonts w:cs="Arial"/>
        </w:rPr>
      </w:pPr>
      <w:r w:rsidRPr="008843F0">
        <w:rPr>
          <w:rFonts w:cs="Arial"/>
        </w:rPr>
        <w:t>Nine per cent of patients had testing the day prior to surgery, with one per cent having no testing available. This is not sufficient time to assess, investigate and treat any anaemia or iron deficiency found.</w:t>
      </w:r>
    </w:p>
    <w:p w14:paraId="6E234CE2" w14:textId="6E2E64E6" w:rsidR="0095426F" w:rsidRDefault="0095426F" w:rsidP="0095426F">
      <w:pPr>
        <w:pStyle w:val="Body"/>
      </w:pPr>
      <w:r w:rsidRPr="008843F0">
        <w:rPr>
          <w:rFonts w:cs="Arial"/>
        </w:rPr>
        <w:t xml:space="preserve">While 98 per cent of patients had </w:t>
      </w:r>
      <w:proofErr w:type="gramStart"/>
      <w:r w:rsidRPr="008843F0">
        <w:rPr>
          <w:rFonts w:cs="Arial"/>
        </w:rPr>
        <w:t>a</w:t>
      </w:r>
      <w:proofErr w:type="gramEnd"/>
      <w:r w:rsidRPr="008843F0">
        <w:rPr>
          <w:rFonts w:cs="Arial"/>
        </w:rPr>
        <w:t xml:space="preserve"> FBE, only a little over a third had ferritin taken as part of the assessment. Patients who are iron deficient, but not anaemic, will not be picked up without further testing. Ensuring patients have adequate iron stores to deal with any blood loss is important.</w:t>
      </w:r>
    </w:p>
    <w:p w14:paraId="6F489DDF" w14:textId="0920B41D" w:rsidR="0095426F" w:rsidRDefault="0095426F" w:rsidP="0095426F">
      <w:pPr>
        <w:pStyle w:val="Heading3"/>
      </w:pPr>
      <w:r w:rsidRPr="008843F0">
        <w:t>Screening results</w:t>
      </w:r>
    </w:p>
    <w:tbl>
      <w:tblPr>
        <w:tblStyle w:val="TableGrid5"/>
        <w:tblW w:w="0" w:type="auto"/>
        <w:tblLook w:val="04A0" w:firstRow="1" w:lastRow="0" w:firstColumn="1" w:lastColumn="0" w:noHBand="0" w:noVBand="1"/>
      </w:tblPr>
      <w:tblGrid>
        <w:gridCol w:w="1828"/>
        <w:gridCol w:w="1828"/>
        <w:gridCol w:w="1828"/>
        <w:gridCol w:w="1828"/>
      </w:tblGrid>
      <w:tr w:rsidR="0095426F" w:rsidRPr="008843F0" w14:paraId="4A33F1AA" w14:textId="77777777" w:rsidTr="003C2836">
        <w:tc>
          <w:tcPr>
            <w:tcW w:w="1828" w:type="dxa"/>
          </w:tcPr>
          <w:p w14:paraId="0F16A190" w14:textId="77777777" w:rsidR="0095426F" w:rsidRPr="008843F0" w:rsidRDefault="0095426F" w:rsidP="003C2836">
            <w:pPr>
              <w:pStyle w:val="Body"/>
              <w:rPr>
                <w:rFonts w:cs="Arial"/>
                <w:b/>
              </w:rPr>
            </w:pPr>
            <w:r w:rsidRPr="008843F0">
              <w:rPr>
                <w:rFonts w:cs="Arial"/>
                <w:b/>
              </w:rPr>
              <w:t>Anaemic or iron deficient by Module 2</w:t>
            </w:r>
          </w:p>
        </w:tc>
        <w:tc>
          <w:tcPr>
            <w:tcW w:w="1828" w:type="dxa"/>
          </w:tcPr>
          <w:p w14:paraId="7240DBCA" w14:textId="77777777" w:rsidR="0095426F" w:rsidRPr="008843F0" w:rsidRDefault="0095426F" w:rsidP="003C2836">
            <w:pPr>
              <w:pStyle w:val="Body"/>
              <w:rPr>
                <w:rFonts w:cs="Arial"/>
                <w:b/>
              </w:rPr>
            </w:pPr>
            <w:r w:rsidRPr="008843F0">
              <w:rPr>
                <w:rFonts w:cs="Arial"/>
                <w:b/>
              </w:rPr>
              <w:t>Health service documented as anaemic or iron deficient</w:t>
            </w:r>
          </w:p>
        </w:tc>
        <w:tc>
          <w:tcPr>
            <w:tcW w:w="1828" w:type="dxa"/>
          </w:tcPr>
          <w:p w14:paraId="3D3CC35A" w14:textId="77777777" w:rsidR="0095426F" w:rsidRPr="008843F0" w:rsidRDefault="0095426F" w:rsidP="003C2836">
            <w:pPr>
              <w:pStyle w:val="Body"/>
              <w:rPr>
                <w:rFonts w:cs="Arial"/>
                <w:b/>
              </w:rPr>
            </w:pPr>
            <w:r w:rsidRPr="008843F0">
              <w:rPr>
                <w:rFonts w:cs="Arial"/>
                <w:b/>
              </w:rPr>
              <w:t>Non-anaemic and having ferritin &lt;100 mcg/L Module 2</w:t>
            </w:r>
          </w:p>
        </w:tc>
        <w:tc>
          <w:tcPr>
            <w:tcW w:w="1828" w:type="dxa"/>
          </w:tcPr>
          <w:p w14:paraId="5F1F2DFB" w14:textId="77777777" w:rsidR="0095426F" w:rsidRPr="008843F0" w:rsidRDefault="0095426F" w:rsidP="003C2836">
            <w:pPr>
              <w:pStyle w:val="Body"/>
              <w:rPr>
                <w:rFonts w:cs="Arial"/>
                <w:b/>
              </w:rPr>
            </w:pPr>
            <w:r w:rsidRPr="008843F0">
              <w:rPr>
                <w:rFonts w:cs="Arial"/>
                <w:b/>
              </w:rPr>
              <w:t>Patients documented or managed by health service</w:t>
            </w:r>
          </w:p>
        </w:tc>
      </w:tr>
      <w:tr w:rsidR="0095426F" w:rsidRPr="008843F0" w14:paraId="01874B8E" w14:textId="77777777" w:rsidTr="003C2836">
        <w:tc>
          <w:tcPr>
            <w:tcW w:w="1828" w:type="dxa"/>
          </w:tcPr>
          <w:p w14:paraId="45CAEDC9" w14:textId="77777777" w:rsidR="0095426F" w:rsidRPr="008843F0" w:rsidRDefault="0095426F" w:rsidP="003C2836">
            <w:pPr>
              <w:pStyle w:val="Body"/>
              <w:rPr>
                <w:rFonts w:cs="Arial"/>
              </w:rPr>
            </w:pPr>
            <w:r w:rsidRPr="008843F0">
              <w:rPr>
                <w:rFonts w:cs="Arial"/>
              </w:rPr>
              <w:t>17 (15%)</w:t>
            </w:r>
          </w:p>
        </w:tc>
        <w:tc>
          <w:tcPr>
            <w:tcW w:w="1828" w:type="dxa"/>
          </w:tcPr>
          <w:p w14:paraId="1511087F" w14:textId="77777777" w:rsidR="0095426F" w:rsidRPr="008843F0" w:rsidRDefault="0095426F" w:rsidP="003C2836">
            <w:pPr>
              <w:pStyle w:val="Body"/>
              <w:rPr>
                <w:rFonts w:cs="Arial"/>
              </w:rPr>
            </w:pPr>
            <w:r w:rsidRPr="008843F0">
              <w:rPr>
                <w:rFonts w:cs="Arial"/>
              </w:rPr>
              <w:t>4 (3%)</w:t>
            </w:r>
          </w:p>
        </w:tc>
        <w:tc>
          <w:tcPr>
            <w:tcW w:w="1828" w:type="dxa"/>
          </w:tcPr>
          <w:p w14:paraId="497FA6C2" w14:textId="77777777" w:rsidR="0095426F" w:rsidRPr="008843F0" w:rsidRDefault="0095426F" w:rsidP="003C2836">
            <w:pPr>
              <w:pStyle w:val="Body"/>
              <w:rPr>
                <w:rFonts w:cs="Arial"/>
              </w:rPr>
            </w:pPr>
            <w:r w:rsidRPr="008843F0">
              <w:rPr>
                <w:rFonts w:cs="Arial"/>
              </w:rPr>
              <w:t>8 (7%)</w:t>
            </w:r>
          </w:p>
        </w:tc>
        <w:tc>
          <w:tcPr>
            <w:tcW w:w="1828" w:type="dxa"/>
          </w:tcPr>
          <w:p w14:paraId="412D4A47" w14:textId="77777777" w:rsidR="0095426F" w:rsidRPr="008843F0" w:rsidRDefault="0095426F" w:rsidP="003C2836">
            <w:pPr>
              <w:pStyle w:val="Body"/>
              <w:rPr>
                <w:rFonts w:cs="Arial"/>
                <w:b/>
              </w:rPr>
            </w:pPr>
            <w:r w:rsidRPr="008843F0">
              <w:rPr>
                <w:rFonts w:cs="Arial"/>
              </w:rPr>
              <w:t>0 (0%)</w:t>
            </w:r>
          </w:p>
        </w:tc>
      </w:tr>
    </w:tbl>
    <w:p w14:paraId="164A1287" w14:textId="677ED180" w:rsidR="0095426F" w:rsidRDefault="0095426F" w:rsidP="002B2FD9">
      <w:pPr>
        <w:pStyle w:val="Bodyafterbullets"/>
        <w:rPr>
          <w:b/>
        </w:rPr>
      </w:pPr>
      <w:r w:rsidRPr="008843F0">
        <w:t xml:space="preserve">The </w:t>
      </w:r>
      <w:r w:rsidRPr="0095426F">
        <w:t>cardiothoracic</w:t>
      </w:r>
      <w:r w:rsidRPr="008843F0">
        <w:t xml:space="preserve"> group had the smallest proportion of patients found to be anaemic (15 per cent by Module 2 and 4 per cent by the health service).</w:t>
      </w:r>
    </w:p>
    <w:p w14:paraId="379941CC" w14:textId="32B577B2" w:rsidR="0095426F" w:rsidRPr="008F5214" w:rsidRDefault="0095426F" w:rsidP="002B2FD9">
      <w:pPr>
        <w:pStyle w:val="Heading3"/>
      </w:pPr>
      <w:r w:rsidRPr="008843F0">
        <w:t>Treatment</w:t>
      </w:r>
    </w:p>
    <w:p w14:paraId="0D7DF94B" w14:textId="77777777" w:rsidR="0095426F" w:rsidRPr="008843F0" w:rsidRDefault="0095426F" w:rsidP="0095426F">
      <w:pPr>
        <w:pStyle w:val="Body"/>
        <w:rPr>
          <w:rFonts w:cs="Arial"/>
        </w:rPr>
      </w:pPr>
      <w:r w:rsidRPr="008843F0">
        <w:rPr>
          <w:rFonts w:cs="Arial"/>
        </w:rPr>
        <w:t>2 patients total</w:t>
      </w:r>
    </w:p>
    <w:tbl>
      <w:tblPr>
        <w:tblStyle w:val="TableGrid5"/>
        <w:tblW w:w="0" w:type="auto"/>
        <w:tblLook w:val="04A0" w:firstRow="1" w:lastRow="0" w:firstColumn="1" w:lastColumn="0" w:noHBand="0" w:noVBand="1"/>
      </w:tblPr>
      <w:tblGrid>
        <w:gridCol w:w="1476"/>
        <w:gridCol w:w="1524"/>
        <w:gridCol w:w="1732"/>
        <w:gridCol w:w="1524"/>
        <w:gridCol w:w="1056"/>
      </w:tblGrid>
      <w:tr w:rsidR="0095426F" w:rsidRPr="008843F0" w14:paraId="5881EF42" w14:textId="77777777" w:rsidTr="003C2836">
        <w:tc>
          <w:tcPr>
            <w:tcW w:w="1476" w:type="dxa"/>
          </w:tcPr>
          <w:p w14:paraId="08D5113B" w14:textId="77777777" w:rsidR="0095426F" w:rsidRPr="008843F0" w:rsidRDefault="0095426F" w:rsidP="003C2836">
            <w:pPr>
              <w:pStyle w:val="Body"/>
              <w:rPr>
                <w:rFonts w:cs="Arial"/>
                <w:b/>
              </w:rPr>
            </w:pPr>
            <w:r w:rsidRPr="008843F0">
              <w:rPr>
                <w:rFonts w:cs="Arial"/>
                <w:b/>
              </w:rPr>
              <w:t>Oral iron</w:t>
            </w:r>
          </w:p>
        </w:tc>
        <w:tc>
          <w:tcPr>
            <w:tcW w:w="1524" w:type="dxa"/>
          </w:tcPr>
          <w:p w14:paraId="7102C9E4" w14:textId="77777777" w:rsidR="0095426F" w:rsidRPr="008843F0" w:rsidRDefault="0095426F" w:rsidP="003C2836">
            <w:pPr>
              <w:pStyle w:val="Body"/>
              <w:rPr>
                <w:rFonts w:cs="Arial"/>
                <w:b/>
              </w:rPr>
            </w:pPr>
            <w:r w:rsidRPr="008843F0">
              <w:rPr>
                <w:rFonts w:cs="Arial"/>
                <w:b/>
              </w:rPr>
              <w:t>IV iron</w:t>
            </w:r>
          </w:p>
        </w:tc>
        <w:tc>
          <w:tcPr>
            <w:tcW w:w="1732" w:type="dxa"/>
          </w:tcPr>
          <w:p w14:paraId="13081848" w14:textId="77777777" w:rsidR="0095426F" w:rsidRPr="008843F0" w:rsidRDefault="0095426F" w:rsidP="003C2836">
            <w:pPr>
              <w:pStyle w:val="Body"/>
              <w:rPr>
                <w:rFonts w:cs="Arial"/>
                <w:b/>
              </w:rPr>
            </w:pPr>
            <w:r w:rsidRPr="008843F0">
              <w:rPr>
                <w:rFonts w:cs="Arial"/>
                <w:b/>
              </w:rPr>
              <w:t>Specialist referral (Haematology, GI or renal)</w:t>
            </w:r>
          </w:p>
        </w:tc>
        <w:tc>
          <w:tcPr>
            <w:tcW w:w="1524" w:type="dxa"/>
          </w:tcPr>
          <w:p w14:paraId="38983DBA" w14:textId="77777777" w:rsidR="0095426F" w:rsidRPr="008843F0" w:rsidRDefault="0095426F" w:rsidP="003C2836">
            <w:pPr>
              <w:pStyle w:val="Body"/>
              <w:rPr>
                <w:rFonts w:cs="Arial"/>
                <w:b/>
              </w:rPr>
            </w:pPr>
            <w:r w:rsidRPr="008843F0">
              <w:rPr>
                <w:rFonts w:cs="Arial"/>
                <w:b/>
              </w:rPr>
              <w:t>Red cell transfusion</w:t>
            </w:r>
          </w:p>
        </w:tc>
        <w:tc>
          <w:tcPr>
            <w:tcW w:w="1056" w:type="dxa"/>
          </w:tcPr>
          <w:p w14:paraId="4384CB8E" w14:textId="77777777" w:rsidR="0095426F" w:rsidRPr="008843F0" w:rsidRDefault="0095426F" w:rsidP="003C2836">
            <w:pPr>
              <w:pStyle w:val="Body"/>
              <w:rPr>
                <w:rFonts w:cs="Arial"/>
                <w:b/>
              </w:rPr>
            </w:pPr>
            <w:r w:rsidRPr="008843F0">
              <w:rPr>
                <w:rFonts w:cs="Arial"/>
                <w:b/>
              </w:rPr>
              <w:t>Other</w:t>
            </w:r>
          </w:p>
        </w:tc>
      </w:tr>
      <w:tr w:rsidR="0095426F" w:rsidRPr="008843F0" w14:paraId="7D882178" w14:textId="77777777" w:rsidTr="003C2836">
        <w:tc>
          <w:tcPr>
            <w:tcW w:w="1476" w:type="dxa"/>
          </w:tcPr>
          <w:p w14:paraId="0BC4ADAB" w14:textId="77777777" w:rsidR="0095426F" w:rsidRPr="008843F0" w:rsidRDefault="0095426F" w:rsidP="003C2836">
            <w:pPr>
              <w:pStyle w:val="Body"/>
              <w:rPr>
                <w:rFonts w:cs="Arial"/>
              </w:rPr>
            </w:pPr>
            <w:r w:rsidRPr="008843F0">
              <w:rPr>
                <w:rFonts w:cs="Arial"/>
              </w:rPr>
              <w:t>0</w:t>
            </w:r>
          </w:p>
        </w:tc>
        <w:tc>
          <w:tcPr>
            <w:tcW w:w="1524" w:type="dxa"/>
          </w:tcPr>
          <w:p w14:paraId="134721CF" w14:textId="77777777" w:rsidR="0095426F" w:rsidRPr="008843F0" w:rsidRDefault="0095426F" w:rsidP="003C2836">
            <w:pPr>
              <w:pStyle w:val="Body"/>
              <w:rPr>
                <w:rFonts w:cs="Arial"/>
              </w:rPr>
            </w:pPr>
            <w:r w:rsidRPr="008843F0">
              <w:rPr>
                <w:rFonts w:cs="Arial"/>
              </w:rPr>
              <w:t>1 (50%)</w:t>
            </w:r>
          </w:p>
        </w:tc>
        <w:tc>
          <w:tcPr>
            <w:tcW w:w="1732" w:type="dxa"/>
          </w:tcPr>
          <w:p w14:paraId="2AE8CDE1" w14:textId="77777777" w:rsidR="0095426F" w:rsidRPr="008843F0" w:rsidRDefault="0095426F" w:rsidP="003C2836">
            <w:pPr>
              <w:pStyle w:val="Body"/>
              <w:rPr>
                <w:rFonts w:cs="Arial"/>
              </w:rPr>
            </w:pPr>
            <w:r w:rsidRPr="008843F0">
              <w:rPr>
                <w:rFonts w:cs="Arial"/>
              </w:rPr>
              <w:t>1 (50%)</w:t>
            </w:r>
          </w:p>
        </w:tc>
        <w:tc>
          <w:tcPr>
            <w:tcW w:w="1524" w:type="dxa"/>
          </w:tcPr>
          <w:p w14:paraId="402EF5BF" w14:textId="77777777" w:rsidR="0095426F" w:rsidRPr="008843F0" w:rsidRDefault="0095426F" w:rsidP="003C2836">
            <w:pPr>
              <w:pStyle w:val="Body"/>
              <w:rPr>
                <w:rFonts w:cs="Arial"/>
              </w:rPr>
            </w:pPr>
            <w:r w:rsidRPr="008843F0">
              <w:rPr>
                <w:rFonts w:cs="Arial"/>
              </w:rPr>
              <w:t>0</w:t>
            </w:r>
          </w:p>
        </w:tc>
        <w:tc>
          <w:tcPr>
            <w:tcW w:w="1056" w:type="dxa"/>
          </w:tcPr>
          <w:p w14:paraId="64968563" w14:textId="77777777" w:rsidR="0095426F" w:rsidRPr="008843F0" w:rsidRDefault="0095426F" w:rsidP="003C2836">
            <w:pPr>
              <w:pStyle w:val="Body"/>
              <w:rPr>
                <w:rFonts w:cs="Arial"/>
              </w:rPr>
            </w:pPr>
            <w:r w:rsidRPr="008843F0">
              <w:rPr>
                <w:rFonts w:cs="Arial"/>
              </w:rPr>
              <w:t>0</w:t>
            </w:r>
          </w:p>
        </w:tc>
      </w:tr>
    </w:tbl>
    <w:p w14:paraId="7A3E87C5" w14:textId="77777777" w:rsidR="0095426F" w:rsidRDefault="0095426F" w:rsidP="0095426F">
      <w:pPr>
        <w:pStyle w:val="Tablefigurenote"/>
      </w:pPr>
      <w:r w:rsidRPr="007727DB">
        <w:t>Percentage greater than 100 as patients may have received more than one treatment type</w:t>
      </w:r>
      <w:r>
        <w:t>.</w:t>
      </w:r>
    </w:p>
    <w:p w14:paraId="4BEB798A" w14:textId="77777777" w:rsidR="0095426F" w:rsidRPr="007727DB" w:rsidRDefault="0095426F" w:rsidP="0095426F">
      <w:pPr>
        <w:pStyle w:val="Tablefigurenote"/>
      </w:pPr>
      <w:r w:rsidRPr="007727DB">
        <w:t>There were no renal referrals or EPO</w:t>
      </w:r>
      <w:r>
        <w:t>.</w:t>
      </w:r>
    </w:p>
    <w:p w14:paraId="46AA703C" w14:textId="2E644E51" w:rsidR="0095426F" w:rsidRDefault="0095426F" w:rsidP="002B2FD9">
      <w:pPr>
        <w:pStyle w:val="Bodyaftertablefigure"/>
      </w:pPr>
      <w:r w:rsidRPr="008843F0">
        <w:t>Only two patients were provided with treatment prior to surgery, with one patient receiving an IV iron infusion, and the other a specialist referral.</w:t>
      </w:r>
    </w:p>
    <w:p w14:paraId="1268F3E8" w14:textId="77777777" w:rsidR="0095426F" w:rsidRPr="0095426F" w:rsidRDefault="0095426F">
      <w:pPr>
        <w:pStyle w:val="Body"/>
      </w:pPr>
    </w:p>
    <w:p w14:paraId="7A31091D" w14:textId="77777777" w:rsidR="000E4493" w:rsidRPr="008843F0" w:rsidRDefault="000E4493" w:rsidP="000E4493">
      <w:pPr>
        <w:pStyle w:val="Body"/>
        <w:rPr>
          <w:rFonts w:cs="Arial"/>
        </w:rPr>
      </w:pPr>
    </w:p>
    <w:p w14:paraId="4637A66E" w14:textId="77777777" w:rsidR="000E4493" w:rsidRPr="008843F0" w:rsidRDefault="000E4493" w:rsidP="000E4493">
      <w:pPr>
        <w:pStyle w:val="Body"/>
        <w:rPr>
          <w:bCs/>
          <w:color w:val="DA372E"/>
          <w:sz w:val="44"/>
          <w:szCs w:val="44"/>
        </w:rPr>
      </w:pPr>
      <w:r w:rsidRPr="008843F0">
        <w:rPr>
          <w:bCs/>
          <w:color w:val="DA372E"/>
          <w:sz w:val="44"/>
          <w:szCs w:val="44"/>
        </w:rPr>
        <w:br w:type="page"/>
      </w:r>
    </w:p>
    <w:p w14:paraId="5FF89E67" w14:textId="4A6ED057" w:rsidR="000E4493" w:rsidRDefault="000E4493" w:rsidP="000372C7">
      <w:pPr>
        <w:pStyle w:val="Heading1"/>
      </w:pPr>
      <w:bookmarkStart w:id="139" w:name="_Toc69106584"/>
      <w:bookmarkStart w:id="140" w:name="_Toc72314139"/>
      <w:bookmarkStart w:id="141" w:name="_Toc78958810"/>
      <w:r w:rsidRPr="008843F0">
        <w:lastRenderedPageBreak/>
        <w:t>Appendix 6</w:t>
      </w:r>
      <w:r w:rsidR="000372C7">
        <w:t>:</w:t>
      </w:r>
      <w:r w:rsidRPr="008843F0">
        <w:t xml:space="preserve"> Recommendations and practice points relevant to preoperative anaemia assessment and </w:t>
      </w:r>
      <w:r w:rsidRPr="00DF1B38">
        <w:t>management</w:t>
      </w:r>
      <w:r w:rsidRPr="008843F0">
        <w:t xml:space="preserve"> from PBM Module 2 – </w:t>
      </w:r>
      <w:bookmarkEnd w:id="139"/>
      <w:bookmarkEnd w:id="140"/>
      <w:r w:rsidR="00E14C18">
        <w:t>p</w:t>
      </w:r>
      <w:r w:rsidR="00E14C18" w:rsidRPr="008843F0">
        <w:t>erioperative</w:t>
      </w:r>
      <w:bookmarkEnd w:id="141"/>
    </w:p>
    <w:p w14:paraId="234247BB" w14:textId="77899B26" w:rsidR="000372C7" w:rsidRDefault="000372C7" w:rsidP="000372C7">
      <w:pPr>
        <w:pStyle w:val="Heading2"/>
      </w:pPr>
      <w:bookmarkStart w:id="142" w:name="_Toc75325170"/>
      <w:bookmarkStart w:id="143" w:name="_Toc78958811"/>
      <w:r>
        <w:t>Patient blood management program</w:t>
      </w:r>
      <w:bookmarkEnd w:id="142"/>
      <w:bookmarkEnd w:id="143"/>
    </w:p>
    <w:p w14:paraId="75120BA5" w14:textId="52171EFF" w:rsidR="000372C7" w:rsidRDefault="000372C7" w:rsidP="000372C7">
      <w:pPr>
        <w:pStyle w:val="Heading3"/>
      </w:pPr>
      <w:r>
        <w:t>Recommendation – establishment</w:t>
      </w:r>
    </w:p>
    <w:p w14:paraId="5C0D10A0" w14:textId="5881BADB" w:rsidR="000372C7" w:rsidRDefault="000372C7" w:rsidP="000372C7">
      <w:pPr>
        <w:pStyle w:val="Heading4"/>
      </w:pPr>
      <w:r>
        <w:t>R1, Grade C</w:t>
      </w:r>
    </w:p>
    <w:p w14:paraId="03EA58D3" w14:textId="453ABA4B" w:rsidR="000372C7" w:rsidRDefault="000372C7" w:rsidP="000372C7">
      <w:pPr>
        <w:pStyle w:val="Body"/>
      </w:pPr>
      <w:r>
        <w:t>Health-care services should establish a multidisciplinary, multimodal perioperative patient blood management program (Grade C). This should include preoperative optimisation of red cell mass and coagulation status; minimisation of perioperative blood loss, including meticulous attention to surgical homeostasis; and tolerance of postoperative anaemia.</w:t>
      </w:r>
    </w:p>
    <w:p w14:paraId="7909B0F3" w14:textId="2F9B813A" w:rsidR="000372C7" w:rsidRDefault="000372C7" w:rsidP="000372C7">
      <w:pPr>
        <w:pStyle w:val="Heading3"/>
      </w:pPr>
      <w:r>
        <w:t xml:space="preserve">Practice point – implementation </w:t>
      </w:r>
    </w:p>
    <w:p w14:paraId="7BB9565F" w14:textId="761C0693" w:rsidR="000372C7" w:rsidRDefault="000372C7" w:rsidP="000372C7">
      <w:pPr>
        <w:pStyle w:val="Heading4"/>
      </w:pPr>
      <w:r>
        <w:t>PP1</w:t>
      </w:r>
    </w:p>
    <w:p w14:paraId="2C351B9B" w14:textId="34424E51" w:rsidR="000372C7" w:rsidRDefault="000372C7" w:rsidP="000372C7">
      <w:pPr>
        <w:pStyle w:val="Body"/>
      </w:pPr>
      <w:r>
        <w:t>To implement the above recommendations, a multimodal, multidisciplinary patient blood management system is required. All surgical patients should be evaluated as early as possible to coordinate scheduling of surgery with optimisation of the patient’s haemoglobin and iron stores.</w:t>
      </w:r>
    </w:p>
    <w:p w14:paraId="6EC34015" w14:textId="60D1E5A5" w:rsidR="000372C7" w:rsidRPr="008F5214" w:rsidRDefault="000372C7" w:rsidP="002B2FD9">
      <w:pPr>
        <w:pStyle w:val="Heading2"/>
      </w:pPr>
      <w:bookmarkStart w:id="144" w:name="_Toc75325171"/>
      <w:bookmarkStart w:id="145" w:name="_Toc78958812"/>
      <w:r>
        <w:t>Anaemia and haemostasis management</w:t>
      </w:r>
      <w:bookmarkEnd w:id="144"/>
      <w:bookmarkEnd w:id="145"/>
    </w:p>
    <w:p w14:paraId="5FE1CA74" w14:textId="183B6D74" w:rsidR="000E4493" w:rsidRDefault="003D4149" w:rsidP="003D4149">
      <w:pPr>
        <w:pStyle w:val="Heading3"/>
      </w:pPr>
      <w:r>
        <w:t>Recommendations – preoperative anaemia assessment</w:t>
      </w:r>
    </w:p>
    <w:p w14:paraId="5E1041EC" w14:textId="371E6486" w:rsidR="003D4149" w:rsidRPr="008F5214" w:rsidRDefault="003D4149" w:rsidP="002B2FD9">
      <w:pPr>
        <w:pStyle w:val="Heading4"/>
      </w:pPr>
      <w:r>
        <w:t>R2, Grade C</w:t>
      </w:r>
    </w:p>
    <w:p w14:paraId="24032D64" w14:textId="271D3719" w:rsidR="003D4149" w:rsidRDefault="003D4149" w:rsidP="003D4149">
      <w:pPr>
        <w:pStyle w:val="Body"/>
      </w:pPr>
      <w:r>
        <w:t xml:space="preserve">In patients undergoing cardiac surgery, preoperative anaemia should be identified, evaluated and managed to minimise RBC transfusion, which may be associated with an increased risk of morbidity, mortality, ICU length of stay and hospital length of stay (Grade C). </w:t>
      </w:r>
    </w:p>
    <w:p w14:paraId="26D776A0" w14:textId="47F252FA" w:rsidR="003D4149" w:rsidRDefault="003D4149" w:rsidP="003D4149">
      <w:pPr>
        <w:pStyle w:val="Heading4"/>
      </w:pPr>
      <w:r>
        <w:t>R3, Grade C</w:t>
      </w:r>
    </w:p>
    <w:p w14:paraId="366625C0" w14:textId="3E2B6230" w:rsidR="003D4149" w:rsidRDefault="003D4149" w:rsidP="003D4149">
      <w:pPr>
        <w:pStyle w:val="Body"/>
      </w:pPr>
      <w:r>
        <w:t>In patients undergoing noncardiac surgery, preoperative anaemia should be identified, evaluated and managed to minimise RBC transfusion, which may be associated with an increased risk of morbidity, mortality, ICU length of stay and hospital length of stay (Grade C).</w:t>
      </w:r>
    </w:p>
    <w:p w14:paraId="2162A6C7" w14:textId="74646132" w:rsidR="003D4149" w:rsidRDefault="003D4149" w:rsidP="003D4149">
      <w:pPr>
        <w:pStyle w:val="Heading3"/>
      </w:pPr>
      <w:r w:rsidRPr="003D4149">
        <w:t xml:space="preserve">Practice points </w:t>
      </w:r>
      <w:r>
        <w:t>–</w:t>
      </w:r>
      <w:r w:rsidRPr="003D4149">
        <w:t xml:space="preserve"> preoperative anaemia assessment</w:t>
      </w:r>
    </w:p>
    <w:p w14:paraId="5ADF38A4" w14:textId="70D5F7B8" w:rsidR="003D4149" w:rsidRDefault="003D4149" w:rsidP="003D4149">
      <w:pPr>
        <w:pStyle w:val="Heading4"/>
      </w:pPr>
      <w:r>
        <w:t>PP1</w:t>
      </w:r>
    </w:p>
    <w:p w14:paraId="5B8D3398" w14:textId="39352980" w:rsidR="003D4149" w:rsidRDefault="003D4149" w:rsidP="003D4149">
      <w:pPr>
        <w:pStyle w:val="Body"/>
      </w:pPr>
      <w:r>
        <w:t>To implement the above recommendations, a multimodal, multidisciplinary patient blood management program is required. All surgical patients should be evaluated as early as possible to coordinate scheduling of surgery with optimisation of the patient’s haemoglobin and iron stores.</w:t>
      </w:r>
    </w:p>
    <w:p w14:paraId="4785E014" w14:textId="50542B6A" w:rsidR="003D4149" w:rsidRDefault="003D4149" w:rsidP="003D4149">
      <w:pPr>
        <w:pStyle w:val="Heading4"/>
      </w:pPr>
      <w:r>
        <w:lastRenderedPageBreak/>
        <w:t>PP4</w:t>
      </w:r>
    </w:p>
    <w:p w14:paraId="4812501C" w14:textId="50F94EC0" w:rsidR="003D4149" w:rsidRDefault="003D4149" w:rsidP="003D4149">
      <w:pPr>
        <w:pStyle w:val="Body"/>
      </w:pPr>
      <w:r>
        <w:t>All surgical patients should be evaluated as early as possible to manage and optimise haemoglobin and iron stores.</w:t>
      </w:r>
    </w:p>
    <w:p w14:paraId="074EFE96" w14:textId="1E626421" w:rsidR="003D4149" w:rsidRDefault="003D4149" w:rsidP="003D4149">
      <w:pPr>
        <w:pStyle w:val="Heading4"/>
      </w:pPr>
      <w:r>
        <w:t>PP5</w:t>
      </w:r>
    </w:p>
    <w:p w14:paraId="3FA7FC76" w14:textId="2FCB404B" w:rsidR="003D4149" w:rsidRDefault="003D4149" w:rsidP="003D4149">
      <w:pPr>
        <w:pStyle w:val="Body"/>
      </w:pPr>
      <w:r>
        <w:t xml:space="preserve">Elective surgery should be scheduled to allow optimisation of patients’ haemoglobin and iron stores. </w:t>
      </w:r>
    </w:p>
    <w:p w14:paraId="236E5B95" w14:textId="2416BBDF" w:rsidR="003D4149" w:rsidRDefault="003D4149" w:rsidP="003D4149">
      <w:pPr>
        <w:pStyle w:val="Heading3"/>
      </w:pPr>
      <w:r>
        <w:t>Recommendations – iron and erythropoiesis-stimulating agents</w:t>
      </w:r>
    </w:p>
    <w:p w14:paraId="17322ED5" w14:textId="2168ABA9" w:rsidR="003D4149" w:rsidRDefault="003D4149" w:rsidP="003D4149">
      <w:pPr>
        <w:pStyle w:val="Heading4"/>
      </w:pPr>
      <w:r>
        <w:t>R4, Grade B</w:t>
      </w:r>
    </w:p>
    <w:p w14:paraId="478E2A4A" w14:textId="4ECE64D0" w:rsidR="003D4149" w:rsidRDefault="003D4149" w:rsidP="003D4149">
      <w:pPr>
        <w:pStyle w:val="Body"/>
      </w:pPr>
      <w:r>
        <w:t>In surgical patients with, or at risk of, iron deficiency anaemia, preoperative oral iron therapy is recommended (Grade B). Refer to preoperative haemoglobin assessment and optimisation template for further information on the optimal dosing strategy.</w:t>
      </w:r>
    </w:p>
    <w:p w14:paraId="5EFE708E" w14:textId="58B26525" w:rsidR="003D4149" w:rsidRPr="008F5214" w:rsidRDefault="003D4149" w:rsidP="002B2FD9">
      <w:pPr>
        <w:pStyle w:val="Heading4"/>
      </w:pPr>
      <w:r>
        <w:t>R5, Grade A</w:t>
      </w:r>
    </w:p>
    <w:p w14:paraId="7E0EF31D" w14:textId="77777777" w:rsidR="003D4149" w:rsidRDefault="003D4149" w:rsidP="000E4493">
      <w:pPr>
        <w:pStyle w:val="Body"/>
      </w:pPr>
      <w:r>
        <w:t xml:space="preserve">In patients with preoperative anaemia, where an ESA is indicated, it must be combined with iron therapy (Grade A). </w:t>
      </w:r>
    </w:p>
    <w:p w14:paraId="77028D61" w14:textId="77777777" w:rsidR="003D4149" w:rsidRPr="008F5214" w:rsidRDefault="003D4149" w:rsidP="002B2FD9">
      <w:pPr>
        <w:pStyle w:val="Heading4"/>
      </w:pPr>
      <w:r>
        <w:t xml:space="preserve">R6, Grade B </w:t>
      </w:r>
    </w:p>
    <w:p w14:paraId="7420B9B3" w14:textId="26CA4421" w:rsidR="000E4493" w:rsidRPr="008843F0" w:rsidRDefault="003D4149" w:rsidP="000E4493">
      <w:pPr>
        <w:pStyle w:val="Body"/>
        <w:rPr>
          <w:bCs/>
          <w:color w:val="DA372E"/>
          <w:sz w:val="44"/>
          <w:szCs w:val="44"/>
        </w:rPr>
      </w:pPr>
      <w:r>
        <w:t>In patients with postoperative anaemia, early oral iron therapy is not clinically effective; its routine use in this setting is not recommended (Grade B).</w:t>
      </w:r>
    </w:p>
    <w:p w14:paraId="26810802" w14:textId="38A47C9B" w:rsidR="000E4493" w:rsidRDefault="003D4149" w:rsidP="003D4149">
      <w:pPr>
        <w:pStyle w:val="Heading3"/>
      </w:pPr>
      <w:r w:rsidRPr="003D4149">
        <w:t>Practice points – iron and erythropoiesis-stimulating agents</w:t>
      </w:r>
      <w:r w:rsidRPr="002B2FD9" w:rsidDel="003D4149">
        <w:t xml:space="preserve"> </w:t>
      </w:r>
    </w:p>
    <w:p w14:paraId="65E7E76D" w14:textId="77777777" w:rsidR="003D4149" w:rsidRPr="008F5214" w:rsidRDefault="003D4149" w:rsidP="002B2FD9">
      <w:pPr>
        <w:pStyle w:val="Heading4"/>
      </w:pPr>
      <w:r>
        <w:t xml:space="preserve">PP6 </w:t>
      </w:r>
    </w:p>
    <w:p w14:paraId="020BA822" w14:textId="0CA634E4" w:rsidR="003D4149" w:rsidRDefault="003D4149" w:rsidP="003D4149">
      <w:pPr>
        <w:pStyle w:val="Body"/>
      </w:pPr>
      <w:r>
        <w:t>Surgical patients with suboptimal iron stores (as defined by a ferritin level &lt; 100 ug/L) in whom substantial blood loss (blood loss of a volume great enough to induce anaemia that would require therapy) is anticipated, should be treated with preoperative iron therapy. Refer to the preoperative haemoglobin assessment and optimisation template for further information on the evaluation and management of preoperative patients.</w:t>
      </w:r>
    </w:p>
    <w:p w14:paraId="05E26981" w14:textId="77777777" w:rsidR="0047037F" w:rsidRPr="008F5214" w:rsidRDefault="003D4149" w:rsidP="002B2FD9">
      <w:pPr>
        <w:pStyle w:val="Heading4"/>
      </w:pPr>
      <w:r>
        <w:t xml:space="preserve">PP7 </w:t>
      </w:r>
    </w:p>
    <w:p w14:paraId="5F47BEB5" w14:textId="520B6D3D" w:rsidR="003D4149" w:rsidRPr="002B2FD9" w:rsidRDefault="0047037F">
      <w:pPr>
        <w:pStyle w:val="Body"/>
      </w:pPr>
      <w:r>
        <w:t>I</w:t>
      </w:r>
      <w:r w:rsidR="003D4149">
        <w:t>n patients with preoperative iron-deficiency anaemia or depleted iron stores, treatment should be with iron alone</w:t>
      </w:r>
      <w:r>
        <w:t>. In patients with anaemia of chronic disease (also known as anaemia of inflammation), ESAs may be indicated. Refer to the preoperative haemoglobin assessment and optimisation template for further information on the evaluation and management of preoperative patients.</w:t>
      </w:r>
    </w:p>
    <w:p w14:paraId="3F1CF17E" w14:textId="194D1F40" w:rsidR="000E4493" w:rsidRPr="008F5214" w:rsidRDefault="0047037F" w:rsidP="002B2FD9">
      <w:pPr>
        <w:pStyle w:val="Heading2"/>
      </w:pPr>
      <w:bookmarkStart w:id="146" w:name="_Toc75325172"/>
      <w:bookmarkStart w:id="147" w:name="_Toc78958813"/>
      <w:r>
        <w:t>Intraoperative</w:t>
      </w:r>
      <w:bookmarkEnd w:id="146"/>
      <w:bookmarkEnd w:id="147"/>
    </w:p>
    <w:p w14:paraId="5B82C4E6" w14:textId="77777777" w:rsidR="0047037F" w:rsidRDefault="0047037F" w:rsidP="002B2FD9">
      <w:pPr>
        <w:pStyle w:val="Heading3"/>
      </w:pPr>
      <w:r w:rsidRPr="00F9779F">
        <w:t>Recommendation</w:t>
      </w:r>
      <w:r>
        <w:t xml:space="preserve"> – prevention of hypothermia</w:t>
      </w:r>
    </w:p>
    <w:p w14:paraId="33DBDF14" w14:textId="77777777" w:rsidR="0047037F" w:rsidRDefault="0047037F" w:rsidP="002B2FD9">
      <w:pPr>
        <w:pStyle w:val="Heading4"/>
      </w:pPr>
      <w:r>
        <w:t xml:space="preserve">R12, </w:t>
      </w:r>
      <w:r w:rsidRPr="008F5214">
        <w:t>Grade</w:t>
      </w:r>
      <w:r>
        <w:t xml:space="preserve"> A</w:t>
      </w:r>
    </w:p>
    <w:p w14:paraId="56081A5A" w14:textId="77777777" w:rsidR="0047037F" w:rsidRDefault="0047037F" w:rsidP="0047037F">
      <w:pPr>
        <w:pStyle w:val="Body"/>
      </w:pPr>
      <w:r>
        <w:t>In patients undergoing surgery, measures to prevent hypothermia should be used (Grade A).</w:t>
      </w:r>
    </w:p>
    <w:p w14:paraId="54695486" w14:textId="3EB4A507" w:rsidR="000E4493" w:rsidRDefault="0047037F" w:rsidP="0047037F">
      <w:pPr>
        <w:pStyle w:val="Heading3"/>
      </w:pPr>
      <w:r>
        <w:lastRenderedPageBreak/>
        <w:t>Practice point – appropriate patient positioning</w:t>
      </w:r>
    </w:p>
    <w:p w14:paraId="5727C77A" w14:textId="3886A6E1" w:rsidR="0047037F" w:rsidRPr="008F5214" w:rsidRDefault="0047037F" w:rsidP="002B2FD9">
      <w:pPr>
        <w:pStyle w:val="Heading4"/>
      </w:pPr>
      <w:r>
        <w:t xml:space="preserve">PP1 </w:t>
      </w:r>
    </w:p>
    <w:p w14:paraId="20BCD71D" w14:textId="2CCF899C" w:rsidR="0047037F" w:rsidRPr="0047037F" w:rsidRDefault="0047037F">
      <w:pPr>
        <w:pStyle w:val="Body"/>
      </w:pPr>
      <w:r>
        <w:t>Excessive venous pressure at the site of surgery should be avoided by appropriate patient positioning, both during and after the procedure.</w:t>
      </w:r>
    </w:p>
    <w:p w14:paraId="67DC8C24" w14:textId="332BE206" w:rsidR="000E4493" w:rsidRDefault="0047037F" w:rsidP="0047037F">
      <w:pPr>
        <w:pStyle w:val="Heading3"/>
      </w:pPr>
      <w:r>
        <w:t>Recommendation – deliberate induced hypotension</w:t>
      </w:r>
    </w:p>
    <w:p w14:paraId="1F3FF9C5" w14:textId="1AED32DF" w:rsidR="0047037F" w:rsidRDefault="0047037F" w:rsidP="0047037F">
      <w:pPr>
        <w:pStyle w:val="Heading4"/>
      </w:pPr>
      <w:r>
        <w:t>R13, Grade C</w:t>
      </w:r>
    </w:p>
    <w:p w14:paraId="18C54964" w14:textId="1ED2835D" w:rsidR="0047037F" w:rsidRPr="0047037F" w:rsidRDefault="0047037F">
      <w:pPr>
        <w:pStyle w:val="Body"/>
      </w:pPr>
      <w:r>
        <w:t xml:space="preserve">In patients undergoing radical prostatectomy or major joint replacement, if substantial blood loss (blood loss of a volume great enough to induce anaemia that would require therapy) is anticipated, deliberate induced hypotension (MAP 50–60 mmHg) should be considered, balancing the risk of blood loss and the preservation of vital organ perfusion (Grade C). </w:t>
      </w:r>
    </w:p>
    <w:p w14:paraId="12F93DC3" w14:textId="358AC9E9" w:rsidR="000E4493" w:rsidRDefault="0047037F" w:rsidP="0047037F">
      <w:pPr>
        <w:pStyle w:val="Heading3"/>
      </w:pPr>
      <w:r w:rsidRPr="0047037F">
        <w:t>Recommendation</w:t>
      </w:r>
      <w:r>
        <w:t xml:space="preserve"> – acute normovolemic haemodilution</w:t>
      </w:r>
    </w:p>
    <w:p w14:paraId="1CA2CD4F" w14:textId="11B07BA2" w:rsidR="0047037F" w:rsidRDefault="0047037F" w:rsidP="002B2FD9">
      <w:pPr>
        <w:pStyle w:val="Heading4"/>
      </w:pPr>
      <w:r>
        <w:t>R14, Grade C</w:t>
      </w:r>
    </w:p>
    <w:p w14:paraId="3A83AEF3" w14:textId="58608044" w:rsidR="0047037F" w:rsidRDefault="0047037F" w:rsidP="0047037F">
      <w:pPr>
        <w:pStyle w:val="Body"/>
      </w:pPr>
      <w:r>
        <w:t>In adult patients undergoing surgery in which substantial blood loss (blood loss of a volume great enough to induce anaemia that would require therapy) is anticipated, the use of ANH should be considered (Grade C).</w:t>
      </w:r>
    </w:p>
    <w:p w14:paraId="408C1077" w14:textId="6525BFE1" w:rsidR="0047037F" w:rsidRDefault="0047037F" w:rsidP="0047037F">
      <w:pPr>
        <w:pStyle w:val="Heading3"/>
      </w:pPr>
      <w:r>
        <w:t>Practice point – acute normovolemic haemodilution</w:t>
      </w:r>
    </w:p>
    <w:p w14:paraId="24BCC9ED" w14:textId="75927331" w:rsidR="0047037F" w:rsidRDefault="0047037F" w:rsidP="0047037F">
      <w:pPr>
        <w:pStyle w:val="Heading4"/>
      </w:pPr>
      <w:r>
        <w:t>PP12</w:t>
      </w:r>
    </w:p>
    <w:p w14:paraId="0E5A114B" w14:textId="4EEC2A9A" w:rsidR="0047037F" w:rsidRDefault="0047037F" w:rsidP="0047037F">
      <w:pPr>
        <w:pStyle w:val="Body"/>
      </w:pPr>
      <w:r>
        <w:t>ANH requires a local procedural guideline that addresses patient selection, vascular access, volume of blood withdrawn, choice of replacement fluid, blood storage and handling and timing of reinfusion.</w:t>
      </w:r>
    </w:p>
    <w:p w14:paraId="552B297D" w14:textId="0A1C46D4" w:rsidR="0047037F" w:rsidRDefault="0047037F" w:rsidP="0047037F">
      <w:pPr>
        <w:pStyle w:val="Heading3"/>
      </w:pPr>
      <w:r>
        <w:t>Recommendation – intraoperative cell salvage</w:t>
      </w:r>
    </w:p>
    <w:p w14:paraId="34D53DB5" w14:textId="1C82C528" w:rsidR="0047037F" w:rsidRPr="008F5214" w:rsidRDefault="0047037F" w:rsidP="002B2FD9">
      <w:pPr>
        <w:pStyle w:val="Heading4"/>
      </w:pPr>
      <w:r>
        <w:t>R15, Grade C</w:t>
      </w:r>
    </w:p>
    <w:p w14:paraId="47BDBC71" w14:textId="2870BF4C" w:rsidR="0047037F" w:rsidRDefault="0047037F" w:rsidP="0047037F">
      <w:pPr>
        <w:pStyle w:val="Body"/>
      </w:pPr>
      <w:r>
        <w:t xml:space="preserve">In adult patients undergoing surgery in which substantial blood loss (blood loss of a volume great enough to induce anaemia that would require therapy) is anticipated, intraoperative cell salvage is recommended (Grade C). </w:t>
      </w:r>
    </w:p>
    <w:p w14:paraId="1D86D85A" w14:textId="127FAE2A" w:rsidR="0047037F" w:rsidRDefault="0047037F" w:rsidP="0047037F">
      <w:pPr>
        <w:pStyle w:val="Heading3"/>
      </w:pPr>
      <w:r>
        <w:t>Practice point– intraoperative cell salvage</w:t>
      </w:r>
    </w:p>
    <w:p w14:paraId="1653ECBC" w14:textId="744E5014" w:rsidR="0047037F" w:rsidRDefault="0047037F" w:rsidP="002B2FD9">
      <w:pPr>
        <w:pStyle w:val="Heading4"/>
      </w:pPr>
      <w:r>
        <w:t>PP13</w:t>
      </w:r>
    </w:p>
    <w:p w14:paraId="56972BB5" w14:textId="77777777" w:rsidR="00E14C18" w:rsidRDefault="0047037F" w:rsidP="000E4493">
      <w:pPr>
        <w:pStyle w:val="Body"/>
      </w:pPr>
      <w:r>
        <w:t>Intraoperative cell salvage requires a local procedural guideline that should include patient selection, use of equipment and reinfusion. All staff operating cell salvage devices should receive appropriate training</w:t>
      </w:r>
      <w:r w:rsidR="00E14C18">
        <w:t xml:space="preserve">, to ensure knowledge of the technique and proficiency in using it. </w:t>
      </w:r>
    </w:p>
    <w:p w14:paraId="3620671A" w14:textId="77777777" w:rsidR="00E14C18" w:rsidRPr="008F5214" w:rsidRDefault="00E14C18" w:rsidP="002B2FD9">
      <w:pPr>
        <w:pStyle w:val="Heading3"/>
      </w:pPr>
      <w:r>
        <w:lastRenderedPageBreak/>
        <w:t>Recommendation – haemostasis analysis</w:t>
      </w:r>
    </w:p>
    <w:p w14:paraId="599F2FA3" w14:textId="77777777" w:rsidR="00E14C18" w:rsidRPr="008F5214" w:rsidRDefault="00E14C18" w:rsidP="002B2FD9">
      <w:pPr>
        <w:pStyle w:val="Heading4"/>
      </w:pPr>
      <w:r>
        <w:t>R16, Grade C</w:t>
      </w:r>
    </w:p>
    <w:p w14:paraId="7B62F564" w14:textId="1ED2F057" w:rsidR="0047037F" w:rsidRDefault="00E14C18" w:rsidP="000E4493">
      <w:pPr>
        <w:pStyle w:val="Body"/>
      </w:pPr>
      <w:r>
        <w:t xml:space="preserve">In adult patients undergoing cardiac surgery, the use of TEG should be considered (Grade C). </w:t>
      </w:r>
      <w:r w:rsidR="0047037F">
        <w:t xml:space="preserve"> </w:t>
      </w:r>
    </w:p>
    <w:p w14:paraId="7EC31EE7" w14:textId="08677D50" w:rsidR="000E4493" w:rsidRDefault="00E14C18" w:rsidP="002B2FD9">
      <w:pPr>
        <w:pStyle w:val="Heading3"/>
      </w:pPr>
      <w:r w:rsidRPr="008F5214">
        <w:t>Recommendations</w:t>
      </w:r>
      <w:r>
        <w:t xml:space="preserve"> – medication (tranexamic acid)</w:t>
      </w:r>
    </w:p>
    <w:p w14:paraId="38CC50A7" w14:textId="6F53F16B" w:rsidR="00E14C18" w:rsidRPr="008F5214" w:rsidRDefault="00E14C18" w:rsidP="002B2FD9">
      <w:pPr>
        <w:pStyle w:val="Heading4"/>
        <w:rPr>
          <w:bCs w:val="0"/>
        </w:rPr>
      </w:pPr>
      <w:r>
        <w:t>R17, Grade A</w:t>
      </w:r>
    </w:p>
    <w:p w14:paraId="02618837" w14:textId="21849EBC" w:rsidR="00E14C18" w:rsidRDefault="00E14C18" w:rsidP="00E14C18">
      <w:pPr>
        <w:pStyle w:val="Body"/>
      </w:pPr>
      <w:r>
        <w:t>In adult patients undergoing cardiac surgery, the use of intravenous tranexamic acid is recommended (Grade A).</w:t>
      </w:r>
    </w:p>
    <w:p w14:paraId="77CA65C4" w14:textId="57202CA2" w:rsidR="00E14C18" w:rsidRDefault="00E14C18" w:rsidP="00E14C18">
      <w:pPr>
        <w:pStyle w:val="Body"/>
      </w:pPr>
      <w:r>
        <w:t>R18, Grade B</w:t>
      </w:r>
    </w:p>
    <w:p w14:paraId="085D1D4B" w14:textId="5C2E83DF" w:rsidR="00E14C18" w:rsidRPr="002B2FD9" w:rsidRDefault="00E14C18">
      <w:pPr>
        <w:pStyle w:val="Body"/>
      </w:pPr>
      <w:r>
        <w:t>In adult patients undergoing noncardiac surgery, if substantial blood loss (blood loss of a volume great enough to induce anaemia that would require therapy) is anticipated, the use of intravenous tranexamic acid is recommended (Grade B).</w:t>
      </w:r>
    </w:p>
    <w:p w14:paraId="1E85858C" w14:textId="053F0A1B" w:rsidR="000E4493" w:rsidRDefault="00E14C18" w:rsidP="00E14C18">
      <w:pPr>
        <w:pStyle w:val="Heading3"/>
      </w:pPr>
      <w:r>
        <w:t>Recommendation – medication (epsilon-aminocaproic acid)</w:t>
      </w:r>
    </w:p>
    <w:p w14:paraId="328BFCA8" w14:textId="69D0AF66" w:rsidR="00E14C18" w:rsidRDefault="00E14C18" w:rsidP="00E14C18">
      <w:pPr>
        <w:pStyle w:val="Heading4"/>
      </w:pPr>
      <w:r>
        <w:t>R19, Grade C</w:t>
      </w:r>
    </w:p>
    <w:p w14:paraId="05E5D4D8" w14:textId="5196026B" w:rsidR="00E14C18" w:rsidRDefault="00E14C18" w:rsidP="00E14C18">
      <w:pPr>
        <w:pStyle w:val="Body"/>
      </w:pPr>
      <w:r>
        <w:t>In adult patients undergoing cardiac surgery, the use of intravenous epsilon-aminocaproic acid is recommended (Grade C).</w:t>
      </w:r>
    </w:p>
    <w:p w14:paraId="02E79F7D" w14:textId="2259CAC3" w:rsidR="00E14C18" w:rsidRPr="008F5214" w:rsidRDefault="00E14C18" w:rsidP="002B2FD9">
      <w:pPr>
        <w:pStyle w:val="Heading2"/>
      </w:pPr>
      <w:bookmarkStart w:id="148" w:name="_Toc75325173"/>
      <w:bookmarkStart w:id="149" w:name="_Toc78958814"/>
      <w:r>
        <w:t>Postoperative</w:t>
      </w:r>
      <w:bookmarkEnd w:id="148"/>
      <w:bookmarkEnd w:id="149"/>
    </w:p>
    <w:p w14:paraId="036108A1" w14:textId="5E736F72" w:rsidR="000E4493" w:rsidRPr="008843F0" w:rsidRDefault="00E14C18" w:rsidP="002B2FD9">
      <w:pPr>
        <w:pStyle w:val="Heading3"/>
      </w:pPr>
      <w:r>
        <w:t>Recommendation – postoperative cell salvage</w:t>
      </w:r>
    </w:p>
    <w:p w14:paraId="3C94C7E1" w14:textId="0D8746C1" w:rsidR="000E4493" w:rsidRDefault="00E14C18" w:rsidP="002B2FD9">
      <w:pPr>
        <w:pStyle w:val="Heading4"/>
      </w:pPr>
      <w:r>
        <w:t>R20, Grade C</w:t>
      </w:r>
    </w:p>
    <w:p w14:paraId="5E29646E" w14:textId="32959390" w:rsidR="00EB4BC7" w:rsidRDefault="00E14C18" w:rsidP="002B2FD9">
      <w:pPr>
        <w:pStyle w:val="Body"/>
      </w:pPr>
      <w:r>
        <w:t>In adult patients undergoing cardiac surgery or total knee arthroplasty, in whom significant postoperative blood loss is anticipated, postoperative cell salvage should be considered (Grade C).</w:t>
      </w:r>
      <w:bookmarkEnd w:id="6"/>
    </w:p>
    <w:p w14:paraId="2F4AD1A2" w14:textId="4B94E1A7" w:rsidR="0081407B" w:rsidRDefault="0081407B">
      <w:pPr>
        <w:spacing w:after="0" w:line="240" w:lineRule="auto"/>
        <w:rPr>
          <w:rFonts w:eastAsia="Times"/>
        </w:rPr>
      </w:pPr>
      <w:r>
        <w:br w:type="page"/>
      </w:r>
    </w:p>
    <w:p w14:paraId="257CEA23" w14:textId="77777777" w:rsidR="0081407B" w:rsidRPr="0081407B" w:rsidRDefault="0081407B" w:rsidP="00F36034">
      <w:pPr>
        <w:pStyle w:val="Heading1"/>
      </w:pPr>
      <w:bookmarkStart w:id="150" w:name="_Toc78958815"/>
      <w:r w:rsidRPr="0081407B">
        <w:lastRenderedPageBreak/>
        <w:t>Appendix 7: Impact of anaemia severity on length of stay and readmission rates</w:t>
      </w:r>
      <w:bookmarkEnd w:id="150"/>
    </w:p>
    <w:p w14:paraId="6F31B7E1" w14:textId="4AEB3CD8" w:rsidR="0081407B" w:rsidRDefault="0081407B" w:rsidP="0081407B">
      <w:pPr>
        <w:pStyle w:val="Body"/>
      </w:pPr>
      <w:r w:rsidRPr="0081407B">
        <w:t>Anaemia severity determined by WHO definitions</w:t>
      </w:r>
      <w:r>
        <w:t>.</w:t>
      </w:r>
    </w:p>
    <w:p w14:paraId="442EF7DD" w14:textId="501C77EE" w:rsidR="0081407B" w:rsidRPr="0081407B" w:rsidRDefault="0081407B" w:rsidP="0081407B">
      <w:pPr>
        <w:keepNext/>
        <w:keepLines/>
        <w:spacing w:before="360" w:line="340" w:lineRule="atLeast"/>
        <w:outlineLvl w:val="1"/>
        <w:rPr>
          <w:b/>
          <w:color w:val="53565A"/>
          <w:sz w:val="32"/>
          <w:szCs w:val="28"/>
        </w:rPr>
      </w:pPr>
      <w:r w:rsidRPr="0081407B">
        <w:rPr>
          <w:b/>
          <w:color w:val="53565A"/>
          <w:sz w:val="32"/>
          <w:szCs w:val="28"/>
        </w:rPr>
        <w:t>Anaemia severity at discharge and impact on readmission</w:t>
      </w:r>
    </w:p>
    <w:tbl>
      <w:tblPr>
        <w:tblStyle w:val="TableGrid51"/>
        <w:tblW w:w="0" w:type="auto"/>
        <w:tblLook w:val="04A0" w:firstRow="1" w:lastRow="0" w:firstColumn="1" w:lastColumn="0" w:noHBand="0" w:noVBand="1"/>
      </w:tblPr>
      <w:tblGrid>
        <w:gridCol w:w="3431"/>
        <w:gridCol w:w="2602"/>
        <w:gridCol w:w="2603"/>
      </w:tblGrid>
      <w:tr w:rsidR="0081407B" w:rsidRPr="0081407B" w14:paraId="2A529AC9" w14:textId="77777777" w:rsidTr="00C172B2">
        <w:trPr>
          <w:tblHeader/>
        </w:trPr>
        <w:tc>
          <w:tcPr>
            <w:tcW w:w="3431" w:type="dxa"/>
            <w:vAlign w:val="center"/>
          </w:tcPr>
          <w:p w14:paraId="58E7A722" w14:textId="77777777" w:rsidR="0081407B" w:rsidRPr="0081407B" w:rsidRDefault="0081407B" w:rsidP="0081407B">
            <w:pPr>
              <w:spacing w:before="80" w:after="60" w:line="240" w:lineRule="auto"/>
              <w:rPr>
                <w:b/>
                <w:color w:val="53565A"/>
              </w:rPr>
            </w:pPr>
            <w:r w:rsidRPr="0081407B">
              <w:rPr>
                <w:b/>
                <w:color w:val="53565A"/>
              </w:rPr>
              <w:t>Anaemia severity</w:t>
            </w:r>
          </w:p>
        </w:tc>
        <w:tc>
          <w:tcPr>
            <w:tcW w:w="2602" w:type="dxa"/>
          </w:tcPr>
          <w:p w14:paraId="4A03B8FD" w14:textId="77777777" w:rsidR="0081407B" w:rsidRPr="0081407B" w:rsidRDefault="0081407B" w:rsidP="0081407B">
            <w:pPr>
              <w:spacing w:before="80" w:after="60" w:line="240" w:lineRule="auto"/>
              <w:rPr>
                <w:b/>
                <w:color w:val="53565A"/>
              </w:rPr>
            </w:pPr>
            <w:r w:rsidRPr="0081407B">
              <w:rPr>
                <w:b/>
                <w:color w:val="53565A"/>
              </w:rPr>
              <w:t>Total patients</w:t>
            </w:r>
          </w:p>
        </w:tc>
        <w:tc>
          <w:tcPr>
            <w:tcW w:w="2603" w:type="dxa"/>
            <w:vAlign w:val="center"/>
          </w:tcPr>
          <w:p w14:paraId="0BDCA27F" w14:textId="77777777" w:rsidR="0081407B" w:rsidRPr="0081407B" w:rsidRDefault="0081407B" w:rsidP="0081407B">
            <w:pPr>
              <w:spacing w:before="80" w:after="60" w:line="240" w:lineRule="auto"/>
              <w:rPr>
                <w:b/>
                <w:color w:val="53565A"/>
              </w:rPr>
            </w:pPr>
            <w:r w:rsidRPr="0081407B">
              <w:rPr>
                <w:b/>
                <w:color w:val="53565A"/>
              </w:rPr>
              <w:t>Number of patients readmitted (%)</w:t>
            </w:r>
          </w:p>
        </w:tc>
      </w:tr>
      <w:tr w:rsidR="0081407B" w:rsidRPr="0081407B" w14:paraId="6B6CAB68" w14:textId="77777777" w:rsidTr="00C172B2">
        <w:tc>
          <w:tcPr>
            <w:tcW w:w="3431" w:type="dxa"/>
          </w:tcPr>
          <w:p w14:paraId="3E08D0C9" w14:textId="77777777" w:rsidR="0081407B" w:rsidRPr="0081407B" w:rsidRDefault="0081407B" w:rsidP="0081407B">
            <w:pPr>
              <w:spacing w:before="80" w:after="60" w:line="240" w:lineRule="auto"/>
            </w:pPr>
            <w:r w:rsidRPr="0081407B">
              <w:t>Non-anaemia</w:t>
            </w:r>
          </w:p>
        </w:tc>
        <w:tc>
          <w:tcPr>
            <w:tcW w:w="2602" w:type="dxa"/>
          </w:tcPr>
          <w:p w14:paraId="733E7899" w14:textId="77777777" w:rsidR="0081407B" w:rsidRPr="0081407B" w:rsidRDefault="0081407B" w:rsidP="0081407B">
            <w:pPr>
              <w:spacing w:before="80" w:after="60" w:line="240" w:lineRule="auto"/>
              <w:jc w:val="right"/>
            </w:pPr>
            <w:r w:rsidRPr="0081407B">
              <w:t>338</w:t>
            </w:r>
          </w:p>
        </w:tc>
        <w:tc>
          <w:tcPr>
            <w:tcW w:w="2603" w:type="dxa"/>
          </w:tcPr>
          <w:p w14:paraId="3EA56DA8" w14:textId="77777777" w:rsidR="0081407B" w:rsidRPr="0081407B" w:rsidRDefault="0081407B" w:rsidP="0081407B">
            <w:pPr>
              <w:spacing w:before="80" w:after="60" w:line="240" w:lineRule="auto"/>
              <w:jc w:val="right"/>
            </w:pPr>
            <w:r w:rsidRPr="0081407B">
              <w:t>12 (4%)</w:t>
            </w:r>
          </w:p>
        </w:tc>
      </w:tr>
      <w:tr w:rsidR="0081407B" w:rsidRPr="0081407B" w14:paraId="58771B95" w14:textId="77777777" w:rsidTr="00C172B2">
        <w:tc>
          <w:tcPr>
            <w:tcW w:w="3431" w:type="dxa"/>
          </w:tcPr>
          <w:p w14:paraId="42F8ABC4" w14:textId="77777777" w:rsidR="0081407B" w:rsidRPr="0081407B" w:rsidRDefault="0081407B" w:rsidP="0081407B">
            <w:pPr>
              <w:spacing w:before="80" w:after="60" w:line="240" w:lineRule="auto"/>
            </w:pPr>
            <w:r w:rsidRPr="0081407B">
              <w:t>Mild</w:t>
            </w:r>
          </w:p>
        </w:tc>
        <w:tc>
          <w:tcPr>
            <w:tcW w:w="2602" w:type="dxa"/>
          </w:tcPr>
          <w:p w14:paraId="58E26920" w14:textId="77777777" w:rsidR="0081407B" w:rsidRPr="0081407B" w:rsidRDefault="0081407B" w:rsidP="0081407B">
            <w:pPr>
              <w:spacing w:before="80" w:after="60" w:line="240" w:lineRule="auto"/>
              <w:jc w:val="right"/>
            </w:pPr>
            <w:r w:rsidRPr="0081407B">
              <w:t>432</w:t>
            </w:r>
          </w:p>
        </w:tc>
        <w:tc>
          <w:tcPr>
            <w:tcW w:w="2603" w:type="dxa"/>
          </w:tcPr>
          <w:p w14:paraId="00E7D230" w14:textId="77777777" w:rsidR="0081407B" w:rsidRPr="0081407B" w:rsidRDefault="0081407B" w:rsidP="0081407B">
            <w:pPr>
              <w:spacing w:before="80" w:after="60" w:line="240" w:lineRule="auto"/>
              <w:jc w:val="right"/>
            </w:pPr>
            <w:r w:rsidRPr="0081407B">
              <w:t>18 (4%)</w:t>
            </w:r>
          </w:p>
        </w:tc>
      </w:tr>
      <w:tr w:rsidR="0081407B" w:rsidRPr="0081407B" w14:paraId="49BDFDCF" w14:textId="77777777" w:rsidTr="00C172B2">
        <w:tc>
          <w:tcPr>
            <w:tcW w:w="3431" w:type="dxa"/>
          </w:tcPr>
          <w:p w14:paraId="6C69FA0B" w14:textId="77777777" w:rsidR="0081407B" w:rsidRPr="0081407B" w:rsidRDefault="0081407B" w:rsidP="0081407B">
            <w:pPr>
              <w:spacing w:before="80" w:after="60" w:line="240" w:lineRule="auto"/>
            </w:pPr>
            <w:r w:rsidRPr="0081407B">
              <w:t>Moderate</w:t>
            </w:r>
          </w:p>
        </w:tc>
        <w:tc>
          <w:tcPr>
            <w:tcW w:w="2602" w:type="dxa"/>
          </w:tcPr>
          <w:p w14:paraId="38AA7846" w14:textId="77777777" w:rsidR="0081407B" w:rsidRPr="0081407B" w:rsidRDefault="0081407B" w:rsidP="0081407B">
            <w:pPr>
              <w:spacing w:before="80" w:after="60" w:line="240" w:lineRule="auto"/>
              <w:jc w:val="right"/>
            </w:pPr>
            <w:r w:rsidRPr="0081407B">
              <w:t>574</w:t>
            </w:r>
          </w:p>
        </w:tc>
        <w:tc>
          <w:tcPr>
            <w:tcW w:w="2603" w:type="dxa"/>
          </w:tcPr>
          <w:p w14:paraId="7ED4EE11" w14:textId="77777777" w:rsidR="0081407B" w:rsidRPr="0081407B" w:rsidRDefault="0081407B" w:rsidP="0081407B">
            <w:pPr>
              <w:spacing w:before="80" w:after="60" w:line="240" w:lineRule="auto"/>
              <w:jc w:val="right"/>
            </w:pPr>
            <w:r w:rsidRPr="0081407B">
              <w:t>38 (7%)</w:t>
            </w:r>
          </w:p>
        </w:tc>
      </w:tr>
      <w:tr w:rsidR="0081407B" w:rsidRPr="0081407B" w14:paraId="4E4E95C9" w14:textId="77777777" w:rsidTr="00C172B2">
        <w:tc>
          <w:tcPr>
            <w:tcW w:w="3431" w:type="dxa"/>
          </w:tcPr>
          <w:p w14:paraId="18BEBCF4" w14:textId="77777777" w:rsidR="0081407B" w:rsidRPr="0081407B" w:rsidRDefault="0081407B" w:rsidP="0081407B">
            <w:pPr>
              <w:spacing w:before="80" w:after="60" w:line="240" w:lineRule="auto"/>
            </w:pPr>
            <w:r w:rsidRPr="0081407B">
              <w:t>Severe</w:t>
            </w:r>
          </w:p>
        </w:tc>
        <w:tc>
          <w:tcPr>
            <w:tcW w:w="2602" w:type="dxa"/>
          </w:tcPr>
          <w:p w14:paraId="68638C71" w14:textId="77777777" w:rsidR="0081407B" w:rsidRPr="0081407B" w:rsidRDefault="0081407B" w:rsidP="0081407B">
            <w:pPr>
              <w:spacing w:before="80" w:after="60" w:line="240" w:lineRule="auto"/>
              <w:jc w:val="right"/>
            </w:pPr>
            <w:r w:rsidRPr="0081407B">
              <w:t>20</w:t>
            </w:r>
          </w:p>
        </w:tc>
        <w:tc>
          <w:tcPr>
            <w:tcW w:w="2603" w:type="dxa"/>
          </w:tcPr>
          <w:p w14:paraId="4E0FC6E8" w14:textId="77777777" w:rsidR="0081407B" w:rsidRPr="0081407B" w:rsidRDefault="0081407B" w:rsidP="0081407B">
            <w:pPr>
              <w:spacing w:before="80" w:after="60" w:line="240" w:lineRule="auto"/>
              <w:jc w:val="right"/>
            </w:pPr>
            <w:r w:rsidRPr="0081407B">
              <w:t>4 (20%)</w:t>
            </w:r>
          </w:p>
        </w:tc>
      </w:tr>
      <w:tr w:rsidR="0081407B" w:rsidRPr="0081407B" w14:paraId="7B41B39B" w14:textId="77777777" w:rsidTr="00C172B2">
        <w:tc>
          <w:tcPr>
            <w:tcW w:w="3431" w:type="dxa"/>
          </w:tcPr>
          <w:p w14:paraId="37D52240" w14:textId="77777777" w:rsidR="0081407B" w:rsidRPr="0081407B" w:rsidRDefault="0081407B" w:rsidP="0081407B">
            <w:pPr>
              <w:spacing w:before="80" w:after="60" w:line="240" w:lineRule="auto"/>
            </w:pPr>
            <w:r w:rsidRPr="0081407B">
              <w:t>No haemoglobin level available</w:t>
            </w:r>
          </w:p>
        </w:tc>
        <w:tc>
          <w:tcPr>
            <w:tcW w:w="2602" w:type="dxa"/>
          </w:tcPr>
          <w:p w14:paraId="068FD01D" w14:textId="77777777" w:rsidR="0081407B" w:rsidRPr="0081407B" w:rsidRDefault="0081407B" w:rsidP="0081407B">
            <w:pPr>
              <w:spacing w:before="80" w:after="60" w:line="240" w:lineRule="auto"/>
              <w:jc w:val="right"/>
            </w:pPr>
            <w:r w:rsidRPr="0081407B">
              <w:t>177</w:t>
            </w:r>
          </w:p>
        </w:tc>
        <w:tc>
          <w:tcPr>
            <w:tcW w:w="2603" w:type="dxa"/>
          </w:tcPr>
          <w:p w14:paraId="562F9A5D" w14:textId="77777777" w:rsidR="0081407B" w:rsidRPr="0081407B" w:rsidRDefault="0081407B" w:rsidP="0081407B">
            <w:pPr>
              <w:spacing w:before="80" w:after="60" w:line="240" w:lineRule="auto"/>
              <w:jc w:val="right"/>
            </w:pPr>
            <w:r w:rsidRPr="0081407B">
              <w:t>2 (1%)</w:t>
            </w:r>
          </w:p>
        </w:tc>
      </w:tr>
      <w:tr w:rsidR="0081407B" w:rsidRPr="0081407B" w14:paraId="208841BC" w14:textId="77777777" w:rsidTr="00C172B2">
        <w:tc>
          <w:tcPr>
            <w:tcW w:w="3431" w:type="dxa"/>
          </w:tcPr>
          <w:p w14:paraId="229428A3" w14:textId="77777777" w:rsidR="0081407B" w:rsidRPr="0081407B" w:rsidRDefault="0081407B" w:rsidP="0081407B">
            <w:pPr>
              <w:spacing w:before="80" w:after="60" w:line="240" w:lineRule="auto"/>
              <w:rPr>
                <w:b/>
              </w:rPr>
            </w:pPr>
            <w:r w:rsidRPr="0081407B">
              <w:rPr>
                <w:b/>
              </w:rPr>
              <w:t>All patients</w:t>
            </w:r>
          </w:p>
        </w:tc>
        <w:tc>
          <w:tcPr>
            <w:tcW w:w="2602" w:type="dxa"/>
          </w:tcPr>
          <w:p w14:paraId="28E7BB46" w14:textId="77777777" w:rsidR="0081407B" w:rsidRPr="0081407B" w:rsidRDefault="0081407B" w:rsidP="0081407B">
            <w:pPr>
              <w:spacing w:before="80" w:after="60" w:line="240" w:lineRule="auto"/>
              <w:jc w:val="right"/>
              <w:rPr>
                <w:b/>
              </w:rPr>
            </w:pPr>
            <w:r w:rsidRPr="0081407B">
              <w:rPr>
                <w:b/>
              </w:rPr>
              <w:t>1541</w:t>
            </w:r>
          </w:p>
        </w:tc>
        <w:tc>
          <w:tcPr>
            <w:tcW w:w="2603" w:type="dxa"/>
          </w:tcPr>
          <w:p w14:paraId="5D083FE6" w14:textId="77777777" w:rsidR="0081407B" w:rsidRPr="0081407B" w:rsidRDefault="0081407B" w:rsidP="0081407B">
            <w:pPr>
              <w:spacing w:before="80" w:after="60" w:line="240" w:lineRule="auto"/>
              <w:jc w:val="right"/>
              <w:rPr>
                <w:b/>
              </w:rPr>
            </w:pPr>
            <w:r w:rsidRPr="0081407B">
              <w:rPr>
                <w:b/>
              </w:rPr>
              <w:t>74 (5%)</w:t>
            </w:r>
          </w:p>
        </w:tc>
      </w:tr>
    </w:tbl>
    <w:p w14:paraId="264E8158" w14:textId="77777777" w:rsidR="0081407B" w:rsidRPr="0081407B" w:rsidRDefault="0081407B" w:rsidP="0081407B">
      <w:pPr>
        <w:rPr>
          <w:rFonts w:cs="Arial"/>
        </w:rPr>
      </w:pPr>
    </w:p>
    <w:p w14:paraId="2CC4E1B7" w14:textId="77777777" w:rsidR="0081407B" w:rsidRPr="0081407B" w:rsidRDefault="0081407B" w:rsidP="0081407B">
      <w:pPr>
        <w:keepNext/>
        <w:keepLines/>
        <w:spacing w:before="360" w:line="340" w:lineRule="atLeast"/>
        <w:outlineLvl w:val="1"/>
        <w:rPr>
          <w:b/>
          <w:color w:val="53565A"/>
          <w:sz w:val="32"/>
          <w:szCs w:val="28"/>
        </w:rPr>
      </w:pPr>
      <w:r w:rsidRPr="0081407B">
        <w:rPr>
          <w:b/>
          <w:color w:val="53565A"/>
          <w:sz w:val="32"/>
          <w:szCs w:val="28"/>
        </w:rPr>
        <w:t xml:space="preserve">Anaemia severity closest </w:t>
      </w:r>
      <w:proofErr w:type="gramStart"/>
      <w:r w:rsidRPr="0081407B">
        <w:rPr>
          <w:b/>
          <w:color w:val="53565A"/>
          <w:sz w:val="32"/>
          <w:szCs w:val="28"/>
        </w:rPr>
        <w:t>to day</w:t>
      </w:r>
      <w:proofErr w:type="gramEnd"/>
      <w:r w:rsidRPr="0081407B">
        <w:rPr>
          <w:b/>
          <w:color w:val="53565A"/>
          <w:sz w:val="32"/>
          <w:szCs w:val="28"/>
        </w:rPr>
        <w:t xml:space="preserve"> of surgery and impact on length of stay (average, range)</w:t>
      </w:r>
    </w:p>
    <w:tbl>
      <w:tblPr>
        <w:tblStyle w:val="TableGrid51"/>
        <w:tblW w:w="0" w:type="auto"/>
        <w:tblLook w:val="04A0" w:firstRow="1" w:lastRow="0" w:firstColumn="1" w:lastColumn="0" w:noHBand="0" w:noVBand="1"/>
      </w:tblPr>
      <w:tblGrid>
        <w:gridCol w:w="1919"/>
        <w:gridCol w:w="1747"/>
        <w:gridCol w:w="1747"/>
        <w:gridCol w:w="1780"/>
        <w:gridCol w:w="1748"/>
      </w:tblGrid>
      <w:tr w:rsidR="0081407B" w:rsidRPr="0081407B" w14:paraId="329DB7F5" w14:textId="77777777" w:rsidTr="00C172B2">
        <w:trPr>
          <w:tblHeader/>
        </w:trPr>
        <w:tc>
          <w:tcPr>
            <w:tcW w:w="1919" w:type="dxa"/>
            <w:vAlign w:val="center"/>
          </w:tcPr>
          <w:p w14:paraId="1813EDAB" w14:textId="77777777" w:rsidR="0081407B" w:rsidRPr="0081407B" w:rsidRDefault="0081407B" w:rsidP="0081407B">
            <w:pPr>
              <w:spacing w:before="80" w:after="60" w:line="240" w:lineRule="auto"/>
              <w:rPr>
                <w:b/>
                <w:color w:val="53565A"/>
              </w:rPr>
            </w:pPr>
            <w:r w:rsidRPr="0081407B">
              <w:rPr>
                <w:b/>
                <w:color w:val="53565A"/>
              </w:rPr>
              <w:t>Anaemia severity</w:t>
            </w:r>
          </w:p>
        </w:tc>
        <w:tc>
          <w:tcPr>
            <w:tcW w:w="1747" w:type="dxa"/>
          </w:tcPr>
          <w:p w14:paraId="4F9177D6" w14:textId="77777777" w:rsidR="0081407B" w:rsidRPr="0081407B" w:rsidRDefault="0081407B" w:rsidP="0081407B">
            <w:pPr>
              <w:spacing w:before="80" w:after="60" w:line="240" w:lineRule="auto"/>
              <w:rPr>
                <w:b/>
                <w:color w:val="53565A"/>
              </w:rPr>
            </w:pPr>
            <w:r w:rsidRPr="0081407B">
              <w:rPr>
                <w:b/>
                <w:color w:val="53565A"/>
              </w:rPr>
              <w:t>Orthopaedics</w:t>
            </w:r>
          </w:p>
        </w:tc>
        <w:tc>
          <w:tcPr>
            <w:tcW w:w="1747" w:type="dxa"/>
          </w:tcPr>
          <w:p w14:paraId="1AAF27DC" w14:textId="77777777" w:rsidR="0081407B" w:rsidRPr="0081407B" w:rsidRDefault="0081407B" w:rsidP="0081407B">
            <w:pPr>
              <w:spacing w:before="80" w:after="60" w:line="240" w:lineRule="auto"/>
              <w:rPr>
                <w:b/>
                <w:color w:val="53565A"/>
              </w:rPr>
            </w:pPr>
            <w:r w:rsidRPr="0081407B">
              <w:rPr>
                <w:b/>
                <w:color w:val="53565A"/>
              </w:rPr>
              <w:t>Gynaecology</w:t>
            </w:r>
          </w:p>
        </w:tc>
        <w:tc>
          <w:tcPr>
            <w:tcW w:w="1747" w:type="dxa"/>
          </w:tcPr>
          <w:p w14:paraId="4C98D19A" w14:textId="77777777" w:rsidR="0081407B" w:rsidRPr="0081407B" w:rsidRDefault="0081407B" w:rsidP="0081407B">
            <w:pPr>
              <w:spacing w:before="80" w:after="60" w:line="240" w:lineRule="auto"/>
              <w:rPr>
                <w:b/>
                <w:color w:val="53565A"/>
              </w:rPr>
            </w:pPr>
            <w:r w:rsidRPr="0081407B">
              <w:rPr>
                <w:b/>
                <w:color w:val="53565A"/>
              </w:rPr>
              <w:t>Major gastrointestinal</w:t>
            </w:r>
          </w:p>
        </w:tc>
        <w:tc>
          <w:tcPr>
            <w:tcW w:w="1748" w:type="dxa"/>
          </w:tcPr>
          <w:p w14:paraId="1DADE101" w14:textId="77777777" w:rsidR="0081407B" w:rsidRPr="0081407B" w:rsidRDefault="0081407B" w:rsidP="0081407B">
            <w:pPr>
              <w:spacing w:before="80" w:after="60" w:line="240" w:lineRule="auto"/>
              <w:rPr>
                <w:b/>
                <w:color w:val="53565A"/>
              </w:rPr>
            </w:pPr>
            <w:r w:rsidRPr="0081407B">
              <w:rPr>
                <w:b/>
                <w:color w:val="53565A"/>
              </w:rPr>
              <w:t>Cardiothoracic</w:t>
            </w:r>
          </w:p>
        </w:tc>
      </w:tr>
      <w:tr w:rsidR="0081407B" w:rsidRPr="0081407B" w14:paraId="5B4C3783" w14:textId="77777777" w:rsidTr="00C172B2">
        <w:tc>
          <w:tcPr>
            <w:tcW w:w="1919" w:type="dxa"/>
          </w:tcPr>
          <w:p w14:paraId="67A70E9D" w14:textId="77777777" w:rsidR="0081407B" w:rsidRPr="0081407B" w:rsidRDefault="0081407B" w:rsidP="0081407B">
            <w:pPr>
              <w:spacing w:before="80" w:after="60" w:line="240" w:lineRule="auto"/>
            </w:pPr>
            <w:r w:rsidRPr="0081407B">
              <w:t>Non-anaemia</w:t>
            </w:r>
          </w:p>
        </w:tc>
        <w:tc>
          <w:tcPr>
            <w:tcW w:w="1747" w:type="dxa"/>
          </w:tcPr>
          <w:p w14:paraId="0EE88A5C" w14:textId="77777777" w:rsidR="0081407B" w:rsidRPr="0081407B" w:rsidRDefault="0081407B" w:rsidP="0081407B">
            <w:pPr>
              <w:spacing w:before="80" w:after="60" w:line="240" w:lineRule="auto"/>
              <w:jc w:val="right"/>
            </w:pPr>
            <w:r w:rsidRPr="0081407B">
              <w:t>4.8 (1 – 68)</w:t>
            </w:r>
          </w:p>
        </w:tc>
        <w:tc>
          <w:tcPr>
            <w:tcW w:w="1747" w:type="dxa"/>
          </w:tcPr>
          <w:p w14:paraId="0A109F6D" w14:textId="77777777" w:rsidR="0081407B" w:rsidRPr="0081407B" w:rsidRDefault="0081407B" w:rsidP="0081407B">
            <w:pPr>
              <w:spacing w:before="80" w:after="60" w:line="240" w:lineRule="auto"/>
              <w:jc w:val="right"/>
            </w:pPr>
            <w:r w:rsidRPr="0081407B">
              <w:t>3.0 (1 – 65)</w:t>
            </w:r>
          </w:p>
        </w:tc>
        <w:tc>
          <w:tcPr>
            <w:tcW w:w="1747" w:type="dxa"/>
          </w:tcPr>
          <w:p w14:paraId="3AC0CE52" w14:textId="77777777" w:rsidR="0081407B" w:rsidRPr="0081407B" w:rsidRDefault="0081407B" w:rsidP="0081407B">
            <w:pPr>
              <w:spacing w:before="80" w:after="60" w:line="240" w:lineRule="auto"/>
              <w:jc w:val="right"/>
            </w:pPr>
            <w:r w:rsidRPr="0081407B">
              <w:t>8.6 (1 – 540</w:t>
            </w:r>
          </w:p>
        </w:tc>
        <w:tc>
          <w:tcPr>
            <w:tcW w:w="1748" w:type="dxa"/>
          </w:tcPr>
          <w:p w14:paraId="11B802B3" w14:textId="77777777" w:rsidR="0081407B" w:rsidRPr="0081407B" w:rsidRDefault="0081407B" w:rsidP="0081407B">
            <w:pPr>
              <w:spacing w:before="80" w:after="60" w:line="240" w:lineRule="auto"/>
              <w:jc w:val="right"/>
            </w:pPr>
            <w:r w:rsidRPr="0081407B">
              <w:t>7.9 (2 – 66)</w:t>
            </w:r>
          </w:p>
        </w:tc>
      </w:tr>
      <w:tr w:rsidR="0081407B" w:rsidRPr="0081407B" w14:paraId="27F9124F" w14:textId="77777777" w:rsidTr="00C172B2">
        <w:tc>
          <w:tcPr>
            <w:tcW w:w="1919" w:type="dxa"/>
          </w:tcPr>
          <w:p w14:paraId="15FA760F" w14:textId="77777777" w:rsidR="0081407B" w:rsidRPr="0081407B" w:rsidRDefault="0081407B" w:rsidP="0081407B">
            <w:pPr>
              <w:spacing w:before="80" w:after="60" w:line="240" w:lineRule="auto"/>
            </w:pPr>
            <w:r w:rsidRPr="0081407B">
              <w:t>Mild</w:t>
            </w:r>
          </w:p>
        </w:tc>
        <w:tc>
          <w:tcPr>
            <w:tcW w:w="1747" w:type="dxa"/>
          </w:tcPr>
          <w:p w14:paraId="448FCC48" w14:textId="77777777" w:rsidR="0081407B" w:rsidRPr="0081407B" w:rsidRDefault="0081407B" w:rsidP="0081407B">
            <w:pPr>
              <w:spacing w:before="80" w:after="60" w:line="240" w:lineRule="auto"/>
              <w:jc w:val="right"/>
            </w:pPr>
            <w:r w:rsidRPr="0081407B">
              <w:t>4.6 (2 – 11)</w:t>
            </w:r>
          </w:p>
        </w:tc>
        <w:tc>
          <w:tcPr>
            <w:tcW w:w="1747" w:type="dxa"/>
          </w:tcPr>
          <w:p w14:paraId="5B9CADC9" w14:textId="77777777" w:rsidR="0081407B" w:rsidRPr="0081407B" w:rsidRDefault="0081407B" w:rsidP="0081407B">
            <w:pPr>
              <w:spacing w:before="80" w:after="60" w:line="240" w:lineRule="auto"/>
              <w:jc w:val="right"/>
            </w:pPr>
            <w:r w:rsidRPr="0081407B">
              <w:t>3.1 (1 – 8)</w:t>
            </w:r>
          </w:p>
        </w:tc>
        <w:tc>
          <w:tcPr>
            <w:tcW w:w="1747" w:type="dxa"/>
          </w:tcPr>
          <w:p w14:paraId="24C3EABD" w14:textId="77777777" w:rsidR="0081407B" w:rsidRPr="0081407B" w:rsidRDefault="0081407B" w:rsidP="0081407B">
            <w:pPr>
              <w:spacing w:before="80" w:after="60" w:line="240" w:lineRule="auto"/>
              <w:jc w:val="right"/>
            </w:pPr>
            <w:r w:rsidRPr="0081407B">
              <w:t>11.2 (1 – 46)</w:t>
            </w:r>
          </w:p>
        </w:tc>
        <w:tc>
          <w:tcPr>
            <w:tcW w:w="1748" w:type="dxa"/>
          </w:tcPr>
          <w:p w14:paraId="0B110BA9" w14:textId="77777777" w:rsidR="0081407B" w:rsidRPr="0081407B" w:rsidRDefault="0081407B" w:rsidP="0081407B">
            <w:pPr>
              <w:spacing w:before="80" w:after="60" w:line="240" w:lineRule="auto"/>
              <w:jc w:val="right"/>
            </w:pPr>
            <w:r w:rsidRPr="0081407B">
              <w:t>8.5 (3 – 17)</w:t>
            </w:r>
          </w:p>
        </w:tc>
      </w:tr>
      <w:tr w:rsidR="0081407B" w:rsidRPr="0081407B" w14:paraId="783964A9" w14:textId="77777777" w:rsidTr="00C172B2">
        <w:tc>
          <w:tcPr>
            <w:tcW w:w="1919" w:type="dxa"/>
          </w:tcPr>
          <w:p w14:paraId="19403838" w14:textId="77777777" w:rsidR="0081407B" w:rsidRPr="0081407B" w:rsidRDefault="0081407B" w:rsidP="0081407B">
            <w:pPr>
              <w:spacing w:before="80" w:after="60" w:line="240" w:lineRule="auto"/>
            </w:pPr>
            <w:r w:rsidRPr="0081407B">
              <w:t>Moderate</w:t>
            </w:r>
          </w:p>
        </w:tc>
        <w:tc>
          <w:tcPr>
            <w:tcW w:w="1747" w:type="dxa"/>
          </w:tcPr>
          <w:p w14:paraId="4FB975D0" w14:textId="77777777" w:rsidR="0081407B" w:rsidRPr="0081407B" w:rsidRDefault="0081407B" w:rsidP="0081407B">
            <w:pPr>
              <w:spacing w:before="80" w:after="60" w:line="240" w:lineRule="auto"/>
              <w:jc w:val="right"/>
            </w:pPr>
            <w:r w:rsidRPr="0081407B">
              <w:t>5.3 (2 – 13)</w:t>
            </w:r>
          </w:p>
        </w:tc>
        <w:tc>
          <w:tcPr>
            <w:tcW w:w="1747" w:type="dxa"/>
          </w:tcPr>
          <w:p w14:paraId="18E9929E" w14:textId="77777777" w:rsidR="0081407B" w:rsidRPr="0081407B" w:rsidRDefault="0081407B" w:rsidP="0081407B">
            <w:pPr>
              <w:spacing w:before="80" w:after="60" w:line="240" w:lineRule="auto"/>
              <w:jc w:val="right"/>
            </w:pPr>
            <w:r w:rsidRPr="0081407B">
              <w:t>4.4 (1 – 9)</w:t>
            </w:r>
          </w:p>
        </w:tc>
        <w:tc>
          <w:tcPr>
            <w:tcW w:w="1747" w:type="dxa"/>
          </w:tcPr>
          <w:p w14:paraId="53AA7A02" w14:textId="77777777" w:rsidR="0081407B" w:rsidRPr="0081407B" w:rsidRDefault="0081407B" w:rsidP="0081407B">
            <w:pPr>
              <w:spacing w:before="80" w:after="60" w:line="240" w:lineRule="auto"/>
              <w:jc w:val="right"/>
            </w:pPr>
            <w:r w:rsidRPr="0081407B">
              <w:t>12.9 (3 – 39)</w:t>
            </w:r>
          </w:p>
        </w:tc>
        <w:tc>
          <w:tcPr>
            <w:tcW w:w="1748" w:type="dxa"/>
          </w:tcPr>
          <w:p w14:paraId="4E178AEC" w14:textId="77777777" w:rsidR="0081407B" w:rsidRPr="0081407B" w:rsidRDefault="0081407B" w:rsidP="0081407B">
            <w:pPr>
              <w:spacing w:before="80" w:after="60" w:line="240" w:lineRule="auto"/>
              <w:jc w:val="right"/>
            </w:pPr>
            <w:r w:rsidRPr="0081407B">
              <w:t>8.4 (5 – 18)</w:t>
            </w:r>
          </w:p>
        </w:tc>
      </w:tr>
      <w:tr w:rsidR="0081407B" w:rsidRPr="0081407B" w14:paraId="64D3FD32" w14:textId="77777777" w:rsidTr="00C172B2">
        <w:tc>
          <w:tcPr>
            <w:tcW w:w="1919" w:type="dxa"/>
          </w:tcPr>
          <w:p w14:paraId="4CD79AEF" w14:textId="77777777" w:rsidR="0081407B" w:rsidRPr="0081407B" w:rsidRDefault="0081407B" w:rsidP="0081407B">
            <w:pPr>
              <w:spacing w:before="80" w:after="60" w:line="240" w:lineRule="auto"/>
            </w:pPr>
            <w:r w:rsidRPr="0081407B">
              <w:t>Severe</w:t>
            </w:r>
          </w:p>
        </w:tc>
        <w:tc>
          <w:tcPr>
            <w:tcW w:w="1747" w:type="dxa"/>
          </w:tcPr>
          <w:p w14:paraId="065FA043" w14:textId="77777777" w:rsidR="0081407B" w:rsidRPr="0081407B" w:rsidRDefault="0081407B" w:rsidP="0081407B">
            <w:pPr>
              <w:spacing w:before="80" w:after="60" w:line="240" w:lineRule="auto"/>
              <w:jc w:val="right"/>
            </w:pPr>
            <w:r w:rsidRPr="0081407B">
              <w:t>-</w:t>
            </w:r>
          </w:p>
        </w:tc>
        <w:tc>
          <w:tcPr>
            <w:tcW w:w="1747" w:type="dxa"/>
          </w:tcPr>
          <w:p w14:paraId="1D93F139" w14:textId="77777777" w:rsidR="0081407B" w:rsidRPr="0081407B" w:rsidRDefault="0081407B" w:rsidP="0081407B">
            <w:pPr>
              <w:spacing w:before="80" w:after="60" w:line="240" w:lineRule="auto"/>
              <w:jc w:val="right"/>
            </w:pPr>
            <w:r w:rsidRPr="0081407B">
              <w:t>2.0 (2 – 2)</w:t>
            </w:r>
          </w:p>
        </w:tc>
        <w:tc>
          <w:tcPr>
            <w:tcW w:w="1747" w:type="dxa"/>
          </w:tcPr>
          <w:p w14:paraId="4F99EB1A" w14:textId="77777777" w:rsidR="0081407B" w:rsidRPr="0081407B" w:rsidRDefault="0081407B" w:rsidP="0081407B">
            <w:pPr>
              <w:spacing w:before="80" w:after="60" w:line="240" w:lineRule="auto"/>
              <w:jc w:val="right"/>
            </w:pPr>
            <w:r w:rsidRPr="0081407B">
              <w:t>10.5 (3 – 14)</w:t>
            </w:r>
          </w:p>
        </w:tc>
        <w:tc>
          <w:tcPr>
            <w:tcW w:w="1748" w:type="dxa"/>
          </w:tcPr>
          <w:p w14:paraId="5EDD24A7" w14:textId="77777777" w:rsidR="0081407B" w:rsidRPr="0081407B" w:rsidRDefault="0081407B" w:rsidP="0081407B">
            <w:pPr>
              <w:spacing w:before="80" w:after="60" w:line="240" w:lineRule="auto"/>
              <w:jc w:val="right"/>
            </w:pPr>
            <w:r w:rsidRPr="0081407B">
              <w:t>-</w:t>
            </w:r>
          </w:p>
        </w:tc>
      </w:tr>
      <w:tr w:rsidR="0081407B" w:rsidRPr="0081407B" w14:paraId="2020B1DD" w14:textId="77777777" w:rsidTr="00C172B2">
        <w:tc>
          <w:tcPr>
            <w:tcW w:w="1919" w:type="dxa"/>
          </w:tcPr>
          <w:p w14:paraId="33A561E6" w14:textId="77777777" w:rsidR="0081407B" w:rsidRPr="0081407B" w:rsidRDefault="0081407B" w:rsidP="0081407B">
            <w:pPr>
              <w:spacing w:before="80" w:after="60" w:line="240" w:lineRule="auto"/>
            </w:pPr>
            <w:r w:rsidRPr="0081407B">
              <w:t>No haemoglobin level available</w:t>
            </w:r>
          </w:p>
        </w:tc>
        <w:tc>
          <w:tcPr>
            <w:tcW w:w="1747" w:type="dxa"/>
          </w:tcPr>
          <w:p w14:paraId="6AA97C42" w14:textId="77777777" w:rsidR="0081407B" w:rsidRPr="0081407B" w:rsidRDefault="0081407B" w:rsidP="0081407B">
            <w:pPr>
              <w:spacing w:before="80" w:after="60" w:line="240" w:lineRule="auto"/>
              <w:jc w:val="right"/>
            </w:pPr>
            <w:r w:rsidRPr="0081407B">
              <w:t>3.9 (1 – 12)</w:t>
            </w:r>
          </w:p>
        </w:tc>
        <w:tc>
          <w:tcPr>
            <w:tcW w:w="1747" w:type="dxa"/>
          </w:tcPr>
          <w:p w14:paraId="0310E9AA" w14:textId="77777777" w:rsidR="0081407B" w:rsidRPr="0081407B" w:rsidRDefault="0081407B" w:rsidP="0081407B">
            <w:pPr>
              <w:spacing w:before="80" w:after="60" w:line="240" w:lineRule="auto"/>
              <w:jc w:val="right"/>
            </w:pPr>
            <w:r w:rsidRPr="0081407B">
              <w:t>4.5 (1 – 62)</w:t>
            </w:r>
          </w:p>
        </w:tc>
        <w:tc>
          <w:tcPr>
            <w:tcW w:w="1747" w:type="dxa"/>
          </w:tcPr>
          <w:p w14:paraId="3AE0D1A3" w14:textId="77777777" w:rsidR="0081407B" w:rsidRPr="0081407B" w:rsidRDefault="0081407B" w:rsidP="0081407B">
            <w:pPr>
              <w:spacing w:before="80" w:after="60" w:line="240" w:lineRule="auto"/>
              <w:jc w:val="right"/>
            </w:pPr>
            <w:r w:rsidRPr="0081407B">
              <w:t>7.1 (1 – 18)</w:t>
            </w:r>
          </w:p>
        </w:tc>
        <w:tc>
          <w:tcPr>
            <w:tcW w:w="1748" w:type="dxa"/>
          </w:tcPr>
          <w:p w14:paraId="5DD71A81" w14:textId="77777777" w:rsidR="0081407B" w:rsidRPr="0081407B" w:rsidRDefault="0081407B" w:rsidP="0081407B">
            <w:pPr>
              <w:spacing w:before="80" w:after="60" w:line="240" w:lineRule="auto"/>
              <w:jc w:val="right"/>
            </w:pPr>
            <w:r w:rsidRPr="0081407B">
              <w:t>6.6 (4 – 10)</w:t>
            </w:r>
          </w:p>
        </w:tc>
      </w:tr>
      <w:tr w:rsidR="0081407B" w:rsidRPr="0081407B" w14:paraId="58A8DD31" w14:textId="77777777" w:rsidTr="00C172B2">
        <w:tc>
          <w:tcPr>
            <w:tcW w:w="1919" w:type="dxa"/>
          </w:tcPr>
          <w:p w14:paraId="21542D73" w14:textId="77777777" w:rsidR="0081407B" w:rsidRPr="0081407B" w:rsidRDefault="0081407B" w:rsidP="0081407B">
            <w:pPr>
              <w:spacing w:before="80" w:after="60" w:line="240" w:lineRule="auto"/>
              <w:rPr>
                <w:b/>
              </w:rPr>
            </w:pPr>
            <w:r w:rsidRPr="0081407B">
              <w:rPr>
                <w:b/>
              </w:rPr>
              <w:t>All patients</w:t>
            </w:r>
          </w:p>
        </w:tc>
        <w:tc>
          <w:tcPr>
            <w:tcW w:w="1747" w:type="dxa"/>
          </w:tcPr>
          <w:p w14:paraId="3560572A" w14:textId="77777777" w:rsidR="0081407B" w:rsidRPr="0081407B" w:rsidRDefault="0081407B" w:rsidP="0081407B">
            <w:pPr>
              <w:spacing w:before="80" w:after="60" w:line="240" w:lineRule="auto"/>
              <w:jc w:val="right"/>
              <w:rPr>
                <w:b/>
              </w:rPr>
            </w:pPr>
            <w:r w:rsidRPr="0081407B">
              <w:rPr>
                <w:b/>
              </w:rPr>
              <w:t>4.7 (1 – 68)</w:t>
            </w:r>
          </w:p>
        </w:tc>
        <w:tc>
          <w:tcPr>
            <w:tcW w:w="1747" w:type="dxa"/>
          </w:tcPr>
          <w:p w14:paraId="4BFCBD8D" w14:textId="77777777" w:rsidR="0081407B" w:rsidRPr="0081407B" w:rsidRDefault="0081407B" w:rsidP="0081407B">
            <w:pPr>
              <w:spacing w:before="80" w:after="60" w:line="240" w:lineRule="auto"/>
              <w:jc w:val="right"/>
              <w:rPr>
                <w:b/>
              </w:rPr>
            </w:pPr>
            <w:r w:rsidRPr="0081407B">
              <w:rPr>
                <w:b/>
              </w:rPr>
              <w:t>3.3 (1 – 65)</w:t>
            </w:r>
          </w:p>
        </w:tc>
        <w:tc>
          <w:tcPr>
            <w:tcW w:w="1747" w:type="dxa"/>
          </w:tcPr>
          <w:p w14:paraId="3A009527" w14:textId="77777777" w:rsidR="0081407B" w:rsidRPr="0081407B" w:rsidRDefault="0081407B" w:rsidP="0081407B">
            <w:pPr>
              <w:spacing w:before="80" w:after="60" w:line="240" w:lineRule="auto"/>
              <w:jc w:val="right"/>
              <w:rPr>
                <w:b/>
              </w:rPr>
            </w:pPr>
            <w:r w:rsidRPr="0081407B">
              <w:rPr>
                <w:b/>
              </w:rPr>
              <w:t>9.5 (1 – 54)</w:t>
            </w:r>
          </w:p>
        </w:tc>
        <w:tc>
          <w:tcPr>
            <w:tcW w:w="1748" w:type="dxa"/>
          </w:tcPr>
          <w:p w14:paraId="4366C538" w14:textId="77777777" w:rsidR="0081407B" w:rsidRPr="0081407B" w:rsidRDefault="0081407B" w:rsidP="0081407B">
            <w:pPr>
              <w:spacing w:before="80" w:after="60" w:line="240" w:lineRule="auto"/>
              <w:jc w:val="right"/>
              <w:rPr>
                <w:b/>
              </w:rPr>
            </w:pPr>
            <w:r w:rsidRPr="0081407B">
              <w:rPr>
                <w:b/>
              </w:rPr>
              <w:t>8.0 (2 – 66)</w:t>
            </w:r>
          </w:p>
        </w:tc>
      </w:tr>
    </w:tbl>
    <w:p w14:paraId="613A978F" w14:textId="77777777" w:rsidR="0081407B" w:rsidRPr="0081407B" w:rsidRDefault="0081407B" w:rsidP="0081407B">
      <w:pPr>
        <w:rPr>
          <w:rFonts w:cs="Arial"/>
        </w:rPr>
      </w:pPr>
    </w:p>
    <w:p w14:paraId="1FD54555" w14:textId="77777777" w:rsidR="0081407B" w:rsidRPr="0081407B" w:rsidRDefault="0081407B" w:rsidP="0081407B">
      <w:pPr>
        <w:keepNext/>
        <w:keepLines/>
        <w:spacing w:before="360" w:line="340" w:lineRule="atLeast"/>
        <w:outlineLvl w:val="1"/>
        <w:rPr>
          <w:b/>
          <w:color w:val="53565A"/>
          <w:sz w:val="32"/>
          <w:szCs w:val="28"/>
        </w:rPr>
      </w:pPr>
      <w:r w:rsidRPr="0081407B">
        <w:rPr>
          <w:b/>
          <w:color w:val="53565A"/>
          <w:sz w:val="32"/>
          <w:szCs w:val="28"/>
        </w:rPr>
        <w:t>Haemoglobin levels (g/L) to determine anaemia severity</w:t>
      </w:r>
    </w:p>
    <w:tbl>
      <w:tblPr>
        <w:tblStyle w:val="TableGrid51"/>
        <w:tblW w:w="0" w:type="auto"/>
        <w:tblLook w:val="04A0" w:firstRow="1" w:lastRow="0" w:firstColumn="1" w:lastColumn="0" w:noHBand="0" w:noVBand="1"/>
      </w:tblPr>
      <w:tblGrid>
        <w:gridCol w:w="2848"/>
        <w:gridCol w:w="1515"/>
        <w:gridCol w:w="1515"/>
        <w:gridCol w:w="1380"/>
        <w:gridCol w:w="1650"/>
      </w:tblGrid>
      <w:tr w:rsidR="0081407B" w:rsidRPr="0081407B" w14:paraId="23379541" w14:textId="77777777" w:rsidTr="00C172B2">
        <w:trPr>
          <w:tblHeader/>
        </w:trPr>
        <w:tc>
          <w:tcPr>
            <w:tcW w:w="2848" w:type="dxa"/>
            <w:vAlign w:val="center"/>
          </w:tcPr>
          <w:p w14:paraId="53D1956F" w14:textId="77777777" w:rsidR="0081407B" w:rsidRPr="0081407B" w:rsidRDefault="0081407B" w:rsidP="0081407B">
            <w:pPr>
              <w:spacing w:before="80" w:after="60" w:line="240" w:lineRule="auto"/>
              <w:rPr>
                <w:b/>
                <w:color w:val="53565A"/>
              </w:rPr>
            </w:pPr>
            <w:r w:rsidRPr="0081407B">
              <w:rPr>
                <w:b/>
                <w:color w:val="53565A"/>
              </w:rPr>
              <w:t>Population</w:t>
            </w:r>
          </w:p>
        </w:tc>
        <w:tc>
          <w:tcPr>
            <w:tcW w:w="1515" w:type="dxa"/>
          </w:tcPr>
          <w:p w14:paraId="2A5EAF13" w14:textId="77777777" w:rsidR="0081407B" w:rsidRPr="0081407B" w:rsidRDefault="0081407B" w:rsidP="0081407B">
            <w:pPr>
              <w:spacing w:before="80" w:after="60" w:line="240" w:lineRule="auto"/>
              <w:rPr>
                <w:b/>
                <w:color w:val="53565A"/>
              </w:rPr>
            </w:pPr>
            <w:r w:rsidRPr="0081407B">
              <w:rPr>
                <w:b/>
                <w:color w:val="53565A"/>
              </w:rPr>
              <w:t>Non-anaemia</w:t>
            </w:r>
          </w:p>
        </w:tc>
        <w:tc>
          <w:tcPr>
            <w:tcW w:w="1515" w:type="dxa"/>
          </w:tcPr>
          <w:p w14:paraId="0D6F2706" w14:textId="77777777" w:rsidR="0081407B" w:rsidRPr="0081407B" w:rsidRDefault="0081407B" w:rsidP="0081407B">
            <w:pPr>
              <w:spacing w:before="80" w:after="60" w:line="240" w:lineRule="auto"/>
              <w:rPr>
                <w:b/>
                <w:color w:val="53565A"/>
              </w:rPr>
            </w:pPr>
            <w:r w:rsidRPr="0081407B">
              <w:rPr>
                <w:b/>
                <w:color w:val="53565A"/>
              </w:rPr>
              <w:t>Mild</w:t>
            </w:r>
          </w:p>
        </w:tc>
        <w:tc>
          <w:tcPr>
            <w:tcW w:w="1380" w:type="dxa"/>
          </w:tcPr>
          <w:p w14:paraId="7C38D0B7" w14:textId="77777777" w:rsidR="0081407B" w:rsidRPr="0081407B" w:rsidRDefault="0081407B" w:rsidP="0081407B">
            <w:pPr>
              <w:spacing w:before="80" w:after="60" w:line="240" w:lineRule="auto"/>
              <w:rPr>
                <w:b/>
                <w:color w:val="53565A"/>
              </w:rPr>
            </w:pPr>
            <w:r w:rsidRPr="0081407B">
              <w:rPr>
                <w:b/>
                <w:color w:val="53565A"/>
              </w:rPr>
              <w:t>Moderate</w:t>
            </w:r>
          </w:p>
        </w:tc>
        <w:tc>
          <w:tcPr>
            <w:tcW w:w="1650" w:type="dxa"/>
          </w:tcPr>
          <w:p w14:paraId="2AABFDE2" w14:textId="77777777" w:rsidR="0081407B" w:rsidRPr="0081407B" w:rsidRDefault="0081407B" w:rsidP="0081407B">
            <w:pPr>
              <w:spacing w:before="80" w:after="60" w:line="240" w:lineRule="auto"/>
              <w:rPr>
                <w:b/>
                <w:color w:val="53565A"/>
              </w:rPr>
            </w:pPr>
            <w:r w:rsidRPr="0081407B">
              <w:rPr>
                <w:b/>
                <w:color w:val="53565A"/>
              </w:rPr>
              <w:t>Severe</w:t>
            </w:r>
          </w:p>
        </w:tc>
      </w:tr>
      <w:tr w:rsidR="0081407B" w:rsidRPr="0081407B" w14:paraId="7798578E" w14:textId="77777777" w:rsidTr="00C172B2">
        <w:tc>
          <w:tcPr>
            <w:tcW w:w="2848" w:type="dxa"/>
          </w:tcPr>
          <w:p w14:paraId="2665A366" w14:textId="77777777" w:rsidR="0081407B" w:rsidRPr="0081407B" w:rsidRDefault="0081407B" w:rsidP="0081407B">
            <w:pPr>
              <w:spacing w:before="80" w:after="60" w:line="240" w:lineRule="auto"/>
            </w:pPr>
            <w:r w:rsidRPr="0081407B">
              <w:t>Children 5 – 11 years</w:t>
            </w:r>
          </w:p>
        </w:tc>
        <w:tc>
          <w:tcPr>
            <w:tcW w:w="1515" w:type="dxa"/>
          </w:tcPr>
          <w:p w14:paraId="243A5028" w14:textId="77777777" w:rsidR="0081407B" w:rsidRPr="0081407B" w:rsidRDefault="0081407B" w:rsidP="0081407B">
            <w:pPr>
              <w:spacing w:before="80" w:after="60" w:line="240" w:lineRule="auto"/>
              <w:jc w:val="right"/>
            </w:pPr>
            <w:r w:rsidRPr="0081407B">
              <w:t>115 or higher</w:t>
            </w:r>
          </w:p>
        </w:tc>
        <w:tc>
          <w:tcPr>
            <w:tcW w:w="1515" w:type="dxa"/>
          </w:tcPr>
          <w:p w14:paraId="6C21C8AC" w14:textId="77777777" w:rsidR="0081407B" w:rsidRPr="0081407B" w:rsidRDefault="0081407B" w:rsidP="0081407B">
            <w:pPr>
              <w:spacing w:before="80" w:after="60" w:line="240" w:lineRule="auto"/>
              <w:jc w:val="right"/>
            </w:pPr>
            <w:r w:rsidRPr="0081407B">
              <w:t>110 – 114</w:t>
            </w:r>
          </w:p>
        </w:tc>
        <w:tc>
          <w:tcPr>
            <w:tcW w:w="1380" w:type="dxa"/>
          </w:tcPr>
          <w:p w14:paraId="671C6CE3" w14:textId="77777777" w:rsidR="0081407B" w:rsidRPr="0081407B" w:rsidRDefault="0081407B" w:rsidP="0081407B">
            <w:pPr>
              <w:spacing w:before="80" w:after="60" w:line="240" w:lineRule="auto"/>
              <w:jc w:val="right"/>
            </w:pPr>
            <w:r w:rsidRPr="0081407B">
              <w:t>80 – 109</w:t>
            </w:r>
          </w:p>
        </w:tc>
        <w:tc>
          <w:tcPr>
            <w:tcW w:w="1650" w:type="dxa"/>
          </w:tcPr>
          <w:p w14:paraId="488A2ACA" w14:textId="77777777" w:rsidR="0081407B" w:rsidRPr="0081407B" w:rsidRDefault="0081407B" w:rsidP="0081407B">
            <w:pPr>
              <w:spacing w:before="80" w:after="60" w:line="240" w:lineRule="auto"/>
              <w:jc w:val="right"/>
            </w:pPr>
            <w:r w:rsidRPr="0081407B">
              <w:t>Lower than 80</w:t>
            </w:r>
          </w:p>
        </w:tc>
      </w:tr>
      <w:tr w:rsidR="0081407B" w:rsidRPr="0081407B" w14:paraId="187BDA42" w14:textId="77777777" w:rsidTr="00C172B2">
        <w:tc>
          <w:tcPr>
            <w:tcW w:w="2848" w:type="dxa"/>
          </w:tcPr>
          <w:p w14:paraId="2A63CA10" w14:textId="77777777" w:rsidR="0081407B" w:rsidRPr="0081407B" w:rsidRDefault="0081407B" w:rsidP="0081407B">
            <w:pPr>
              <w:spacing w:before="80" w:after="60" w:line="240" w:lineRule="auto"/>
            </w:pPr>
            <w:r w:rsidRPr="0081407B">
              <w:t>Children 12 – 14 years</w:t>
            </w:r>
          </w:p>
        </w:tc>
        <w:tc>
          <w:tcPr>
            <w:tcW w:w="1515" w:type="dxa"/>
          </w:tcPr>
          <w:p w14:paraId="514B9BCE" w14:textId="77777777" w:rsidR="0081407B" w:rsidRPr="0081407B" w:rsidRDefault="0081407B" w:rsidP="0081407B">
            <w:pPr>
              <w:spacing w:before="80" w:after="60" w:line="240" w:lineRule="auto"/>
              <w:jc w:val="right"/>
            </w:pPr>
            <w:r w:rsidRPr="0081407B">
              <w:t>120 or higher</w:t>
            </w:r>
          </w:p>
        </w:tc>
        <w:tc>
          <w:tcPr>
            <w:tcW w:w="1515" w:type="dxa"/>
          </w:tcPr>
          <w:p w14:paraId="5CA51F6D" w14:textId="77777777" w:rsidR="0081407B" w:rsidRPr="0081407B" w:rsidRDefault="0081407B" w:rsidP="0081407B">
            <w:pPr>
              <w:spacing w:before="80" w:after="60" w:line="240" w:lineRule="auto"/>
              <w:jc w:val="right"/>
            </w:pPr>
            <w:r w:rsidRPr="0081407B">
              <w:t>110 – 119</w:t>
            </w:r>
          </w:p>
        </w:tc>
        <w:tc>
          <w:tcPr>
            <w:tcW w:w="1380" w:type="dxa"/>
          </w:tcPr>
          <w:p w14:paraId="45B38086" w14:textId="77777777" w:rsidR="0081407B" w:rsidRPr="0081407B" w:rsidRDefault="0081407B" w:rsidP="0081407B">
            <w:pPr>
              <w:spacing w:before="80" w:after="60" w:line="240" w:lineRule="auto"/>
              <w:jc w:val="right"/>
            </w:pPr>
            <w:r w:rsidRPr="0081407B">
              <w:t>80 – 109</w:t>
            </w:r>
          </w:p>
        </w:tc>
        <w:tc>
          <w:tcPr>
            <w:tcW w:w="1650" w:type="dxa"/>
          </w:tcPr>
          <w:p w14:paraId="12566C0D" w14:textId="77777777" w:rsidR="0081407B" w:rsidRPr="0081407B" w:rsidRDefault="0081407B" w:rsidP="0081407B">
            <w:pPr>
              <w:spacing w:before="80" w:after="60" w:line="240" w:lineRule="auto"/>
              <w:jc w:val="right"/>
            </w:pPr>
            <w:r w:rsidRPr="0081407B">
              <w:t>Lower than 80</w:t>
            </w:r>
          </w:p>
        </w:tc>
      </w:tr>
      <w:tr w:rsidR="0081407B" w:rsidRPr="0081407B" w14:paraId="699CFEDA" w14:textId="77777777" w:rsidTr="00C172B2">
        <w:tc>
          <w:tcPr>
            <w:tcW w:w="2848" w:type="dxa"/>
          </w:tcPr>
          <w:p w14:paraId="6270DDE8" w14:textId="77777777" w:rsidR="0081407B" w:rsidRPr="0081407B" w:rsidRDefault="0081407B" w:rsidP="0081407B">
            <w:pPr>
              <w:spacing w:before="80" w:after="60" w:line="240" w:lineRule="auto"/>
            </w:pPr>
            <w:r w:rsidRPr="0081407B">
              <w:t>Women 15 years and above</w:t>
            </w:r>
          </w:p>
        </w:tc>
        <w:tc>
          <w:tcPr>
            <w:tcW w:w="1515" w:type="dxa"/>
          </w:tcPr>
          <w:p w14:paraId="1EFDF582" w14:textId="77777777" w:rsidR="0081407B" w:rsidRPr="0081407B" w:rsidRDefault="0081407B" w:rsidP="0081407B">
            <w:pPr>
              <w:spacing w:before="80" w:after="60" w:line="240" w:lineRule="auto"/>
              <w:jc w:val="right"/>
            </w:pPr>
            <w:r w:rsidRPr="0081407B">
              <w:t>120 or higher</w:t>
            </w:r>
          </w:p>
        </w:tc>
        <w:tc>
          <w:tcPr>
            <w:tcW w:w="1515" w:type="dxa"/>
          </w:tcPr>
          <w:p w14:paraId="0FC0491B" w14:textId="77777777" w:rsidR="0081407B" w:rsidRPr="0081407B" w:rsidRDefault="0081407B" w:rsidP="0081407B">
            <w:pPr>
              <w:spacing w:before="80" w:after="60" w:line="240" w:lineRule="auto"/>
              <w:jc w:val="right"/>
            </w:pPr>
            <w:r w:rsidRPr="0081407B">
              <w:t>110 – 119</w:t>
            </w:r>
          </w:p>
        </w:tc>
        <w:tc>
          <w:tcPr>
            <w:tcW w:w="1380" w:type="dxa"/>
          </w:tcPr>
          <w:p w14:paraId="5EC15238" w14:textId="77777777" w:rsidR="0081407B" w:rsidRPr="0081407B" w:rsidRDefault="0081407B" w:rsidP="0081407B">
            <w:pPr>
              <w:spacing w:before="80" w:after="60" w:line="240" w:lineRule="auto"/>
              <w:jc w:val="right"/>
            </w:pPr>
            <w:r w:rsidRPr="0081407B">
              <w:t>80 – 109</w:t>
            </w:r>
          </w:p>
        </w:tc>
        <w:tc>
          <w:tcPr>
            <w:tcW w:w="1650" w:type="dxa"/>
          </w:tcPr>
          <w:p w14:paraId="397C1E23" w14:textId="77777777" w:rsidR="0081407B" w:rsidRPr="0081407B" w:rsidRDefault="0081407B" w:rsidP="0081407B">
            <w:pPr>
              <w:spacing w:before="80" w:after="60" w:line="240" w:lineRule="auto"/>
              <w:jc w:val="right"/>
            </w:pPr>
            <w:r w:rsidRPr="0081407B">
              <w:t>Lower than 80</w:t>
            </w:r>
          </w:p>
        </w:tc>
      </w:tr>
      <w:tr w:rsidR="0081407B" w:rsidRPr="0081407B" w14:paraId="5F1444BB" w14:textId="77777777" w:rsidTr="00C172B2">
        <w:tc>
          <w:tcPr>
            <w:tcW w:w="2848" w:type="dxa"/>
          </w:tcPr>
          <w:p w14:paraId="46E9DEBE" w14:textId="77777777" w:rsidR="0081407B" w:rsidRPr="0081407B" w:rsidRDefault="0081407B" w:rsidP="0081407B">
            <w:pPr>
              <w:spacing w:before="80" w:after="60" w:line="240" w:lineRule="auto"/>
            </w:pPr>
            <w:r w:rsidRPr="0081407B">
              <w:t>Men 15 years and above</w:t>
            </w:r>
          </w:p>
        </w:tc>
        <w:tc>
          <w:tcPr>
            <w:tcW w:w="1515" w:type="dxa"/>
          </w:tcPr>
          <w:p w14:paraId="1512E7EE" w14:textId="77777777" w:rsidR="0081407B" w:rsidRPr="0081407B" w:rsidRDefault="0081407B" w:rsidP="0081407B">
            <w:pPr>
              <w:spacing w:before="80" w:after="60" w:line="240" w:lineRule="auto"/>
              <w:jc w:val="right"/>
            </w:pPr>
            <w:r w:rsidRPr="0081407B">
              <w:t>130 or higher</w:t>
            </w:r>
          </w:p>
        </w:tc>
        <w:tc>
          <w:tcPr>
            <w:tcW w:w="1515" w:type="dxa"/>
          </w:tcPr>
          <w:p w14:paraId="11586530" w14:textId="77777777" w:rsidR="0081407B" w:rsidRPr="0081407B" w:rsidRDefault="0081407B" w:rsidP="0081407B">
            <w:pPr>
              <w:spacing w:before="80" w:after="60" w:line="240" w:lineRule="auto"/>
              <w:jc w:val="right"/>
            </w:pPr>
            <w:r w:rsidRPr="0081407B">
              <w:t>110 – 129</w:t>
            </w:r>
          </w:p>
        </w:tc>
        <w:tc>
          <w:tcPr>
            <w:tcW w:w="1380" w:type="dxa"/>
          </w:tcPr>
          <w:p w14:paraId="072EA01B" w14:textId="77777777" w:rsidR="0081407B" w:rsidRPr="0081407B" w:rsidRDefault="0081407B" w:rsidP="0081407B">
            <w:pPr>
              <w:spacing w:before="80" w:after="60" w:line="240" w:lineRule="auto"/>
              <w:jc w:val="right"/>
            </w:pPr>
            <w:r w:rsidRPr="0081407B">
              <w:t>80 – 109</w:t>
            </w:r>
          </w:p>
        </w:tc>
        <w:tc>
          <w:tcPr>
            <w:tcW w:w="1650" w:type="dxa"/>
          </w:tcPr>
          <w:p w14:paraId="22C0F218" w14:textId="77777777" w:rsidR="0081407B" w:rsidRPr="0081407B" w:rsidRDefault="0081407B" w:rsidP="0081407B">
            <w:pPr>
              <w:spacing w:before="80" w:after="60" w:line="240" w:lineRule="auto"/>
              <w:jc w:val="right"/>
            </w:pPr>
            <w:r w:rsidRPr="0081407B">
              <w:t>Lower than 80</w:t>
            </w:r>
          </w:p>
        </w:tc>
      </w:tr>
    </w:tbl>
    <w:p w14:paraId="29A19498" w14:textId="77777777" w:rsidR="0081407B" w:rsidRDefault="0081407B" w:rsidP="002B2FD9">
      <w:pPr>
        <w:pStyle w:val="Body"/>
      </w:pPr>
    </w:p>
    <w:sectPr w:rsidR="0081407B" w:rsidSect="00454A7D">
      <w:pgSz w:w="11906" w:h="16838" w:code="9"/>
      <w:pgMar w:top="1418" w:right="1304" w:bottom="1134" w:left="1304" w:header="680" w:footer="851" w:gutter="0"/>
      <w:cols w:space="34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99D63" w16cex:dateUtc="2021-06-20T00:56:00Z"/>
  <w16cex:commentExtensible w16cex:durableId="247CD71D" w16cex:dateUtc="2021-06-22T11:39:00Z"/>
  <w16cex:commentExtensible w16cex:durableId="247A2E3B" w16cex:dateUtc="2021-06-20T11:14:00Z"/>
  <w16cex:commentExtensible w16cex:durableId="247A2E50" w16cex:dateUtc="2021-06-20T11:14:00Z"/>
  <w16cex:commentExtensible w16cex:durableId="2479E910" w16cex:dateUtc="2021-06-20T06:19:00Z"/>
  <w16cex:commentExtensible w16cex:durableId="2479EA7A" w16cex:dateUtc="2021-06-20T06:25:00Z"/>
  <w16cex:commentExtensible w16cex:durableId="247CD79E" w16cex:dateUtc="2021-06-22T11:41:00Z"/>
  <w16cex:commentExtensible w16cex:durableId="247D64DD" w16cex:dateUtc="2021-06-22T21:44:00Z"/>
  <w16cex:commentExtensible w16cex:durableId="247A381F" w16cex:dateUtc="2021-06-20T11:56:00Z"/>
  <w16cex:commentExtensible w16cex:durableId="247A31E3" w16cex:dateUtc="2021-06-20T11:30:00Z"/>
  <w16cex:commentExtensible w16cex:durableId="247A3215" w16cex:dateUtc="2021-06-20T11:31:00Z"/>
  <w16cex:commentExtensible w16cex:durableId="247A3994" w16cex:dateUtc="2021-06-20T12:03:00Z"/>
  <w16cex:commentExtensible w16cex:durableId="247A398A" w16cex:dateUtc="2021-06-20T12:02:00Z"/>
  <w16cex:commentExtensible w16cex:durableId="247A3982" w16cex:dateUtc="2021-06-20T12:02:00Z"/>
  <w16cex:commentExtensible w16cex:durableId="247A3971" w16cex:dateUtc="2021-06-20T12:02:00Z"/>
  <w16cex:commentExtensible w16cex:durableId="247A3950" w16cex:dateUtc="2021-06-20T12:01:00Z"/>
  <w16cex:commentExtensible w16cex:durableId="247A3918" w16cex:dateUtc="2021-06-20T12:00:00Z"/>
  <w16cex:commentExtensible w16cex:durableId="247A2E72" w16cex:dateUtc="2021-06-20T11:15:00Z"/>
  <w16cex:commentExtensible w16cex:durableId="247CBD36" w16cex:dateUtc="2021-06-22T09:49:00Z"/>
  <w16cex:commentExtensible w16cex:durableId="247CC6AC" w16cex:dateUtc="2021-06-22T10:29:00Z"/>
  <w16cex:commentExtensible w16cex:durableId="247CDB2E" w16cex:dateUtc="2021-06-22T11:57:00Z"/>
  <w16cex:commentExtensible w16cex:durableId="247D50E4" w16cex:dateUtc="2021-06-22T20:19:00Z"/>
  <w16cex:commentExtensible w16cex:durableId="247CDC9B" w16cex:dateUtc="2021-06-22T12:03:00Z"/>
  <w16cex:commentExtensible w16cex:durableId="247CDE1D" w16cex:dateUtc="2021-06-22T12:09:00Z"/>
  <w16cex:commentExtensible w16cex:durableId="247CDE13" w16cex:dateUtc="2021-06-22T12:09:00Z"/>
  <w16cex:commentExtensible w16cex:durableId="247CED78" w16cex:dateUtc="2021-06-22T13: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B33FE" w14:textId="77777777" w:rsidR="005C10D7" w:rsidRDefault="005C10D7">
      <w:r>
        <w:separator/>
      </w:r>
    </w:p>
    <w:p w14:paraId="34A67456" w14:textId="77777777" w:rsidR="005C10D7" w:rsidRDefault="005C10D7"/>
  </w:endnote>
  <w:endnote w:type="continuationSeparator" w:id="0">
    <w:p w14:paraId="097C8EF2" w14:textId="77777777" w:rsidR="005C10D7" w:rsidRDefault="005C10D7">
      <w:r>
        <w:continuationSeparator/>
      </w:r>
    </w:p>
    <w:p w14:paraId="0A8491E4" w14:textId="77777777" w:rsidR="005C10D7" w:rsidRDefault="005C10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78C16" w14:textId="312BBFD3" w:rsidR="005C10D7" w:rsidRDefault="005C10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ECB5E" w14:textId="766ABC52" w:rsidR="005C10D7" w:rsidRDefault="005C10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E6C6B" w14:textId="77C78F3F" w:rsidR="005C10D7" w:rsidRDefault="005C10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3C3F6" w14:textId="3DCF4EA9" w:rsidR="005C10D7" w:rsidRDefault="005C10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BB75D" w14:textId="6365F7F2" w:rsidR="005C10D7" w:rsidRDefault="005C10D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90430" w14:textId="59E5FB25" w:rsidR="005C10D7" w:rsidRDefault="005C10D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B5E79" w14:textId="45E80C70" w:rsidR="005C10D7" w:rsidRDefault="005C10D7">
    <w:pPr>
      <w:pStyle w:val="Footer"/>
    </w:pPr>
    <w:bookmarkStart w:id="74" w:name="_GoBack"/>
    <w:bookmarkEnd w:id="7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1707B" w14:textId="77777777" w:rsidR="005C10D7" w:rsidRDefault="005C10D7" w:rsidP="00207717">
      <w:pPr>
        <w:spacing w:before="120"/>
      </w:pPr>
      <w:r>
        <w:separator/>
      </w:r>
    </w:p>
  </w:footnote>
  <w:footnote w:type="continuationSeparator" w:id="0">
    <w:p w14:paraId="769C96E7" w14:textId="77777777" w:rsidR="005C10D7" w:rsidRDefault="005C10D7">
      <w:r>
        <w:continuationSeparator/>
      </w:r>
    </w:p>
    <w:p w14:paraId="70561DB1" w14:textId="77777777" w:rsidR="005C10D7" w:rsidRDefault="005C10D7"/>
  </w:footnote>
  <w:footnote w:id="1">
    <w:p w14:paraId="5F386A24" w14:textId="77777777" w:rsidR="005C10D7" w:rsidRPr="008F1A8A" w:rsidRDefault="005C10D7" w:rsidP="003C2836">
      <w:pPr>
        <w:spacing w:after="0" w:line="180" w:lineRule="atLeast"/>
        <w:rPr>
          <w:rFonts w:cs="Arial"/>
          <w:sz w:val="16"/>
        </w:rPr>
      </w:pPr>
      <w:r>
        <w:rPr>
          <w:rStyle w:val="FootnoteReference"/>
        </w:rPr>
        <w:footnoteRef/>
      </w:r>
      <w:r>
        <w:t xml:space="preserve"> </w:t>
      </w:r>
      <w:r w:rsidRPr="003C1A78">
        <w:rPr>
          <w:rStyle w:val="FootnoteTextChar"/>
        </w:rPr>
        <w:t>B12/folate should not be considered routine testing. However, they are a targeted test based on clinical symptoms or risk factors (refer to Figure 1.3, Australian Government Department of Health 2014).</w:t>
      </w:r>
    </w:p>
    <w:p w14:paraId="124CDD51" w14:textId="77777777" w:rsidR="005C10D7" w:rsidRDefault="005C10D7" w:rsidP="003C2836">
      <w:pPr>
        <w:pStyle w:val="FootnoteText"/>
      </w:pPr>
    </w:p>
  </w:footnote>
  <w:footnote w:id="2">
    <w:p w14:paraId="26E1C268" w14:textId="034A5A0F" w:rsidR="005C10D7" w:rsidRDefault="005C10D7" w:rsidP="00FA0D20">
      <w:pPr>
        <w:pStyle w:val="FootnoteText"/>
      </w:pPr>
      <w:r>
        <w:rPr>
          <w:rStyle w:val="FootnoteReference"/>
        </w:rPr>
        <w:footnoteRef/>
      </w:r>
      <w:r>
        <w:t xml:space="preserve"> This column includes only patients meeting the template definition and consequently documented and/or managed for the same by the health service. In addition, 21 patients not meeting template definitions were reported as being anaemic and/or iron deficient or being managed by the health service. Six patients were documented and/or managed with reported slightly higher haemoglobin (Hb up to 135 g/L for males, Hb up to 125 g/L for females). A further five patients were documented and/or managed, but had incomplete pathology reported so could not confirm anaemia </w:t>
      </w:r>
      <w:r w:rsidRPr="00524C82">
        <w:t xml:space="preserve">or iron deficiency </w:t>
      </w:r>
      <w:r>
        <w:t>status. Another 10 patients were reported as being anaemic and/or iron deficient or being managed by the health service with no clear rationale based on data submitted.</w:t>
      </w:r>
    </w:p>
  </w:footnote>
  <w:footnote w:id="3">
    <w:p w14:paraId="46077D39" w14:textId="364501A7" w:rsidR="005C10D7" w:rsidRDefault="005C10D7">
      <w:pPr>
        <w:pStyle w:val="FootnoteText"/>
      </w:pPr>
      <w:r>
        <w:rPr>
          <w:rStyle w:val="FootnoteReference"/>
        </w:rPr>
        <w:footnoteRef/>
      </w:r>
      <w:r>
        <w:t xml:space="preserve"> </w:t>
      </w:r>
      <w:r w:rsidRPr="008843F0">
        <w:t xml:space="preserve">Patients included in </w:t>
      </w:r>
      <w:r>
        <w:t>‘</w:t>
      </w:r>
      <w:r w:rsidRPr="008843F0">
        <w:t>anaemic</w:t>
      </w:r>
      <w:r>
        <w:t>’</w:t>
      </w:r>
      <w:r w:rsidRPr="008843F0">
        <w:t xml:space="preserve">: </w:t>
      </w:r>
      <w:r>
        <w:t>a</w:t>
      </w:r>
      <w:r w:rsidRPr="008843F0">
        <w:t>naemic only, anaemia with possible iron deficiency, anaemia with no ferritin results.</w:t>
      </w:r>
    </w:p>
  </w:footnote>
  <w:footnote w:id="4">
    <w:p w14:paraId="3641A7A6" w14:textId="4FDC14BD" w:rsidR="005C10D7" w:rsidRDefault="005C10D7">
      <w:pPr>
        <w:pStyle w:val="FootnoteText"/>
      </w:pPr>
      <w:r>
        <w:rPr>
          <w:rStyle w:val="FootnoteReference"/>
        </w:rPr>
        <w:footnoteRef/>
      </w:r>
      <w:r>
        <w:t xml:space="preserve"> </w:t>
      </w:r>
      <w:r w:rsidRPr="008843F0">
        <w:t>There were no renal referrals or EPO</w:t>
      </w:r>
      <w:r>
        <w:t>.</w:t>
      </w:r>
    </w:p>
  </w:footnote>
  <w:footnote w:id="5">
    <w:p w14:paraId="3351DF8A" w14:textId="39CE4682" w:rsidR="005C10D7" w:rsidRDefault="005C10D7">
      <w:pPr>
        <w:pStyle w:val="FootnoteText"/>
      </w:pPr>
      <w:r>
        <w:rPr>
          <w:rStyle w:val="FootnoteReference"/>
        </w:rPr>
        <w:footnoteRef/>
      </w:r>
      <w:r>
        <w:t xml:space="preserve"> </w:t>
      </w:r>
      <w:r w:rsidRPr="008843F0">
        <w:t xml:space="preserve">Percentage </w:t>
      </w:r>
      <w:r w:rsidRPr="00300E3C">
        <w:t>greater</w:t>
      </w:r>
      <w:r w:rsidRPr="008843F0">
        <w:t xml:space="preserve"> than 100 as patients may have received more than one treatment type</w:t>
      </w:r>
      <w:r>
        <w:t>.</w:t>
      </w:r>
    </w:p>
  </w:footnote>
  <w:footnote w:id="6">
    <w:p w14:paraId="6A34D295" w14:textId="55B79866" w:rsidR="005C10D7" w:rsidRDefault="005C10D7">
      <w:pPr>
        <w:pStyle w:val="FootnoteText"/>
      </w:pPr>
      <w:r>
        <w:rPr>
          <w:rStyle w:val="FootnoteReference"/>
        </w:rPr>
        <w:footnoteRef/>
      </w:r>
      <w:r>
        <w:t xml:space="preserve"> </w:t>
      </w:r>
      <w:r w:rsidRPr="008843F0">
        <w:t>Other included 1 colonoscopy</w:t>
      </w:r>
      <w:r>
        <w:t>.</w:t>
      </w:r>
    </w:p>
  </w:footnote>
  <w:footnote w:id="7">
    <w:p w14:paraId="5B150A2E" w14:textId="77777777" w:rsidR="005C10D7" w:rsidRDefault="005C10D7">
      <w:pPr>
        <w:pStyle w:val="FootnoteText"/>
      </w:pPr>
      <w:r>
        <w:rPr>
          <w:rStyle w:val="FootnoteReference"/>
        </w:rPr>
        <w:footnoteRef/>
      </w:r>
      <w:r>
        <w:t xml:space="preserve"> </w:t>
      </w:r>
      <w:r w:rsidRPr="008843F0">
        <w:t>There were no renal referrals or EPO</w:t>
      </w:r>
      <w:r>
        <w:t>.</w:t>
      </w:r>
    </w:p>
  </w:footnote>
  <w:footnote w:id="8">
    <w:p w14:paraId="6099DC34" w14:textId="77777777" w:rsidR="005C10D7" w:rsidRDefault="005C10D7">
      <w:pPr>
        <w:pStyle w:val="FootnoteText"/>
      </w:pPr>
      <w:r>
        <w:rPr>
          <w:rStyle w:val="FootnoteReference"/>
        </w:rPr>
        <w:footnoteRef/>
      </w:r>
      <w:r>
        <w:t xml:space="preserve"> </w:t>
      </w:r>
      <w:r w:rsidRPr="008843F0">
        <w:t xml:space="preserve">Percentage </w:t>
      </w:r>
      <w:r w:rsidRPr="00300E3C">
        <w:t>greater</w:t>
      </w:r>
      <w:r w:rsidRPr="008843F0">
        <w:t xml:space="preserve"> than 100 as patients may have received more than one treatment type</w:t>
      </w:r>
      <w:r>
        <w:t>.</w:t>
      </w:r>
    </w:p>
  </w:footnote>
  <w:footnote w:id="9">
    <w:p w14:paraId="7B56D3A7" w14:textId="621A870D" w:rsidR="005C10D7" w:rsidRDefault="005C10D7">
      <w:pPr>
        <w:pStyle w:val="FootnoteText"/>
      </w:pPr>
      <w:r>
        <w:rPr>
          <w:rStyle w:val="FootnoteReference"/>
        </w:rPr>
        <w:footnoteRef/>
      </w:r>
      <w:r>
        <w:t xml:space="preserve"> </w:t>
      </w:r>
      <w:r w:rsidRPr="008843F0">
        <w:t>Other included 1 colonoscopy</w:t>
      </w:r>
      <w:r>
        <w:t>.</w:t>
      </w:r>
    </w:p>
  </w:footnote>
  <w:footnote w:id="10">
    <w:p w14:paraId="30FE7EB2" w14:textId="318C7F66" w:rsidR="005C10D7" w:rsidRDefault="005C10D7">
      <w:pPr>
        <w:pStyle w:val="FootnoteText"/>
      </w:pPr>
      <w:r>
        <w:rPr>
          <w:rStyle w:val="FootnoteReference"/>
        </w:rPr>
        <w:footnoteRef/>
      </w:r>
      <w:r>
        <w:t xml:space="preserve"> </w:t>
      </w:r>
      <w:r w:rsidRPr="008843F0">
        <w:t>There was no referrals or EPO</w:t>
      </w:r>
      <w:r>
        <w:t>.</w:t>
      </w:r>
    </w:p>
  </w:footnote>
  <w:footnote w:id="11">
    <w:p w14:paraId="104C48AF" w14:textId="3C0FDD87" w:rsidR="005C10D7" w:rsidRDefault="005C10D7">
      <w:pPr>
        <w:pStyle w:val="FootnoteText"/>
      </w:pPr>
      <w:r>
        <w:rPr>
          <w:rStyle w:val="FootnoteReference"/>
        </w:rPr>
        <w:footnoteRef/>
      </w:r>
      <w:r>
        <w:t xml:space="preserve"> </w:t>
      </w:r>
      <w:r w:rsidRPr="008843F0">
        <w:t xml:space="preserve">Percentage greater than 100 as patients may have received more than </w:t>
      </w:r>
      <w:r w:rsidRPr="00300E3C">
        <w:t>one</w:t>
      </w:r>
      <w:r w:rsidRPr="008843F0">
        <w:t xml:space="preserve"> treatment type</w:t>
      </w:r>
      <w:r>
        <w:t>.</w:t>
      </w:r>
    </w:p>
  </w:footnote>
  <w:footnote w:id="12">
    <w:p w14:paraId="300088FB" w14:textId="10CB4D06" w:rsidR="005C10D7" w:rsidRDefault="005C10D7">
      <w:pPr>
        <w:pStyle w:val="FootnoteText"/>
      </w:pPr>
      <w:r>
        <w:rPr>
          <w:rStyle w:val="FootnoteReference"/>
        </w:rPr>
        <w:footnoteRef/>
      </w:r>
      <w:r>
        <w:t xml:space="preserve"> </w:t>
      </w:r>
      <w:r w:rsidRPr="008843F0">
        <w:t xml:space="preserve">There were no renal </w:t>
      </w:r>
      <w:r w:rsidRPr="00300E3C">
        <w:t>referrals</w:t>
      </w:r>
      <w:r w:rsidRPr="008843F0">
        <w:t xml:space="preserve"> or EPO</w:t>
      </w:r>
    </w:p>
  </w:footnote>
  <w:footnote w:id="13">
    <w:p w14:paraId="06ABFD2F" w14:textId="367EC5F9" w:rsidR="005C10D7" w:rsidRDefault="005C10D7">
      <w:pPr>
        <w:pStyle w:val="FootnoteText"/>
      </w:pPr>
      <w:r>
        <w:rPr>
          <w:rStyle w:val="FootnoteReference"/>
        </w:rPr>
        <w:footnoteRef/>
      </w:r>
      <w:r>
        <w:t xml:space="preserve"> </w:t>
      </w:r>
      <w:r w:rsidRPr="008843F0">
        <w:t xml:space="preserve">Percentage greater than 100 as patients may have received more than </w:t>
      </w:r>
      <w:r w:rsidRPr="00300E3C">
        <w:t>one</w:t>
      </w:r>
      <w:r w:rsidRPr="008843F0">
        <w:t xml:space="preserve"> treatment type</w:t>
      </w:r>
      <w:r>
        <w:t>.</w:t>
      </w:r>
    </w:p>
  </w:footnote>
  <w:footnote w:id="14">
    <w:p w14:paraId="76A0F4BD" w14:textId="77777777" w:rsidR="005C10D7" w:rsidRDefault="005C10D7">
      <w:pPr>
        <w:pStyle w:val="FootnoteText"/>
      </w:pPr>
      <w:r>
        <w:rPr>
          <w:rStyle w:val="FootnoteReference"/>
        </w:rPr>
        <w:footnoteRef/>
      </w:r>
      <w:r>
        <w:t xml:space="preserve"> </w:t>
      </w:r>
      <w:r w:rsidRPr="008843F0">
        <w:t xml:space="preserve">Percentage greater than 100 as patients may have received more than </w:t>
      </w:r>
      <w:r w:rsidRPr="00300E3C">
        <w:t>one</w:t>
      </w:r>
      <w:r w:rsidRPr="008843F0">
        <w:t xml:space="preserve"> treatment type</w:t>
      </w:r>
      <w:r>
        <w:t>.</w:t>
      </w:r>
    </w:p>
  </w:footnote>
  <w:footnote w:id="15">
    <w:p w14:paraId="77AA2340" w14:textId="77777777" w:rsidR="005C10D7" w:rsidRDefault="005C10D7">
      <w:pPr>
        <w:pStyle w:val="FootnoteText"/>
      </w:pPr>
      <w:r>
        <w:rPr>
          <w:rStyle w:val="FootnoteReference"/>
        </w:rPr>
        <w:footnoteRef/>
      </w:r>
      <w:r>
        <w:t xml:space="preserve"> </w:t>
      </w:r>
      <w:r w:rsidRPr="008843F0">
        <w:t>Percentage greater than 100 as patients may have received more than one treatment type</w:t>
      </w:r>
      <w:r>
        <w:rPr>
          <w:rFonts w:eastAsia="Times"/>
        </w:rPr>
        <w:t>.</w:t>
      </w:r>
    </w:p>
  </w:footnote>
  <w:footnote w:id="16">
    <w:p w14:paraId="5968EE95" w14:textId="206B9C6D" w:rsidR="005C10D7" w:rsidRDefault="005C10D7">
      <w:pPr>
        <w:pStyle w:val="FootnoteText"/>
      </w:pPr>
      <w:r>
        <w:rPr>
          <w:rStyle w:val="FootnoteReference"/>
        </w:rPr>
        <w:footnoteRef/>
      </w:r>
      <w:r>
        <w:t xml:space="preserve"> </w:t>
      </w:r>
      <w:r w:rsidRPr="00DF1B38">
        <w:t xml:space="preserve">2 patients had a DoS Hb documented, 1 patient </w:t>
      </w:r>
      <w:r w:rsidRPr="001A3111">
        <w:t>had</w:t>
      </w:r>
      <w:r w:rsidRPr="00DF1B38">
        <w:t xml:space="preserve"> no Hb documented on DoS</w:t>
      </w:r>
    </w:p>
  </w:footnote>
  <w:footnote w:id="17">
    <w:p w14:paraId="37D876EF" w14:textId="7E2BD7C2" w:rsidR="005C10D7" w:rsidRDefault="005C10D7">
      <w:pPr>
        <w:pStyle w:val="FootnoteText"/>
      </w:pPr>
      <w:r>
        <w:rPr>
          <w:rStyle w:val="FootnoteReference"/>
        </w:rPr>
        <w:footnoteRef/>
      </w:r>
      <w:r>
        <w:t xml:space="preserve"> </w:t>
      </w:r>
      <w:r w:rsidRPr="00DF1B38">
        <w:rPr>
          <w:rFonts w:eastAsia="Times"/>
        </w:rPr>
        <w:t>13 patients had a DoS Hb documented, 6 patients had no Hb document on DoS</w:t>
      </w:r>
    </w:p>
  </w:footnote>
  <w:footnote w:id="18">
    <w:p w14:paraId="005AD8BC" w14:textId="21046167" w:rsidR="005C10D7" w:rsidRDefault="005C10D7">
      <w:pPr>
        <w:pStyle w:val="FootnoteText"/>
      </w:pPr>
      <w:r>
        <w:rPr>
          <w:rStyle w:val="FootnoteReference"/>
        </w:rPr>
        <w:footnoteRef/>
      </w:r>
      <w:r>
        <w:t xml:space="preserve"> </w:t>
      </w:r>
      <w:r w:rsidRPr="00DF1B38">
        <w:rPr>
          <w:rFonts w:eastAsia="Times"/>
        </w:rPr>
        <w:t>2 patients had a DoS Hb documented, 2 patients had no Hb documented on DoS</w:t>
      </w:r>
      <w:r>
        <w:rPr>
          <w:rFonts w:eastAsia="Times"/>
        </w:rPr>
        <w:t>.</w:t>
      </w:r>
    </w:p>
  </w:footnote>
  <w:footnote w:id="19">
    <w:p w14:paraId="36656B6C" w14:textId="79A697AC" w:rsidR="005C10D7" w:rsidRDefault="005C10D7">
      <w:pPr>
        <w:pStyle w:val="FootnoteText"/>
      </w:pPr>
      <w:r>
        <w:rPr>
          <w:rStyle w:val="FootnoteReference"/>
        </w:rPr>
        <w:footnoteRef/>
      </w:r>
      <w:r>
        <w:t xml:space="preserve"> </w:t>
      </w:r>
      <w:r w:rsidRPr="00386401">
        <w:rPr>
          <w:rFonts w:eastAsia="Times"/>
        </w:rPr>
        <w:t xml:space="preserve">47 patients receiving </w:t>
      </w:r>
      <w:r w:rsidRPr="00DF1B38">
        <w:rPr>
          <w:rFonts w:eastAsia="Times"/>
        </w:rPr>
        <w:t>postoperative</w:t>
      </w:r>
      <w:r w:rsidRPr="00386401">
        <w:rPr>
          <w:rFonts w:eastAsia="Times"/>
        </w:rPr>
        <w:t xml:space="preserve"> transfusion did not have a DoS Hb taken: 23 orthopaedics, 1 gynaecology, 15 </w:t>
      </w:r>
      <w:proofErr w:type="gramStart"/>
      <w:r w:rsidRPr="00386401">
        <w:rPr>
          <w:rFonts w:eastAsia="Times"/>
        </w:rPr>
        <w:t>major</w:t>
      </w:r>
      <w:proofErr w:type="gramEnd"/>
      <w:r w:rsidRPr="00386401">
        <w:rPr>
          <w:rFonts w:eastAsia="Times"/>
        </w:rPr>
        <w:t xml:space="preserve"> gastrointestinal, 8 cardiothoracic</w:t>
      </w:r>
      <w:r w:rsidRPr="008843F0">
        <w:rPr>
          <w:rFonts w:eastAsia="Tim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28920" w14:textId="77777777" w:rsidR="005C10D7" w:rsidRDefault="005C10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9E844" w14:textId="77777777" w:rsidR="005C10D7" w:rsidRPr="00454A7D" w:rsidRDefault="005C10D7"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77AF0" w14:textId="77777777" w:rsidR="005C10D7" w:rsidRDefault="005C10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64234" w14:textId="2AFE763E" w:rsidR="005C10D7" w:rsidRDefault="005C10D7">
    <w:pPr>
      <w:pStyle w:val="Header"/>
    </w:pPr>
    <w:r w:rsidRPr="006A378A">
      <w:t>Perioperative anaemia assessment and management in elective surgical procedures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6</w:t>
    </w:r>
    <w:r w:rsidRPr="00DE6C85">
      <w:rPr>
        <w:b w:val="0"/>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97F2E" w14:textId="77777777" w:rsidR="005C10D7" w:rsidRPr="00454A7D" w:rsidRDefault="005C10D7"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2C7A3" w14:textId="260ECF29" w:rsidR="005C10D7" w:rsidRPr="0051568D" w:rsidRDefault="005C10D7" w:rsidP="0017674D">
    <w:pPr>
      <w:pStyle w:val="Header"/>
    </w:pP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855E4" w14:textId="6D34AD1A" w:rsidR="005C10D7" w:rsidRPr="007B7978" w:rsidRDefault="005C10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0E6AD" w14:textId="37D08B9A" w:rsidR="005C10D7" w:rsidRDefault="005C10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8FF07" w14:textId="32E2F146" w:rsidR="005C10D7" w:rsidRPr="0051568D" w:rsidRDefault="005C10D7" w:rsidP="0017674D">
    <w:pPr>
      <w:pStyle w:val="Header"/>
    </w:pPr>
    <w:r w:rsidRPr="006A378A">
      <w:t xml:space="preserve">Perioperative anaemia assessment and management in elective surgical </w:t>
    </w:r>
    <w:r>
      <w:t>procedures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Cs/>
        <w:noProof/>
      </w:rPr>
      <w:t>21</w:t>
    </w:r>
    <w:r w:rsidRPr="00DE6C85">
      <w:rPr>
        <w:b w:val="0"/>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A55E4" w14:textId="49E946C6" w:rsidR="005C10D7" w:rsidRDefault="005C10D7">
    <w:pPr>
      <w:pStyle w:val="Header"/>
    </w:pPr>
    <w:r w:rsidRPr="006A378A">
      <w:t>Perioperative anaemia assessment and management in elective surgical procedures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Cs/>
        <w:noProof/>
      </w:rPr>
      <w:t>5</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9A395D"/>
    <w:multiLevelType w:val="hybridMultilevel"/>
    <w:tmpl w:val="CB400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0A94238"/>
    <w:multiLevelType w:val="hybridMultilevel"/>
    <w:tmpl w:val="66C4E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7"/>
  </w:num>
  <w:num w:numId="9">
    <w:abstractNumId w:val="22"/>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7"/>
  </w:num>
  <w:num w:numId="25">
    <w:abstractNumId w:val="25"/>
  </w:num>
  <w:num w:numId="26">
    <w:abstractNumId w:val="21"/>
  </w:num>
  <w:num w:numId="27">
    <w:abstractNumId w:val="11"/>
  </w:num>
  <w:num w:numId="28">
    <w:abstractNumId w:val="28"/>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48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412"/>
    <w:rsid w:val="00000719"/>
    <w:rsid w:val="00002D68"/>
    <w:rsid w:val="000033F7"/>
    <w:rsid w:val="00003403"/>
    <w:rsid w:val="00005347"/>
    <w:rsid w:val="000072B6"/>
    <w:rsid w:val="0001021B"/>
    <w:rsid w:val="00011D89"/>
    <w:rsid w:val="000154FD"/>
    <w:rsid w:val="00022271"/>
    <w:rsid w:val="000235E8"/>
    <w:rsid w:val="00024D89"/>
    <w:rsid w:val="00024EE2"/>
    <w:rsid w:val="000250B6"/>
    <w:rsid w:val="00030CDD"/>
    <w:rsid w:val="00033D81"/>
    <w:rsid w:val="00033DC9"/>
    <w:rsid w:val="000346A3"/>
    <w:rsid w:val="000372C7"/>
    <w:rsid w:val="00037366"/>
    <w:rsid w:val="00041BF0"/>
    <w:rsid w:val="00042C8A"/>
    <w:rsid w:val="0004434B"/>
    <w:rsid w:val="0004536B"/>
    <w:rsid w:val="00046B68"/>
    <w:rsid w:val="000527DD"/>
    <w:rsid w:val="00056EC4"/>
    <w:rsid w:val="000578B2"/>
    <w:rsid w:val="00060959"/>
    <w:rsid w:val="00060C8F"/>
    <w:rsid w:val="0006298A"/>
    <w:rsid w:val="000663CD"/>
    <w:rsid w:val="000733FE"/>
    <w:rsid w:val="00074219"/>
    <w:rsid w:val="00074ED5"/>
    <w:rsid w:val="0008204A"/>
    <w:rsid w:val="0008508E"/>
    <w:rsid w:val="00085EE3"/>
    <w:rsid w:val="00087951"/>
    <w:rsid w:val="000907BC"/>
    <w:rsid w:val="0009113B"/>
    <w:rsid w:val="00093402"/>
    <w:rsid w:val="00094DA3"/>
    <w:rsid w:val="00096CD1"/>
    <w:rsid w:val="000A012C"/>
    <w:rsid w:val="000A0EB9"/>
    <w:rsid w:val="000A186C"/>
    <w:rsid w:val="000A1EA4"/>
    <w:rsid w:val="000A2476"/>
    <w:rsid w:val="000A641A"/>
    <w:rsid w:val="000A6DC0"/>
    <w:rsid w:val="000B3101"/>
    <w:rsid w:val="000B3EDB"/>
    <w:rsid w:val="000B543D"/>
    <w:rsid w:val="000B55F9"/>
    <w:rsid w:val="000B5BF7"/>
    <w:rsid w:val="000B6BC8"/>
    <w:rsid w:val="000C0303"/>
    <w:rsid w:val="000C42EA"/>
    <w:rsid w:val="000C4546"/>
    <w:rsid w:val="000D100C"/>
    <w:rsid w:val="000D1242"/>
    <w:rsid w:val="000D2ABA"/>
    <w:rsid w:val="000D5AFB"/>
    <w:rsid w:val="000E0970"/>
    <w:rsid w:val="000E3CC7"/>
    <w:rsid w:val="000E4493"/>
    <w:rsid w:val="000E6BD4"/>
    <w:rsid w:val="000E6D6D"/>
    <w:rsid w:val="000F063A"/>
    <w:rsid w:val="000F1F1E"/>
    <w:rsid w:val="000F2259"/>
    <w:rsid w:val="000F2DDA"/>
    <w:rsid w:val="000F2EA0"/>
    <w:rsid w:val="000F5213"/>
    <w:rsid w:val="000F5DEB"/>
    <w:rsid w:val="00101001"/>
    <w:rsid w:val="00103276"/>
    <w:rsid w:val="0010392D"/>
    <w:rsid w:val="0010447F"/>
    <w:rsid w:val="00104FE3"/>
    <w:rsid w:val="00105F80"/>
    <w:rsid w:val="0010714F"/>
    <w:rsid w:val="001120C5"/>
    <w:rsid w:val="001141C8"/>
    <w:rsid w:val="00120BD3"/>
    <w:rsid w:val="00122FEA"/>
    <w:rsid w:val="001232BD"/>
    <w:rsid w:val="001236DC"/>
    <w:rsid w:val="00124ED5"/>
    <w:rsid w:val="001276FA"/>
    <w:rsid w:val="0013503F"/>
    <w:rsid w:val="001447B3"/>
    <w:rsid w:val="00152073"/>
    <w:rsid w:val="00152329"/>
    <w:rsid w:val="00156598"/>
    <w:rsid w:val="00161939"/>
    <w:rsid w:val="00161AA0"/>
    <w:rsid w:val="00161D2E"/>
    <w:rsid w:val="00161F3E"/>
    <w:rsid w:val="00162093"/>
    <w:rsid w:val="00162CA9"/>
    <w:rsid w:val="00165459"/>
    <w:rsid w:val="00165A57"/>
    <w:rsid w:val="00170B96"/>
    <w:rsid w:val="001712C2"/>
    <w:rsid w:val="00172BAF"/>
    <w:rsid w:val="00173908"/>
    <w:rsid w:val="0017674D"/>
    <w:rsid w:val="001771DD"/>
    <w:rsid w:val="00177995"/>
    <w:rsid w:val="00177A8C"/>
    <w:rsid w:val="0018244E"/>
    <w:rsid w:val="00183AC0"/>
    <w:rsid w:val="0018579B"/>
    <w:rsid w:val="00186B33"/>
    <w:rsid w:val="001920FB"/>
    <w:rsid w:val="00192F9D"/>
    <w:rsid w:val="00196EB8"/>
    <w:rsid w:val="00196EFB"/>
    <w:rsid w:val="001979FF"/>
    <w:rsid w:val="00197B17"/>
    <w:rsid w:val="001A1950"/>
    <w:rsid w:val="001A1C54"/>
    <w:rsid w:val="001A3111"/>
    <w:rsid w:val="001A3ACE"/>
    <w:rsid w:val="001A6272"/>
    <w:rsid w:val="001B058F"/>
    <w:rsid w:val="001B6B96"/>
    <w:rsid w:val="001B738B"/>
    <w:rsid w:val="001C09DB"/>
    <w:rsid w:val="001C0DD4"/>
    <w:rsid w:val="001C277E"/>
    <w:rsid w:val="001C2A72"/>
    <w:rsid w:val="001C31B7"/>
    <w:rsid w:val="001C5B45"/>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2E4"/>
    <w:rsid w:val="0021053D"/>
    <w:rsid w:val="00210A92"/>
    <w:rsid w:val="00211F83"/>
    <w:rsid w:val="00212B95"/>
    <w:rsid w:val="00215CC8"/>
    <w:rsid w:val="00216C03"/>
    <w:rsid w:val="00220A1A"/>
    <w:rsid w:val="00220C04"/>
    <w:rsid w:val="0022278D"/>
    <w:rsid w:val="0022701F"/>
    <w:rsid w:val="00227C68"/>
    <w:rsid w:val="002333F5"/>
    <w:rsid w:val="00233724"/>
    <w:rsid w:val="002365B4"/>
    <w:rsid w:val="002401E8"/>
    <w:rsid w:val="002432E1"/>
    <w:rsid w:val="00245F23"/>
    <w:rsid w:val="00246207"/>
    <w:rsid w:val="00246C5E"/>
    <w:rsid w:val="00250960"/>
    <w:rsid w:val="00251343"/>
    <w:rsid w:val="002536A4"/>
    <w:rsid w:val="00254F58"/>
    <w:rsid w:val="00260A02"/>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5E7"/>
    <w:rsid w:val="002A0A9C"/>
    <w:rsid w:val="002A483C"/>
    <w:rsid w:val="002A6F49"/>
    <w:rsid w:val="002B0C7C"/>
    <w:rsid w:val="002B1729"/>
    <w:rsid w:val="002B2FD9"/>
    <w:rsid w:val="002B36C7"/>
    <w:rsid w:val="002B4DD4"/>
    <w:rsid w:val="002B5277"/>
    <w:rsid w:val="002B5375"/>
    <w:rsid w:val="002B60F7"/>
    <w:rsid w:val="002B77C1"/>
    <w:rsid w:val="002C0ED7"/>
    <w:rsid w:val="002C2728"/>
    <w:rsid w:val="002C5B7C"/>
    <w:rsid w:val="002D1E0D"/>
    <w:rsid w:val="002D5006"/>
    <w:rsid w:val="002D6FF2"/>
    <w:rsid w:val="002D7C61"/>
    <w:rsid w:val="002E01D0"/>
    <w:rsid w:val="002E161D"/>
    <w:rsid w:val="002E28A2"/>
    <w:rsid w:val="002E2EA0"/>
    <w:rsid w:val="002E3100"/>
    <w:rsid w:val="002E6C95"/>
    <w:rsid w:val="002E6E41"/>
    <w:rsid w:val="002E7C36"/>
    <w:rsid w:val="002F062C"/>
    <w:rsid w:val="002F2114"/>
    <w:rsid w:val="002F3D32"/>
    <w:rsid w:val="002F5F31"/>
    <w:rsid w:val="002F5F46"/>
    <w:rsid w:val="00302216"/>
    <w:rsid w:val="00303E53"/>
    <w:rsid w:val="00305CC1"/>
    <w:rsid w:val="00306E5F"/>
    <w:rsid w:val="00307E14"/>
    <w:rsid w:val="00313701"/>
    <w:rsid w:val="00314054"/>
    <w:rsid w:val="00314412"/>
    <w:rsid w:val="00316F27"/>
    <w:rsid w:val="00321331"/>
    <w:rsid w:val="003214F1"/>
    <w:rsid w:val="00322E4B"/>
    <w:rsid w:val="0032433A"/>
    <w:rsid w:val="00327870"/>
    <w:rsid w:val="0033259D"/>
    <w:rsid w:val="003333D2"/>
    <w:rsid w:val="00334686"/>
    <w:rsid w:val="00337339"/>
    <w:rsid w:val="00340345"/>
    <w:rsid w:val="003406C6"/>
    <w:rsid w:val="003418CC"/>
    <w:rsid w:val="003434EE"/>
    <w:rsid w:val="003459BD"/>
    <w:rsid w:val="00350D38"/>
    <w:rsid w:val="00351B36"/>
    <w:rsid w:val="003557F7"/>
    <w:rsid w:val="00357B4E"/>
    <w:rsid w:val="0037064F"/>
    <w:rsid w:val="003716FD"/>
    <w:rsid w:val="0037204B"/>
    <w:rsid w:val="003744CF"/>
    <w:rsid w:val="00374717"/>
    <w:rsid w:val="0037676C"/>
    <w:rsid w:val="00381043"/>
    <w:rsid w:val="003826AB"/>
    <w:rsid w:val="003829E5"/>
    <w:rsid w:val="0038378B"/>
    <w:rsid w:val="00386109"/>
    <w:rsid w:val="00386944"/>
    <w:rsid w:val="00386CF8"/>
    <w:rsid w:val="003956CC"/>
    <w:rsid w:val="00395C9A"/>
    <w:rsid w:val="00397076"/>
    <w:rsid w:val="003A0853"/>
    <w:rsid w:val="003A6B67"/>
    <w:rsid w:val="003B13B6"/>
    <w:rsid w:val="003B14C3"/>
    <w:rsid w:val="003B15E6"/>
    <w:rsid w:val="003B22EF"/>
    <w:rsid w:val="003B408A"/>
    <w:rsid w:val="003C08A2"/>
    <w:rsid w:val="003C0EE8"/>
    <w:rsid w:val="003C2045"/>
    <w:rsid w:val="003C2836"/>
    <w:rsid w:val="003C43A1"/>
    <w:rsid w:val="003C4FC0"/>
    <w:rsid w:val="003C55F4"/>
    <w:rsid w:val="003C7897"/>
    <w:rsid w:val="003C7A3F"/>
    <w:rsid w:val="003C7AFA"/>
    <w:rsid w:val="003D2766"/>
    <w:rsid w:val="003D2A74"/>
    <w:rsid w:val="003D3D88"/>
    <w:rsid w:val="003D3E8F"/>
    <w:rsid w:val="003D4149"/>
    <w:rsid w:val="003D6475"/>
    <w:rsid w:val="003D6EE6"/>
    <w:rsid w:val="003E375C"/>
    <w:rsid w:val="003E4086"/>
    <w:rsid w:val="003E639E"/>
    <w:rsid w:val="003E71E5"/>
    <w:rsid w:val="003F0445"/>
    <w:rsid w:val="003F0CF0"/>
    <w:rsid w:val="003F0EE9"/>
    <w:rsid w:val="003F14B1"/>
    <w:rsid w:val="003F2B20"/>
    <w:rsid w:val="003F3289"/>
    <w:rsid w:val="003F3C62"/>
    <w:rsid w:val="003F5CB9"/>
    <w:rsid w:val="004013C7"/>
    <w:rsid w:val="00401F99"/>
    <w:rsid w:val="00401FCF"/>
    <w:rsid w:val="00406285"/>
    <w:rsid w:val="0040765C"/>
    <w:rsid w:val="004115A2"/>
    <w:rsid w:val="004148F9"/>
    <w:rsid w:val="00417439"/>
    <w:rsid w:val="0042084E"/>
    <w:rsid w:val="00421EEF"/>
    <w:rsid w:val="00424D65"/>
    <w:rsid w:val="00430393"/>
    <w:rsid w:val="00431806"/>
    <w:rsid w:val="00431A70"/>
    <w:rsid w:val="00431F42"/>
    <w:rsid w:val="004427B0"/>
    <w:rsid w:val="00442C6C"/>
    <w:rsid w:val="00443CBE"/>
    <w:rsid w:val="00443E8A"/>
    <w:rsid w:val="004441BC"/>
    <w:rsid w:val="004448F1"/>
    <w:rsid w:val="004468B4"/>
    <w:rsid w:val="00446D86"/>
    <w:rsid w:val="0045230A"/>
    <w:rsid w:val="00454A7D"/>
    <w:rsid w:val="00454AD0"/>
    <w:rsid w:val="00457337"/>
    <w:rsid w:val="00462E3D"/>
    <w:rsid w:val="00466E79"/>
    <w:rsid w:val="0047037F"/>
    <w:rsid w:val="00470D7D"/>
    <w:rsid w:val="0047372D"/>
    <w:rsid w:val="00473BA3"/>
    <w:rsid w:val="004743DD"/>
    <w:rsid w:val="00474CEA"/>
    <w:rsid w:val="00483968"/>
    <w:rsid w:val="004841BE"/>
    <w:rsid w:val="00484F86"/>
    <w:rsid w:val="00490746"/>
    <w:rsid w:val="00490852"/>
    <w:rsid w:val="00491C9C"/>
    <w:rsid w:val="00492F30"/>
    <w:rsid w:val="00493168"/>
    <w:rsid w:val="004946F4"/>
    <w:rsid w:val="0049487E"/>
    <w:rsid w:val="004A160D"/>
    <w:rsid w:val="004A3E81"/>
    <w:rsid w:val="004A4195"/>
    <w:rsid w:val="004A5C62"/>
    <w:rsid w:val="004A5CE5"/>
    <w:rsid w:val="004A707D"/>
    <w:rsid w:val="004B0974"/>
    <w:rsid w:val="004B3444"/>
    <w:rsid w:val="004B4185"/>
    <w:rsid w:val="004C0533"/>
    <w:rsid w:val="004C2B12"/>
    <w:rsid w:val="004C5541"/>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5398"/>
    <w:rsid w:val="004F55F1"/>
    <w:rsid w:val="004F6936"/>
    <w:rsid w:val="00503DC6"/>
    <w:rsid w:val="00504956"/>
    <w:rsid w:val="00506F5D"/>
    <w:rsid w:val="00510C37"/>
    <w:rsid w:val="005126D0"/>
    <w:rsid w:val="00514667"/>
    <w:rsid w:val="0051568D"/>
    <w:rsid w:val="005157DF"/>
    <w:rsid w:val="0051583C"/>
    <w:rsid w:val="00526AC7"/>
    <w:rsid w:val="00526C15"/>
    <w:rsid w:val="00536499"/>
    <w:rsid w:val="0054062C"/>
    <w:rsid w:val="00540FAF"/>
    <w:rsid w:val="00542A03"/>
    <w:rsid w:val="00543903"/>
    <w:rsid w:val="00543BCC"/>
    <w:rsid w:val="00543F11"/>
    <w:rsid w:val="00544135"/>
    <w:rsid w:val="00546305"/>
    <w:rsid w:val="00547A95"/>
    <w:rsid w:val="0055119B"/>
    <w:rsid w:val="00560B3D"/>
    <w:rsid w:val="00561202"/>
    <w:rsid w:val="00562507"/>
    <w:rsid w:val="00562811"/>
    <w:rsid w:val="00563DB2"/>
    <w:rsid w:val="00567102"/>
    <w:rsid w:val="00572031"/>
    <w:rsid w:val="00572282"/>
    <w:rsid w:val="00573CE3"/>
    <w:rsid w:val="005761FF"/>
    <w:rsid w:val="00576948"/>
    <w:rsid w:val="00576E84"/>
    <w:rsid w:val="00580394"/>
    <w:rsid w:val="005809CD"/>
    <w:rsid w:val="00582B8C"/>
    <w:rsid w:val="00585CDF"/>
    <w:rsid w:val="0058757E"/>
    <w:rsid w:val="00596A4B"/>
    <w:rsid w:val="00597507"/>
    <w:rsid w:val="005A479D"/>
    <w:rsid w:val="005B1C6D"/>
    <w:rsid w:val="005B21B6"/>
    <w:rsid w:val="005B3A08"/>
    <w:rsid w:val="005B7A63"/>
    <w:rsid w:val="005C0955"/>
    <w:rsid w:val="005C10D7"/>
    <w:rsid w:val="005C3036"/>
    <w:rsid w:val="005C49DA"/>
    <w:rsid w:val="005C50F3"/>
    <w:rsid w:val="005C54B5"/>
    <w:rsid w:val="005C5D80"/>
    <w:rsid w:val="005C5D91"/>
    <w:rsid w:val="005D07B8"/>
    <w:rsid w:val="005D6597"/>
    <w:rsid w:val="005E14E7"/>
    <w:rsid w:val="005E26A3"/>
    <w:rsid w:val="005E2ECB"/>
    <w:rsid w:val="005E447E"/>
    <w:rsid w:val="005E4FD1"/>
    <w:rsid w:val="005E6D44"/>
    <w:rsid w:val="005F0775"/>
    <w:rsid w:val="005F0CF5"/>
    <w:rsid w:val="005F1EE8"/>
    <w:rsid w:val="005F21EB"/>
    <w:rsid w:val="005F424B"/>
    <w:rsid w:val="005F64CF"/>
    <w:rsid w:val="006041AD"/>
    <w:rsid w:val="00605908"/>
    <w:rsid w:val="00607850"/>
    <w:rsid w:val="00607EF7"/>
    <w:rsid w:val="00610D7C"/>
    <w:rsid w:val="00613414"/>
    <w:rsid w:val="0061563A"/>
    <w:rsid w:val="00620154"/>
    <w:rsid w:val="0062408D"/>
    <w:rsid w:val="006240CC"/>
    <w:rsid w:val="00624940"/>
    <w:rsid w:val="006254F8"/>
    <w:rsid w:val="0062793C"/>
    <w:rsid w:val="00627DA7"/>
    <w:rsid w:val="00630DA4"/>
    <w:rsid w:val="00631CD4"/>
    <w:rsid w:val="00632597"/>
    <w:rsid w:val="006332DD"/>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27D"/>
    <w:rsid w:val="006608D8"/>
    <w:rsid w:val="006621D7"/>
    <w:rsid w:val="0066302A"/>
    <w:rsid w:val="00667770"/>
    <w:rsid w:val="00670597"/>
    <w:rsid w:val="006706D0"/>
    <w:rsid w:val="00677574"/>
    <w:rsid w:val="006812ED"/>
    <w:rsid w:val="00683878"/>
    <w:rsid w:val="00684380"/>
    <w:rsid w:val="0068454C"/>
    <w:rsid w:val="00691B62"/>
    <w:rsid w:val="006933B5"/>
    <w:rsid w:val="00693D14"/>
    <w:rsid w:val="00696F27"/>
    <w:rsid w:val="006A18C2"/>
    <w:rsid w:val="006A3383"/>
    <w:rsid w:val="006A570E"/>
    <w:rsid w:val="006B077C"/>
    <w:rsid w:val="006B4402"/>
    <w:rsid w:val="006B6803"/>
    <w:rsid w:val="006C1F46"/>
    <w:rsid w:val="006D0F16"/>
    <w:rsid w:val="006D2A3F"/>
    <w:rsid w:val="006D2FBC"/>
    <w:rsid w:val="006D6E34"/>
    <w:rsid w:val="006E138B"/>
    <w:rsid w:val="006E1867"/>
    <w:rsid w:val="006F0330"/>
    <w:rsid w:val="006F08FE"/>
    <w:rsid w:val="006F1FDC"/>
    <w:rsid w:val="006F4FEC"/>
    <w:rsid w:val="006F6B8C"/>
    <w:rsid w:val="00700345"/>
    <w:rsid w:val="007013EF"/>
    <w:rsid w:val="007055BD"/>
    <w:rsid w:val="00712AF7"/>
    <w:rsid w:val="007173CA"/>
    <w:rsid w:val="007216AA"/>
    <w:rsid w:val="00721AB5"/>
    <w:rsid w:val="00721CFB"/>
    <w:rsid w:val="00721DEF"/>
    <w:rsid w:val="00724A43"/>
    <w:rsid w:val="00726913"/>
    <w:rsid w:val="007273AC"/>
    <w:rsid w:val="00731AD4"/>
    <w:rsid w:val="007346E4"/>
    <w:rsid w:val="00735564"/>
    <w:rsid w:val="007377F8"/>
    <w:rsid w:val="00740F22"/>
    <w:rsid w:val="00741CF0"/>
    <w:rsid w:val="00741F1A"/>
    <w:rsid w:val="007447DA"/>
    <w:rsid w:val="007450F8"/>
    <w:rsid w:val="0074696E"/>
    <w:rsid w:val="00750135"/>
    <w:rsid w:val="00750EC2"/>
    <w:rsid w:val="00752B28"/>
    <w:rsid w:val="007536BC"/>
    <w:rsid w:val="007541A9"/>
    <w:rsid w:val="00754E36"/>
    <w:rsid w:val="00761C6F"/>
    <w:rsid w:val="00763139"/>
    <w:rsid w:val="00765E08"/>
    <w:rsid w:val="00770F37"/>
    <w:rsid w:val="007711A0"/>
    <w:rsid w:val="00772D5E"/>
    <w:rsid w:val="0077463E"/>
    <w:rsid w:val="00776928"/>
    <w:rsid w:val="00776D56"/>
    <w:rsid w:val="00776E0F"/>
    <w:rsid w:val="007774B1"/>
    <w:rsid w:val="00777BE1"/>
    <w:rsid w:val="00782222"/>
    <w:rsid w:val="007833D8"/>
    <w:rsid w:val="00783832"/>
    <w:rsid w:val="00785677"/>
    <w:rsid w:val="00786F16"/>
    <w:rsid w:val="00791BD7"/>
    <w:rsid w:val="007933F7"/>
    <w:rsid w:val="00793777"/>
    <w:rsid w:val="00796E20"/>
    <w:rsid w:val="00797C32"/>
    <w:rsid w:val="007A11E8"/>
    <w:rsid w:val="007B0914"/>
    <w:rsid w:val="007B1374"/>
    <w:rsid w:val="007B162C"/>
    <w:rsid w:val="007B32E5"/>
    <w:rsid w:val="007B3DB9"/>
    <w:rsid w:val="007B589F"/>
    <w:rsid w:val="007B6186"/>
    <w:rsid w:val="007B73BC"/>
    <w:rsid w:val="007B7978"/>
    <w:rsid w:val="007C1838"/>
    <w:rsid w:val="007C20B9"/>
    <w:rsid w:val="007C7301"/>
    <w:rsid w:val="007C7859"/>
    <w:rsid w:val="007C7F28"/>
    <w:rsid w:val="007D1466"/>
    <w:rsid w:val="007D2BDE"/>
    <w:rsid w:val="007D2FB6"/>
    <w:rsid w:val="007D49EB"/>
    <w:rsid w:val="007D5E1C"/>
    <w:rsid w:val="007E0DE2"/>
    <w:rsid w:val="007E23BF"/>
    <w:rsid w:val="007E3667"/>
    <w:rsid w:val="007E3B98"/>
    <w:rsid w:val="007E417A"/>
    <w:rsid w:val="007E548D"/>
    <w:rsid w:val="007F31B6"/>
    <w:rsid w:val="007F546C"/>
    <w:rsid w:val="007F625F"/>
    <w:rsid w:val="007F665E"/>
    <w:rsid w:val="00800412"/>
    <w:rsid w:val="0080220B"/>
    <w:rsid w:val="0080587B"/>
    <w:rsid w:val="00806468"/>
    <w:rsid w:val="008119CA"/>
    <w:rsid w:val="008130C4"/>
    <w:rsid w:val="0081407B"/>
    <w:rsid w:val="008155F0"/>
    <w:rsid w:val="00816735"/>
    <w:rsid w:val="00820141"/>
    <w:rsid w:val="00820E0C"/>
    <w:rsid w:val="00823275"/>
    <w:rsid w:val="0082366F"/>
    <w:rsid w:val="00830EE1"/>
    <w:rsid w:val="008338A2"/>
    <w:rsid w:val="00841AA9"/>
    <w:rsid w:val="008474D6"/>
    <w:rsid w:val="008474FE"/>
    <w:rsid w:val="00853EE4"/>
    <w:rsid w:val="00855535"/>
    <w:rsid w:val="00857812"/>
    <w:rsid w:val="00857C5A"/>
    <w:rsid w:val="0086255E"/>
    <w:rsid w:val="008633F0"/>
    <w:rsid w:val="00866EB8"/>
    <w:rsid w:val="00867D9D"/>
    <w:rsid w:val="00872E0A"/>
    <w:rsid w:val="00873594"/>
    <w:rsid w:val="00875285"/>
    <w:rsid w:val="00884B62"/>
    <w:rsid w:val="0088529C"/>
    <w:rsid w:val="00887903"/>
    <w:rsid w:val="0089270A"/>
    <w:rsid w:val="00893AF6"/>
    <w:rsid w:val="00894BC4"/>
    <w:rsid w:val="00896890"/>
    <w:rsid w:val="008977D1"/>
    <w:rsid w:val="008A28A8"/>
    <w:rsid w:val="008A54AC"/>
    <w:rsid w:val="008A5B32"/>
    <w:rsid w:val="008B2029"/>
    <w:rsid w:val="008B2EE4"/>
    <w:rsid w:val="008B3821"/>
    <w:rsid w:val="008B4D3D"/>
    <w:rsid w:val="008B57C7"/>
    <w:rsid w:val="008C0A98"/>
    <w:rsid w:val="008C2F92"/>
    <w:rsid w:val="008C3546"/>
    <w:rsid w:val="008C589D"/>
    <w:rsid w:val="008C6D51"/>
    <w:rsid w:val="008D2846"/>
    <w:rsid w:val="008D4236"/>
    <w:rsid w:val="008D462F"/>
    <w:rsid w:val="008D6DCF"/>
    <w:rsid w:val="008E4376"/>
    <w:rsid w:val="008E7A0A"/>
    <w:rsid w:val="008E7B49"/>
    <w:rsid w:val="008F5214"/>
    <w:rsid w:val="008F59F6"/>
    <w:rsid w:val="008F5BD6"/>
    <w:rsid w:val="00900719"/>
    <w:rsid w:val="009017AC"/>
    <w:rsid w:val="00902A9A"/>
    <w:rsid w:val="00904A1C"/>
    <w:rsid w:val="00905030"/>
    <w:rsid w:val="00906490"/>
    <w:rsid w:val="009111B2"/>
    <w:rsid w:val="009151F5"/>
    <w:rsid w:val="00920CE9"/>
    <w:rsid w:val="00920CF7"/>
    <w:rsid w:val="00924AE1"/>
    <w:rsid w:val="009269B1"/>
    <w:rsid w:val="0092724D"/>
    <w:rsid w:val="009272B3"/>
    <w:rsid w:val="009315BE"/>
    <w:rsid w:val="009326DD"/>
    <w:rsid w:val="0093338F"/>
    <w:rsid w:val="009336E0"/>
    <w:rsid w:val="00933EA0"/>
    <w:rsid w:val="009346CF"/>
    <w:rsid w:val="00937BD9"/>
    <w:rsid w:val="00950E2C"/>
    <w:rsid w:val="00951D50"/>
    <w:rsid w:val="009525EB"/>
    <w:rsid w:val="0095426F"/>
    <w:rsid w:val="0095470B"/>
    <w:rsid w:val="00954874"/>
    <w:rsid w:val="0095615A"/>
    <w:rsid w:val="0095616D"/>
    <w:rsid w:val="00961400"/>
    <w:rsid w:val="00963646"/>
    <w:rsid w:val="0096632D"/>
    <w:rsid w:val="00967124"/>
    <w:rsid w:val="00971266"/>
    <w:rsid w:val="0097166C"/>
    <w:rsid w:val="00971720"/>
    <w:rsid w:val="009718C7"/>
    <w:rsid w:val="0097559F"/>
    <w:rsid w:val="009761EA"/>
    <w:rsid w:val="0097761E"/>
    <w:rsid w:val="00977D59"/>
    <w:rsid w:val="00982454"/>
    <w:rsid w:val="00982BEB"/>
    <w:rsid w:val="00982CF0"/>
    <w:rsid w:val="009853E1"/>
    <w:rsid w:val="00986E6B"/>
    <w:rsid w:val="00990032"/>
    <w:rsid w:val="00990B19"/>
    <w:rsid w:val="0099153B"/>
    <w:rsid w:val="00991769"/>
    <w:rsid w:val="0099232C"/>
    <w:rsid w:val="00994386"/>
    <w:rsid w:val="009A13D8"/>
    <w:rsid w:val="009A279E"/>
    <w:rsid w:val="009A3015"/>
    <w:rsid w:val="009A3490"/>
    <w:rsid w:val="009A7C43"/>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817"/>
    <w:rsid w:val="009F6BCB"/>
    <w:rsid w:val="009F7B78"/>
    <w:rsid w:val="00A0057A"/>
    <w:rsid w:val="00A02FA1"/>
    <w:rsid w:val="00A04CCE"/>
    <w:rsid w:val="00A07421"/>
    <w:rsid w:val="00A0776B"/>
    <w:rsid w:val="00A10FB9"/>
    <w:rsid w:val="00A11421"/>
    <w:rsid w:val="00A1389F"/>
    <w:rsid w:val="00A13B7A"/>
    <w:rsid w:val="00A157B1"/>
    <w:rsid w:val="00A205DD"/>
    <w:rsid w:val="00A22229"/>
    <w:rsid w:val="00A24442"/>
    <w:rsid w:val="00A24ADA"/>
    <w:rsid w:val="00A32577"/>
    <w:rsid w:val="00A330BB"/>
    <w:rsid w:val="00A446F5"/>
    <w:rsid w:val="00A44882"/>
    <w:rsid w:val="00A45125"/>
    <w:rsid w:val="00A54715"/>
    <w:rsid w:val="00A6061C"/>
    <w:rsid w:val="00A62D44"/>
    <w:rsid w:val="00A67263"/>
    <w:rsid w:val="00A7161C"/>
    <w:rsid w:val="00A71CE4"/>
    <w:rsid w:val="00A77AA3"/>
    <w:rsid w:val="00A77FD0"/>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C7CA4"/>
    <w:rsid w:val="00AD0CBA"/>
    <w:rsid w:val="00AD2689"/>
    <w:rsid w:val="00AD26E2"/>
    <w:rsid w:val="00AD784C"/>
    <w:rsid w:val="00AE126A"/>
    <w:rsid w:val="00AE1BAE"/>
    <w:rsid w:val="00AE1BB2"/>
    <w:rsid w:val="00AE3005"/>
    <w:rsid w:val="00AE3BD5"/>
    <w:rsid w:val="00AE59A0"/>
    <w:rsid w:val="00AF0C57"/>
    <w:rsid w:val="00AF26F3"/>
    <w:rsid w:val="00AF5F04"/>
    <w:rsid w:val="00B00672"/>
    <w:rsid w:val="00B01B4D"/>
    <w:rsid w:val="00B04489"/>
    <w:rsid w:val="00B06571"/>
    <w:rsid w:val="00B068BA"/>
    <w:rsid w:val="00B07217"/>
    <w:rsid w:val="00B1105F"/>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1C29"/>
    <w:rsid w:val="00B62B50"/>
    <w:rsid w:val="00B635B7"/>
    <w:rsid w:val="00B63AE8"/>
    <w:rsid w:val="00B65950"/>
    <w:rsid w:val="00B66D83"/>
    <w:rsid w:val="00B672C0"/>
    <w:rsid w:val="00B676FD"/>
    <w:rsid w:val="00B678B6"/>
    <w:rsid w:val="00B75646"/>
    <w:rsid w:val="00B7629E"/>
    <w:rsid w:val="00B90729"/>
    <w:rsid w:val="00B907DA"/>
    <w:rsid w:val="00B90B09"/>
    <w:rsid w:val="00B94C5E"/>
    <w:rsid w:val="00B950BC"/>
    <w:rsid w:val="00B9714C"/>
    <w:rsid w:val="00BA26F6"/>
    <w:rsid w:val="00BA29AD"/>
    <w:rsid w:val="00BA33CF"/>
    <w:rsid w:val="00BA3F8D"/>
    <w:rsid w:val="00BB74AC"/>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0662"/>
    <w:rsid w:val="00C115E1"/>
    <w:rsid w:val="00C123EA"/>
    <w:rsid w:val="00C12A49"/>
    <w:rsid w:val="00C133EE"/>
    <w:rsid w:val="00C149D0"/>
    <w:rsid w:val="00C172B2"/>
    <w:rsid w:val="00C26588"/>
    <w:rsid w:val="00C27DE9"/>
    <w:rsid w:val="00C32989"/>
    <w:rsid w:val="00C33388"/>
    <w:rsid w:val="00C35484"/>
    <w:rsid w:val="00C4173A"/>
    <w:rsid w:val="00C43E1B"/>
    <w:rsid w:val="00C50DED"/>
    <w:rsid w:val="00C52217"/>
    <w:rsid w:val="00C523CA"/>
    <w:rsid w:val="00C602FF"/>
    <w:rsid w:val="00C60411"/>
    <w:rsid w:val="00C61174"/>
    <w:rsid w:val="00C6148F"/>
    <w:rsid w:val="00C621B1"/>
    <w:rsid w:val="00C62F7A"/>
    <w:rsid w:val="00C63B9C"/>
    <w:rsid w:val="00C6682F"/>
    <w:rsid w:val="00C66834"/>
    <w:rsid w:val="00C67BF4"/>
    <w:rsid w:val="00C7275E"/>
    <w:rsid w:val="00C731AF"/>
    <w:rsid w:val="00C74C5D"/>
    <w:rsid w:val="00C8320E"/>
    <w:rsid w:val="00C85ED3"/>
    <w:rsid w:val="00C863C4"/>
    <w:rsid w:val="00C90DAB"/>
    <w:rsid w:val="00C920EA"/>
    <w:rsid w:val="00C93C3E"/>
    <w:rsid w:val="00C9559B"/>
    <w:rsid w:val="00CA12E3"/>
    <w:rsid w:val="00CA1476"/>
    <w:rsid w:val="00CA3F76"/>
    <w:rsid w:val="00CA6611"/>
    <w:rsid w:val="00CA6AE6"/>
    <w:rsid w:val="00CA782F"/>
    <w:rsid w:val="00CB187B"/>
    <w:rsid w:val="00CB2835"/>
    <w:rsid w:val="00CB3285"/>
    <w:rsid w:val="00CB4500"/>
    <w:rsid w:val="00CC0C72"/>
    <w:rsid w:val="00CC2BFD"/>
    <w:rsid w:val="00CC6F40"/>
    <w:rsid w:val="00CC757F"/>
    <w:rsid w:val="00CD3476"/>
    <w:rsid w:val="00CD64DF"/>
    <w:rsid w:val="00CE225F"/>
    <w:rsid w:val="00CE5A7A"/>
    <w:rsid w:val="00CF2F50"/>
    <w:rsid w:val="00CF610B"/>
    <w:rsid w:val="00CF6198"/>
    <w:rsid w:val="00D02919"/>
    <w:rsid w:val="00D04C61"/>
    <w:rsid w:val="00D05B8D"/>
    <w:rsid w:val="00D05B9B"/>
    <w:rsid w:val="00D065A2"/>
    <w:rsid w:val="00D079AA"/>
    <w:rsid w:val="00D07F00"/>
    <w:rsid w:val="00D1130F"/>
    <w:rsid w:val="00D11B70"/>
    <w:rsid w:val="00D17B72"/>
    <w:rsid w:val="00D3185C"/>
    <w:rsid w:val="00D3205F"/>
    <w:rsid w:val="00D3318E"/>
    <w:rsid w:val="00D33E72"/>
    <w:rsid w:val="00D358C1"/>
    <w:rsid w:val="00D35BD6"/>
    <w:rsid w:val="00D361B5"/>
    <w:rsid w:val="00D411A2"/>
    <w:rsid w:val="00D4606D"/>
    <w:rsid w:val="00D50B9C"/>
    <w:rsid w:val="00D513AF"/>
    <w:rsid w:val="00D52D73"/>
    <w:rsid w:val="00D52E58"/>
    <w:rsid w:val="00D5523A"/>
    <w:rsid w:val="00D56B20"/>
    <w:rsid w:val="00D578B3"/>
    <w:rsid w:val="00D618F4"/>
    <w:rsid w:val="00D63636"/>
    <w:rsid w:val="00D714CC"/>
    <w:rsid w:val="00D75EA7"/>
    <w:rsid w:val="00D76ECC"/>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2A4"/>
    <w:rsid w:val="00DC6386"/>
    <w:rsid w:val="00DD1130"/>
    <w:rsid w:val="00DD1951"/>
    <w:rsid w:val="00DD487D"/>
    <w:rsid w:val="00DD4E83"/>
    <w:rsid w:val="00DD6628"/>
    <w:rsid w:val="00DD6945"/>
    <w:rsid w:val="00DE27C8"/>
    <w:rsid w:val="00DE2D04"/>
    <w:rsid w:val="00DE3250"/>
    <w:rsid w:val="00DE3EBF"/>
    <w:rsid w:val="00DE6028"/>
    <w:rsid w:val="00DE6C85"/>
    <w:rsid w:val="00DE78A3"/>
    <w:rsid w:val="00DF0A6E"/>
    <w:rsid w:val="00DF1A71"/>
    <w:rsid w:val="00DF50FC"/>
    <w:rsid w:val="00DF68C7"/>
    <w:rsid w:val="00DF731A"/>
    <w:rsid w:val="00E06B75"/>
    <w:rsid w:val="00E11332"/>
    <w:rsid w:val="00E11352"/>
    <w:rsid w:val="00E14C18"/>
    <w:rsid w:val="00E170DC"/>
    <w:rsid w:val="00E17191"/>
    <w:rsid w:val="00E17546"/>
    <w:rsid w:val="00E210B5"/>
    <w:rsid w:val="00E261B3"/>
    <w:rsid w:val="00E26818"/>
    <w:rsid w:val="00E27FFC"/>
    <w:rsid w:val="00E30B15"/>
    <w:rsid w:val="00E33237"/>
    <w:rsid w:val="00E40181"/>
    <w:rsid w:val="00E4065E"/>
    <w:rsid w:val="00E54950"/>
    <w:rsid w:val="00E55FB3"/>
    <w:rsid w:val="00E56A01"/>
    <w:rsid w:val="00E629A1"/>
    <w:rsid w:val="00E6794C"/>
    <w:rsid w:val="00E71591"/>
    <w:rsid w:val="00E71CEB"/>
    <w:rsid w:val="00E7474F"/>
    <w:rsid w:val="00E80DE3"/>
    <w:rsid w:val="00E82C55"/>
    <w:rsid w:val="00E8787E"/>
    <w:rsid w:val="00E9042A"/>
    <w:rsid w:val="00E92AC3"/>
    <w:rsid w:val="00EA0F0E"/>
    <w:rsid w:val="00EA2F6A"/>
    <w:rsid w:val="00EB00E0"/>
    <w:rsid w:val="00EB05D5"/>
    <w:rsid w:val="00EB2FC1"/>
    <w:rsid w:val="00EB4BC7"/>
    <w:rsid w:val="00EB56B9"/>
    <w:rsid w:val="00EC059F"/>
    <w:rsid w:val="00EC1F24"/>
    <w:rsid w:val="00EC22F6"/>
    <w:rsid w:val="00EC3DB9"/>
    <w:rsid w:val="00ED5B9B"/>
    <w:rsid w:val="00ED6BAD"/>
    <w:rsid w:val="00ED7447"/>
    <w:rsid w:val="00ED76BB"/>
    <w:rsid w:val="00ED7762"/>
    <w:rsid w:val="00ED7C2C"/>
    <w:rsid w:val="00EE00D6"/>
    <w:rsid w:val="00EE11E7"/>
    <w:rsid w:val="00EE1488"/>
    <w:rsid w:val="00EE29AD"/>
    <w:rsid w:val="00EE3E24"/>
    <w:rsid w:val="00EE4D5D"/>
    <w:rsid w:val="00EE5131"/>
    <w:rsid w:val="00EE69D7"/>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3332"/>
    <w:rsid w:val="00F16F1B"/>
    <w:rsid w:val="00F250A9"/>
    <w:rsid w:val="00F25924"/>
    <w:rsid w:val="00F267AF"/>
    <w:rsid w:val="00F30FF4"/>
    <w:rsid w:val="00F3122E"/>
    <w:rsid w:val="00F32368"/>
    <w:rsid w:val="00F331AD"/>
    <w:rsid w:val="00F35287"/>
    <w:rsid w:val="00F36034"/>
    <w:rsid w:val="00F40323"/>
    <w:rsid w:val="00F40A70"/>
    <w:rsid w:val="00F43A37"/>
    <w:rsid w:val="00F4641B"/>
    <w:rsid w:val="00F46EB8"/>
    <w:rsid w:val="00F50CD1"/>
    <w:rsid w:val="00F511E4"/>
    <w:rsid w:val="00F52D09"/>
    <w:rsid w:val="00F52E08"/>
    <w:rsid w:val="00F53A66"/>
    <w:rsid w:val="00F5462D"/>
    <w:rsid w:val="00F55B21"/>
    <w:rsid w:val="00F56112"/>
    <w:rsid w:val="00F56EF6"/>
    <w:rsid w:val="00F60082"/>
    <w:rsid w:val="00F61A9F"/>
    <w:rsid w:val="00F61B5F"/>
    <w:rsid w:val="00F64696"/>
    <w:rsid w:val="00F65AA9"/>
    <w:rsid w:val="00F6768F"/>
    <w:rsid w:val="00F726D4"/>
    <w:rsid w:val="00F72C2C"/>
    <w:rsid w:val="00F741F2"/>
    <w:rsid w:val="00F76CAB"/>
    <w:rsid w:val="00F772C6"/>
    <w:rsid w:val="00F815B5"/>
    <w:rsid w:val="00F81EF5"/>
    <w:rsid w:val="00F85195"/>
    <w:rsid w:val="00F868E3"/>
    <w:rsid w:val="00F938BA"/>
    <w:rsid w:val="00F95181"/>
    <w:rsid w:val="00F9779F"/>
    <w:rsid w:val="00F97919"/>
    <w:rsid w:val="00FA0D20"/>
    <w:rsid w:val="00FA2C46"/>
    <w:rsid w:val="00FA3525"/>
    <w:rsid w:val="00FA5A53"/>
    <w:rsid w:val="00FB1F6E"/>
    <w:rsid w:val="00FB27B8"/>
    <w:rsid w:val="00FB4769"/>
    <w:rsid w:val="00FB4CDA"/>
    <w:rsid w:val="00FB4F68"/>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59BB7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rsid w:val="0081407B"/>
    <w:pPr>
      <w:spacing w:after="120" w:line="280" w:lineRule="atLeast"/>
    </w:pPr>
    <w:rPr>
      <w:rFonts w:ascii="Arial" w:hAnsi="Arial"/>
      <w:sz w:val="21"/>
      <w:lang w:eastAsia="en-US"/>
    </w:rPr>
  </w:style>
  <w:style w:type="paragraph" w:styleId="Heading1">
    <w:name w:val="heading 1"/>
    <w:next w:val="Body"/>
    <w:link w:val="Heading1Char"/>
    <w:uiPriority w:val="1"/>
    <w:qFormat/>
    <w:rsid w:val="00977D59"/>
    <w:pPr>
      <w:keepNext/>
      <w:keepLines/>
      <w:spacing w:before="520" w:after="240" w:line="480" w:lineRule="atLeast"/>
      <w:outlineLvl w:val="0"/>
    </w:pPr>
    <w:rPr>
      <w:rFonts w:ascii="Arial" w:eastAsia="MS Gothic" w:hAnsi="Arial" w:cs="Arial"/>
      <w:bCs/>
      <w:color w:val="AF272F"/>
      <w:kern w:val="32"/>
      <w:sz w:val="44"/>
      <w:szCs w:val="44"/>
      <w:lang w:eastAsia="en-US"/>
    </w:rPr>
  </w:style>
  <w:style w:type="paragraph" w:styleId="Heading2">
    <w:name w:val="heading 2"/>
    <w:next w:val="Body"/>
    <w:link w:val="Heading2Char"/>
    <w:uiPriority w:val="1"/>
    <w:qFormat/>
    <w:rsid w:val="006C1F46"/>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6C1F46"/>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6C1F46"/>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977D59"/>
    <w:rPr>
      <w:rFonts w:ascii="Arial" w:eastAsia="MS Gothic" w:hAnsi="Arial" w:cs="Arial"/>
      <w:bCs/>
      <w:color w:val="AF272F"/>
      <w:kern w:val="32"/>
      <w:sz w:val="44"/>
      <w:szCs w:val="44"/>
      <w:lang w:eastAsia="en-US"/>
    </w:rPr>
  </w:style>
  <w:style w:type="character" w:customStyle="1" w:styleId="Heading2Char">
    <w:name w:val="Heading 2 Char"/>
    <w:link w:val="Heading2"/>
    <w:uiPriority w:val="1"/>
    <w:rsid w:val="006C1F46"/>
    <w:rPr>
      <w:rFonts w:ascii="Arial" w:hAnsi="Arial"/>
      <w:b/>
      <w:color w:val="53565A"/>
      <w:sz w:val="32"/>
      <w:szCs w:val="28"/>
      <w:lang w:eastAsia="en-US"/>
    </w:rPr>
  </w:style>
  <w:style w:type="character" w:customStyle="1" w:styleId="Heading3Char">
    <w:name w:val="Heading 3 Char"/>
    <w:link w:val="Heading3"/>
    <w:uiPriority w:val="1"/>
    <w:rsid w:val="006C1F46"/>
    <w:rPr>
      <w:rFonts w:ascii="Arial" w:eastAsia="MS Gothic" w:hAnsi="Arial"/>
      <w:bCs/>
      <w:color w:val="53565A"/>
      <w:sz w:val="30"/>
      <w:szCs w:val="26"/>
      <w:lang w:eastAsia="en-US"/>
    </w:rPr>
  </w:style>
  <w:style w:type="character" w:customStyle="1" w:styleId="Heading4Char">
    <w:name w:val="Heading 4 Char"/>
    <w:link w:val="Heading4"/>
    <w:uiPriority w:val="1"/>
    <w:rsid w:val="006C1F46"/>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6C1F46"/>
    <w:pPr>
      <w:spacing w:after="240" w:line="560" w:lineRule="atLeast"/>
    </w:pPr>
    <w:rPr>
      <w:rFonts w:ascii="Arial" w:hAnsi="Arial"/>
      <w:b/>
      <w:color w:val="AF272F"/>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C1F46"/>
    <w:pPr>
      <w:spacing w:line="320" w:lineRule="atLeast"/>
    </w:pPr>
    <w:rPr>
      <w:color w:val="AF272F"/>
      <w:sz w:val="24"/>
    </w:rPr>
  </w:style>
  <w:style w:type="table" w:customStyle="1" w:styleId="TableGrid1">
    <w:name w:val="Table Grid1"/>
    <w:basedOn w:val="TableNormal"/>
    <w:next w:val="TableGrid"/>
    <w:uiPriority w:val="39"/>
    <w:rsid w:val="00576948"/>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7064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0E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C0E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C0E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D76BB"/>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1407B"/>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semiHidden/>
    <w:qFormat/>
    <w:rsid w:val="0080220B"/>
    <w:pPr>
      <w:ind w:left="720"/>
      <w:contextualSpacing/>
    </w:pPr>
  </w:style>
  <w:style w:type="character" w:styleId="UnresolvedMention">
    <w:name w:val="Unresolved Mention"/>
    <w:basedOn w:val="DefaultParagraphFont"/>
    <w:uiPriority w:val="99"/>
    <w:semiHidden/>
    <w:unhideWhenUsed/>
    <w:rsid w:val="00712A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9704">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www2.health.vic.gov.au/about/publications/factsheets/What-you-need-to-know-about-patient-blood-management" TargetMode="External"/><Relationship Id="rId39" Type="http://schemas.openxmlformats.org/officeDocument/2006/relationships/chart" Target="charts/chart3.xml"/><Relationship Id="rId21" Type="http://schemas.openxmlformats.org/officeDocument/2006/relationships/header" Target="header6.xml"/><Relationship Id="rId34" Type="http://schemas.openxmlformats.org/officeDocument/2006/relationships/diagramQuickStyle" Target="diagrams/quickStyle1.xml"/><Relationship Id="rId42" Type="http://schemas.openxmlformats.org/officeDocument/2006/relationships/image" Target="media/image2.png"/><Relationship Id="rId47" Type="http://schemas.openxmlformats.org/officeDocument/2006/relationships/image" Target="media/image5.png"/><Relationship Id="rId50" Type="http://schemas.openxmlformats.org/officeDocument/2006/relationships/header" Target="header10.xml"/><Relationship Id="rId55" Type="http://schemas.openxmlformats.org/officeDocument/2006/relationships/hyperlink" Target="https://www.aihw.gov.au/reports-data/myhospitals/intersection/activity/eswt" TargetMode="External"/><Relationship Id="rId63" Type="http://schemas.openxmlformats.org/officeDocument/2006/relationships/hyperlink" Target="https://doi.org/10.1016/%20S0140-6736(20)32594-0" TargetMode="External"/><Relationship Id="rId68" Type="http://schemas.openxmlformats.org/officeDocument/2006/relationships/hyperlink" Target="https://doi.org/10.1016/j.ijso.2020.11.019" TargetMode="External"/><Relationship Id="rId76" Type="http://schemas.openxmlformats.org/officeDocument/2006/relationships/hyperlink" Target="https://www.sahealth.sa.gov.au/wps/wcm/connect/public+content/sa+health+internet/clinical+resources/clinical+programs+and+practice+guidelines/blood+organ+and+tissue/blood+management/anaemia+management" TargetMode="External"/><Relationship Id="rId7" Type="http://schemas.openxmlformats.org/officeDocument/2006/relationships/endnotes" Target="endnotes.xml"/><Relationship Id="rId71" Type="http://schemas.openxmlformats.org/officeDocument/2006/relationships/hyperlink" Target="http://www.who.int/vmnis/indicators/haemoglobin.pdf" TargetMode="External"/><Relationship Id="rId2" Type="http://schemas.openxmlformats.org/officeDocument/2006/relationships/numbering" Target="numbering.xml"/><Relationship Id="rId16" Type="http://schemas.openxmlformats.org/officeDocument/2006/relationships/hyperlink" Target="https://www2.health.vic.gov.au/hospitals-and-health-services/patient-care/speciality-diagnostics-therapeutics/blood-matters" TargetMode="External"/><Relationship Id="rId29" Type="http://schemas.openxmlformats.org/officeDocument/2006/relationships/hyperlink" Target="https://transfusion.com.au/transfusion_practice/patient_blood_management" TargetMode="External"/><Relationship Id="rId11" Type="http://schemas.openxmlformats.org/officeDocument/2006/relationships/footer" Target="footer1.xml"/><Relationship Id="rId24" Type="http://schemas.openxmlformats.org/officeDocument/2006/relationships/hyperlink" Target="https://www2.health.vic.gov.au/about/publications/ResearchAndReports/preoperative-anaemia-pathway-report-2020" TargetMode="External"/><Relationship Id="rId32" Type="http://schemas.openxmlformats.org/officeDocument/2006/relationships/diagramData" Target="diagrams/data1.xm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image" Target="media/image3.png"/><Relationship Id="rId53" Type="http://schemas.openxmlformats.org/officeDocument/2006/relationships/hyperlink" Target="https://acpan.edu.au/pdfs/guidelines/acpan-guideline-pg01-perioperative-hypothermia-prevention-and-management-in-adults.pdf" TargetMode="External"/><Relationship Id="rId58" Type="http://schemas.openxmlformats.org/officeDocument/2006/relationships/hyperlink" Target="https://doi.org/10.1186/s13018-019-1473-6" TargetMode="External"/><Relationship Id="rId66" Type="http://schemas.openxmlformats.org/officeDocument/2006/relationships/hyperlink" Target="https://www.rch.org.au/clinicalguide/guideline_index/Anaemia/%3e,%20" TargetMode="External"/><Relationship Id="rId74" Type="http://schemas.openxmlformats.org/officeDocument/2006/relationships/hyperlink" Target="https://transfusion.com.au/transfusion_practice/patient_blood_management" TargetMode="External"/><Relationship Id="rId79" Type="http://schemas.openxmlformats.org/officeDocument/2006/relationships/hyperlink" Target="https://www2.health.vic.gov.au/hospitals-and-health-services/patient-care/speciality-diagnostics-therapeutics/blood-matters/transfusion-audits/blood-matters-audits" TargetMode="External"/><Relationship Id="rId5" Type="http://schemas.openxmlformats.org/officeDocument/2006/relationships/webSettings" Target="webSettings.xml"/><Relationship Id="rId61" Type="http://schemas.openxmlformats.org/officeDocument/2006/relationships/hyperlink" Target="https://www.nice.org.uk/guidance/ng24" TargetMode="Externa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s://www.sahealth.sa.gov.au/wps/wcm/connect/public+content/sa+health+internet/conditions/blood+organ+and+tissue/iron+deficiency+and+iron+therapy" TargetMode="External"/><Relationship Id="rId44" Type="http://schemas.openxmlformats.org/officeDocument/2006/relationships/header" Target="header9.xml"/><Relationship Id="rId52" Type="http://schemas.openxmlformats.org/officeDocument/2006/relationships/footer" Target="footer7.xml"/><Relationship Id="rId60" Type="http://schemas.openxmlformats.org/officeDocument/2006/relationships/hyperlink" Target="https://doi.org/10.1111/anae.14358" TargetMode="External"/><Relationship Id="rId65" Type="http://schemas.openxmlformats.org/officeDocument/2006/relationships/hyperlink" Target="http://doi.org/10.1177/0310057X19860161" TargetMode="External"/><Relationship Id="rId73" Type="http://schemas.openxmlformats.org/officeDocument/2006/relationships/hyperlink" Target="https://bloodsafelearning.org.au/" TargetMode="External"/><Relationship Id="rId78" Type="http://schemas.openxmlformats.org/officeDocument/2006/relationships/hyperlink" Target="https://anzcp.org/" TargetMode="External"/><Relationship Id="rId81" Type="http://schemas.openxmlformats.org/officeDocument/2006/relationships/fontTable" Target="fontTable.xml"/><Relationship Id="rId86"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yperlink" Target="https://mytransfusion.com.au/avoid-transfusion-1" TargetMode="External"/><Relationship Id="rId30" Type="http://schemas.openxmlformats.org/officeDocument/2006/relationships/hyperlink" Target="https://www.sahealth.sa.gov.au/wps/wcm/connect/public+content/sa+health+internet/conditions/blood+organ+and+tissue/iron+deficiency+and+iron+therapy" TargetMode="External"/><Relationship Id="rId35" Type="http://schemas.openxmlformats.org/officeDocument/2006/relationships/diagramColors" Target="diagrams/colors1.xml"/><Relationship Id="rId43" Type="http://schemas.openxmlformats.org/officeDocument/2006/relationships/header" Target="header8.xml"/><Relationship Id="rId48" Type="http://schemas.openxmlformats.org/officeDocument/2006/relationships/image" Target="media/image6.png"/><Relationship Id="rId56" Type="http://schemas.openxmlformats.org/officeDocument/2006/relationships/hyperlink" Target="https://www.safetyandquality.gov.au/standards/nsqhs-standards/blood-management-standard" TargetMode="External"/><Relationship Id="rId64" Type="http://schemas.openxmlformats.org/officeDocument/2006/relationships/hyperlink" Target="https://www.ogmagazine.org.au/17/4-17/cell-salvage-obstetrics-gynaecology/%3e." TargetMode="External"/><Relationship Id="rId69" Type="http://schemas.openxmlformats.org/officeDocument/2006/relationships/hyperlink" Target="https://www.uptodate.com/contents/surgical-blood-conservation-blood-salvage" TargetMode="External"/><Relationship Id="rId77" Type="http://schemas.openxmlformats.org/officeDocument/2006/relationships/hyperlink" Target="https://www.sahealth.sa.gov.au/wps/wcm/connect/public+content/sa+health+internet/conditions/blood+organ+and+tissue/iron+deficiency+and+iron+therapy" TargetMode="External"/><Relationship Id="rId8" Type="http://schemas.openxmlformats.org/officeDocument/2006/relationships/image" Target="media/image1.jpg"/><Relationship Id="rId51" Type="http://schemas.openxmlformats.org/officeDocument/2006/relationships/footer" Target="footer6.xml"/><Relationship Id="rId72" Type="http://schemas.openxmlformats.org/officeDocument/2006/relationships/hyperlink" Target="https://www2.health.vic.gov.au/hospitals-and-health-services/patient-care/speciality-diagnostics-therapeutics/blood-matters" TargetMode="External"/><Relationship Id="rId80" Type="http://schemas.openxmlformats.org/officeDocument/2006/relationships/hyperlink" Target="https://www2.health.vic.gov.au/hospitals-and-health-services/patient-care/speciality-diagnostics-therapeutics/blood-matters/transfusion-audits/blood-matters-audit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www2.health.vic.gov.au/about/publications/factsheets/What-you-need-to-know-about-patient-blood-management" TargetMode="External"/><Relationship Id="rId33" Type="http://schemas.openxmlformats.org/officeDocument/2006/relationships/diagramLayout" Target="diagrams/layout1.xml"/><Relationship Id="rId38" Type="http://schemas.openxmlformats.org/officeDocument/2006/relationships/chart" Target="charts/chart2.xml"/><Relationship Id="rId46" Type="http://schemas.openxmlformats.org/officeDocument/2006/relationships/image" Target="media/image4.png"/><Relationship Id="rId59" Type="http://schemas.openxmlformats.org/officeDocument/2006/relationships/hyperlink" Target="https://doi.org/10.1111/anae.14331" TargetMode="External"/><Relationship Id="rId67" Type="http://schemas.openxmlformats.org/officeDocument/2006/relationships/hyperlink" Target="https://practical-haemostasis.com/Miscellaneous/Global%20Assays/teg_rotem.html" TargetMode="External"/><Relationship Id="rId20" Type="http://schemas.openxmlformats.org/officeDocument/2006/relationships/footer" Target="footer5.xml"/><Relationship Id="rId41" Type="http://schemas.openxmlformats.org/officeDocument/2006/relationships/chart" Target="charts/chart5.xml"/><Relationship Id="rId54" Type="http://schemas.openxmlformats.org/officeDocument/2006/relationships/hyperlink" Target="https://www1.health.gov.au/internet/main/publishing.nsf/Content/7C28F0B6D06F9FFCCA257EB9001D769B/$File/Vitamin%20B12%20testing%20Review%20Report.pdf" TargetMode="External"/><Relationship Id="rId62" Type="http://schemas.openxmlformats.org/officeDocument/2006/relationships/hyperlink" Target="https://www.blood.gov.au/patient-blood-management-pbm%23whatispbm" TargetMode="External"/><Relationship Id="rId70" Type="http://schemas.openxmlformats.org/officeDocument/2006/relationships/hyperlink" Target="https://www.uptodate.com/contents/surgical-blood-conservation-acute-normovolemic-hemodilution" TargetMode="External"/><Relationship Id="rId75" Type="http://schemas.openxmlformats.org/officeDocument/2006/relationships/hyperlink" Target="https://mytransfusion.com.au/avoid-transfusion-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loodmattters@redcrossblood.org.au" TargetMode="External"/><Relationship Id="rId23" Type="http://schemas.openxmlformats.org/officeDocument/2006/relationships/hyperlink" Target="https://www2.health.vic.gov.au/about/publications/researchandreports/clinical-audit-of-preoperative-anaemia-assessment-and-management-2015" TargetMode="External"/><Relationship Id="rId28" Type="http://schemas.openxmlformats.org/officeDocument/2006/relationships/hyperlink" Target="https://bloodsafelearning.org.au/" TargetMode="External"/><Relationship Id="rId36" Type="http://schemas.microsoft.com/office/2007/relationships/diagramDrawing" Target="diagrams/drawing1.xml"/><Relationship Id="rId49" Type="http://schemas.openxmlformats.org/officeDocument/2006/relationships/image" Target="media/image7.png"/><Relationship Id="rId57" Type="http://schemas.openxmlformats.org/officeDocument/2006/relationships/hyperlink" Target="http://doi.org/10.2147/JBM.S254116"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fpsou03\bloodmatters$\PBM\2021\Audits\Post%20op%20anaemia\Treatment_Doc.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734740296382466"/>
          <c:y val="4.5132193841623452E-2"/>
          <c:w val="0.5947965985613225"/>
          <c:h val="0.61460736326878052"/>
        </c:manualLayout>
      </c:layout>
      <c:barChart>
        <c:barDir val="col"/>
        <c:grouping val="clustered"/>
        <c:varyColors val="0"/>
        <c:ser>
          <c:idx val="0"/>
          <c:order val="0"/>
          <c:tx>
            <c:strRef>
              <c:f>GraphTiming!$C$12</c:f>
              <c:strCache>
                <c:ptCount val="1"/>
                <c:pt idx="0">
                  <c:v>Anaemia identified and not treated (%)</c:v>
                </c:pt>
              </c:strCache>
            </c:strRef>
          </c:tx>
          <c:spPr>
            <a:solidFill>
              <a:srgbClr val="1F497D">
                <a:lumMod val="40000"/>
                <a:lumOff val="60000"/>
              </a:srgbClr>
            </a:solidFill>
          </c:spPr>
          <c:invertIfNegative val="0"/>
          <c:cat>
            <c:multiLvlStrRef>
              <c:f>GraphTiming!$A$21:$B$22</c:f>
              <c:multiLvlStrCache>
                <c:ptCount val="2"/>
                <c:lvl>
                  <c:pt idx="0">
                    <c:v>4 weeks and greater</c:v>
                  </c:pt>
                  <c:pt idx="1">
                    <c:v>less than 4 weeks</c:v>
                  </c:pt>
                </c:lvl>
                <c:lvl>
                  <c:pt idx="0">
                    <c:v>All surgery types</c:v>
                  </c:pt>
                </c:lvl>
              </c:multiLvlStrCache>
            </c:multiLvlStrRef>
          </c:cat>
          <c:val>
            <c:numRef>
              <c:f>GraphTiming!$C$21:$C$22</c:f>
              <c:numCache>
                <c:formatCode>0%</c:formatCode>
                <c:ptCount val="2"/>
                <c:pt idx="0">
                  <c:v>0.22727272727272727</c:v>
                </c:pt>
                <c:pt idx="1">
                  <c:v>0.34615384615384615</c:v>
                </c:pt>
              </c:numCache>
            </c:numRef>
          </c:val>
          <c:extLst>
            <c:ext xmlns:c16="http://schemas.microsoft.com/office/drawing/2014/chart" uri="{C3380CC4-5D6E-409C-BE32-E72D297353CC}">
              <c16:uniqueId val="{00000000-CB5E-4185-A39A-657FF7B8B594}"/>
            </c:ext>
          </c:extLst>
        </c:ser>
        <c:ser>
          <c:idx val="1"/>
          <c:order val="1"/>
          <c:tx>
            <c:strRef>
              <c:f>GraphTiming!$D$12</c:f>
              <c:strCache>
                <c:ptCount val="1"/>
                <c:pt idx="0">
                  <c:v>Anaemia present but not identified (%)</c:v>
                </c:pt>
              </c:strCache>
            </c:strRef>
          </c:tx>
          <c:spPr>
            <a:solidFill>
              <a:srgbClr val="1F497D">
                <a:lumMod val="75000"/>
              </a:srgbClr>
            </a:solidFill>
            <a:ln>
              <a:noFill/>
            </a:ln>
          </c:spPr>
          <c:invertIfNegative val="0"/>
          <c:cat>
            <c:multiLvlStrRef>
              <c:f>GraphTiming!$A$21:$B$22</c:f>
              <c:multiLvlStrCache>
                <c:ptCount val="2"/>
                <c:lvl>
                  <c:pt idx="0">
                    <c:v>4 weeks and greater</c:v>
                  </c:pt>
                  <c:pt idx="1">
                    <c:v>less than 4 weeks</c:v>
                  </c:pt>
                </c:lvl>
                <c:lvl>
                  <c:pt idx="0">
                    <c:v>All surgery types</c:v>
                  </c:pt>
                </c:lvl>
              </c:multiLvlStrCache>
            </c:multiLvlStrRef>
          </c:cat>
          <c:val>
            <c:numRef>
              <c:f>GraphTiming!$D$21:$D$22</c:f>
              <c:numCache>
                <c:formatCode>0%</c:formatCode>
                <c:ptCount val="2"/>
                <c:pt idx="0">
                  <c:v>0.55555555555555558</c:v>
                </c:pt>
                <c:pt idx="1">
                  <c:v>0.65100671140939592</c:v>
                </c:pt>
              </c:numCache>
            </c:numRef>
          </c:val>
          <c:extLst>
            <c:ext xmlns:c16="http://schemas.microsoft.com/office/drawing/2014/chart" uri="{C3380CC4-5D6E-409C-BE32-E72D297353CC}">
              <c16:uniqueId val="{00000001-CB5E-4185-A39A-657FF7B8B594}"/>
            </c:ext>
          </c:extLst>
        </c:ser>
        <c:dLbls>
          <c:showLegendKey val="0"/>
          <c:showVal val="0"/>
          <c:showCatName val="0"/>
          <c:showSerName val="0"/>
          <c:showPercent val="0"/>
          <c:showBubbleSize val="0"/>
        </c:dLbls>
        <c:gapWidth val="150"/>
        <c:axId val="103926016"/>
        <c:axId val="109723648"/>
      </c:barChart>
      <c:lineChart>
        <c:grouping val="standard"/>
        <c:varyColors val="0"/>
        <c:ser>
          <c:idx val="2"/>
          <c:order val="2"/>
          <c:tx>
            <c:strRef>
              <c:f>GraphTiming!$E$12</c:f>
              <c:strCache>
                <c:ptCount val="1"/>
                <c:pt idx="0">
                  <c:v>Patients with identified anaemia</c:v>
                </c:pt>
              </c:strCache>
            </c:strRef>
          </c:tx>
          <c:spPr>
            <a:ln w="19050">
              <a:noFill/>
            </a:ln>
          </c:spPr>
          <c:marker>
            <c:spPr>
              <a:solidFill>
                <a:srgbClr val="C00000"/>
              </a:solidFill>
              <a:ln w="76200">
                <a:solidFill>
                  <a:srgbClr val="C00000"/>
                </a:solidFill>
              </a:ln>
            </c:spPr>
          </c:marker>
          <c:cat>
            <c:multiLvlStrRef>
              <c:f>GraphTiming!$A$21:$F$22</c:f>
              <c:multiLvlStrCache>
                <c:ptCount val="2"/>
                <c:lvl>
                  <c:pt idx="0">
                    <c:v>99</c:v>
                  </c:pt>
                  <c:pt idx="1">
                    <c:v>149</c:v>
                  </c:pt>
                </c:lvl>
                <c:lvl>
                  <c:pt idx="0">
                    <c:v>44</c:v>
                  </c:pt>
                  <c:pt idx="1">
                    <c:v>52</c:v>
                  </c:pt>
                </c:lvl>
                <c:lvl>
                  <c:pt idx="0">
                    <c:v>56%</c:v>
                  </c:pt>
                  <c:pt idx="1">
                    <c:v>65%</c:v>
                  </c:pt>
                </c:lvl>
                <c:lvl>
                  <c:pt idx="0">
                    <c:v>23%</c:v>
                  </c:pt>
                  <c:pt idx="1">
                    <c:v>35%</c:v>
                  </c:pt>
                </c:lvl>
                <c:lvl>
                  <c:pt idx="0">
                    <c:v>4 weeks and greater</c:v>
                  </c:pt>
                  <c:pt idx="1">
                    <c:v>less than 4 weeks</c:v>
                  </c:pt>
                </c:lvl>
                <c:lvl>
                  <c:pt idx="0">
                    <c:v>All surgery types</c:v>
                  </c:pt>
                </c:lvl>
              </c:multiLvlStrCache>
            </c:multiLvlStrRef>
          </c:cat>
          <c:val>
            <c:numRef>
              <c:f>GraphTiming!$E$21:$E$22</c:f>
              <c:numCache>
                <c:formatCode>General</c:formatCode>
                <c:ptCount val="2"/>
                <c:pt idx="0">
                  <c:v>44</c:v>
                </c:pt>
                <c:pt idx="1">
                  <c:v>52</c:v>
                </c:pt>
              </c:numCache>
            </c:numRef>
          </c:val>
          <c:smooth val="0"/>
          <c:extLst>
            <c:ext xmlns:c16="http://schemas.microsoft.com/office/drawing/2014/chart" uri="{C3380CC4-5D6E-409C-BE32-E72D297353CC}">
              <c16:uniqueId val="{00000002-CB5E-4185-A39A-657FF7B8B594}"/>
            </c:ext>
          </c:extLst>
        </c:ser>
        <c:ser>
          <c:idx val="3"/>
          <c:order val="3"/>
          <c:tx>
            <c:strRef>
              <c:f>GraphTiming!$F$12</c:f>
              <c:strCache>
                <c:ptCount val="1"/>
                <c:pt idx="0">
                  <c:v>Patients with PBM-defined anaemia</c:v>
                </c:pt>
              </c:strCache>
            </c:strRef>
          </c:tx>
          <c:spPr>
            <a:ln w="19050">
              <a:noFill/>
            </a:ln>
          </c:spPr>
          <c:marker>
            <c:symbol val="x"/>
            <c:size val="6"/>
            <c:spPr>
              <a:solidFill>
                <a:schemeClr val="accent2">
                  <a:lumMod val="50000"/>
                </a:schemeClr>
              </a:solidFill>
              <a:ln w="53975">
                <a:noFill/>
              </a:ln>
            </c:spPr>
          </c:marker>
          <c:cat>
            <c:multiLvlStrRef>
              <c:f>GraphTiming!$A$21:$F$22</c:f>
              <c:multiLvlStrCache>
                <c:ptCount val="2"/>
                <c:lvl>
                  <c:pt idx="0">
                    <c:v>99</c:v>
                  </c:pt>
                  <c:pt idx="1">
                    <c:v>149</c:v>
                  </c:pt>
                </c:lvl>
                <c:lvl>
                  <c:pt idx="0">
                    <c:v>44</c:v>
                  </c:pt>
                  <c:pt idx="1">
                    <c:v>52</c:v>
                  </c:pt>
                </c:lvl>
                <c:lvl>
                  <c:pt idx="0">
                    <c:v>56%</c:v>
                  </c:pt>
                  <c:pt idx="1">
                    <c:v>65%</c:v>
                  </c:pt>
                </c:lvl>
                <c:lvl>
                  <c:pt idx="0">
                    <c:v>23%</c:v>
                  </c:pt>
                  <c:pt idx="1">
                    <c:v>35%</c:v>
                  </c:pt>
                </c:lvl>
                <c:lvl>
                  <c:pt idx="0">
                    <c:v>4 weeks and greater</c:v>
                  </c:pt>
                  <c:pt idx="1">
                    <c:v>less than 4 weeks</c:v>
                  </c:pt>
                </c:lvl>
                <c:lvl>
                  <c:pt idx="0">
                    <c:v>All surgery types</c:v>
                  </c:pt>
                </c:lvl>
              </c:multiLvlStrCache>
            </c:multiLvlStrRef>
          </c:cat>
          <c:val>
            <c:numRef>
              <c:f>GraphTiming!$F$21:$F$22</c:f>
              <c:numCache>
                <c:formatCode>General</c:formatCode>
                <c:ptCount val="2"/>
                <c:pt idx="0">
                  <c:v>99</c:v>
                </c:pt>
                <c:pt idx="1">
                  <c:v>149</c:v>
                </c:pt>
              </c:numCache>
            </c:numRef>
          </c:val>
          <c:smooth val="0"/>
          <c:extLst>
            <c:ext xmlns:c16="http://schemas.microsoft.com/office/drawing/2014/chart" uri="{C3380CC4-5D6E-409C-BE32-E72D297353CC}">
              <c16:uniqueId val="{00000003-CB5E-4185-A39A-657FF7B8B594}"/>
            </c:ext>
          </c:extLst>
        </c:ser>
        <c:dLbls>
          <c:showLegendKey val="0"/>
          <c:showVal val="0"/>
          <c:showCatName val="0"/>
          <c:showSerName val="0"/>
          <c:showPercent val="0"/>
          <c:showBubbleSize val="0"/>
        </c:dLbls>
        <c:marker val="1"/>
        <c:smooth val="0"/>
        <c:axId val="321931944"/>
        <c:axId val="321932928"/>
      </c:lineChart>
      <c:catAx>
        <c:axId val="103926016"/>
        <c:scaling>
          <c:orientation val="minMax"/>
        </c:scaling>
        <c:delete val="0"/>
        <c:axPos val="b"/>
        <c:numFmt formatCode="General" sourceLinked="0"/>
        <c:majorTickMark val="out"/>
        <c:minorTickMark val="none"/>
        <c:tickLblPos val="nextTo"/>
        <c:crossAx val="109723648"/>
        <c:crosses val="autoZero"/>
        <c:auto val="1"/>
        <c:lblAlgn val="ctr"/>
        <c:lblOffset val="100"/>
        <c:noMultiLvlLbl val="0"/>
      </c:catAx>
      <c:valAx>
        <c:axId val="109723648"/>
        <c:scaling>
          <c:orientation val="minMax"/>
          <c:max val="1"/>
        </c:scaling>
        <c:delete val="0"/>
        <c:axPos val="l"/>
        <c:majorGridlines/>
        <c:title>
          <c:tx>
            <c:rich>
              <a:bodyPr/>
              <a:lstStyle/>
              <a:p>
                <a:pPr>
                  <a:defRPr/>
                </a:pPr>
                <a:r>
                  <a:rPr lang="en-US"/>
                  <a:t>Percentage</a:t>
                </a:r>
              </a:p>
            </c:rich>
          </c:tx>
          <c:layout>
            <c:manualLayout>
              <c:xMode val="edge"/>
              <c:yMode val="edge"/>
              <c:x val="0.22722400857449088"/>
              <c:y val="0.17080353292552428"/>
            </c:manualLayout>
          </c:layout>
          <c:overlay val="0"/>
        </c:title>
        <c:numFmt formatCode="0%" sourceLinked="1"/>
        <c:majorTickMark val="out"/>
        <c:minorTickMark val="none"/>
        <c:tickLblPos val="nextTo"/>
        <c:crossAx val="103926016"/>
        <c:crosses val="autoZero"/>
        <c:crossBetween val="between"/>
      </c:valAx>
      <c:valAx>
        <c:axId val="321932928"/>
        <c:scaling>
          <c:orientation val="minMax"/>
        </c:scaling>
        <c:delete val="0"/>
        <c:axPos val="r"/>
        <c:title>
          <c:tx>
            <c:rich>
              <a:bodyPr/>
              <a:lstStyle/>
              <a:p>
                <a:pPr>
                  <a:defRPr/>
                </a:pPr>
                <a:r>
                  <a:rPr lang="en-AU"/>
                  <a:t>Number</a:t>
                </a:r>
                <a:r>
                  <a:rPr lang="en-AU" baseline="0"/>
                  <a:t> of patients</a:t>
                </a:r>
                <a:endParaRPr lang="en-AU"/>
              </a:p>
            </c:rich>
          </c:tx>
          <c:layout>
            <c:manualLayout>
              <c:xMode val="edge"/>
              <c:yMode val="edge"/>
              <c:x val="0.9116719413288773"/>
              <c:y val="0.11298398045071953"/>
            </c:manualLayout>
          </c:layout>
          <c:overlay val="0"/>
        </c:title>
        <c:numFmt formatCode="General" sourceLinked="1"/>
        <c:majorTickMark val="out"/>
        <c:minorTickMark val="none"/>
        <c:tickLblPos val="nextTo"/>
        <c:crossAx val="321931944"/>
        <c:crosses val="max"/>
        <c:crossBetween val="between"/>
      </c:valAx>
      <c:catAx>
        <c:axId val="321931944"/>
        <c:scaling>
          <c:orientation val="minMax"/>
        </c:scaling>
        <c:delete val="1"/>
        <c:axPos val="b"/>
        <c:numFmt formatCode="General" sourceLinked="1"/>
        <c:majorTickMark val="out"/>
        <c:minorTickMark val="none"/>
        <c:tickLblPos val="nextTo"/>
        <c:crossAx val="321932928"/>
        <c:crosses val="autoZero"/>
        <c:auto val="1"/>
        <c:lblAlgn val="ctr"/>
        <c:lblOffset val="100"/>
        <c:noMultiLvlLbl val="0"/>
      </c:catAx>
      <c:dTable>
        <c:showHorzBorder val="1"/>
        <c:showVertBorder val="1"/>
        <c:showOutline val="1"/>
        <c:showKeys val="1"/>
        <c:txPr>
          <a:bodyPr/>
          <a:lstStyle/>
          <a:p>
            <a:pPr rtl="0">
              <a:defRPr sz="900"/>
            </a:pPr>
            <a:endParaRPr lang="en-US"/>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756206400125913E-2"/>
          <c:y val="4.5132193841623452E-2"/>
          <c:w val="0.84813862008160434"/>
          <c:h val="0.61460736326878052"/>
        </c:manualLayout>
      </c:layout>
      <c:barChart>
        <c:barDir val="col"/>
        <c:grouping val="clustered"/>
        <c:varyColors val="0"/>
        <c:ser>
          <c:idx val="0"/>
          <c:order val="0"/>
          <c:tx>
            <c:strRef>
              <c:f>GraphTiming!$C$12</c:f>
              <c:strCache>
                <c:ptCount val="1"/>
                <c:pt idx="0">
                  <c:v>Anaemia identified and not treated (%)</c:v>
                </c:pt>
              </c:strCache>
            </c:strRef>
          </c:tx>
          <c:spPr>
            <a:solidFill>
              <a:srgbClr val="1F497D">
                <a:lumMod val="40000"/>
                <a:lumOff val="60000"/>
              </a:srgbClr>
            </a:solidFill>
          </c:spPr>
          <c:invertIfNegative val="0"/>
          <c:cat>
            <c:multiLvlStrRef>
              <c:f>GraphTiming!$A$13:$B$14</c:f>
              <c:multiLvlStrCache>
                <c:ptCount val="2"/>
                <c:lvl>
                  <c:pt idx="0">
                    <c:v>4 weeks and greater</c:v>
                  </c:pt>
                  <c:pt idx="1">
                    <c:v>less 4 weeks</c:v>
                  </c:pt>
                </c:lvl>
                <c:lvl>
                  <c:pt idx="0">
                    <c:v>Orthopaedic</c:v>
                  </c:pt>
                </c:lvl>
              </c:multiLvlStrCache>
            </c:multiLvlStrRef>
          </c:cat>
          <c:val>
            <c:numRef>
              <c:f>GraphTiming!$C$13:$C$14</c:f>
              <c:numCache>
                <c:formatCode>0%</c:formatCode>
                <c:ptCount val="2"/>
                <c:pt idx="0">
                  <c:v>0.27777777777777779</c:v>
                </c:pt>
                <c:pt idx="1">
                  <c:v>0.5714285714285714</c:v>
                </c:pt>
              </c:numCache>
            </c:numRef>
          </c:val>
          <c:extLst>
            <c:ext xmlns:c16="http://schemas.microsoft.com/office/drawing/2014/chart" uri="{C3380CC4-5D6E-409C-BE32-E72D297353CC}">
              <c16:uniqueId val="{00000000-CE8D-4E46-8136-41624D857983}"/>
            </c:ext>
          </c:extLst>
        </c:ser>
        <c:ser>
          <c:idx val="1"/>
          <c:order val="1"/>
          <c:tx>
            <c:strRef>
              <c:f>GraphTiming!$D$12</c:f>
              <c:strCache>
                <c:ptCount val="1"/>
                <c:pt idx="0">
                  <c:v>Anaemia present but not identified (%)</c:v>
                </c:pt>
              </c:strCache>
            </c:strRef>
          </c:tx>
          <c:spPr>
            <a:solidFill>
              <a:srgbClr val="1F497D">
                <a:lumMod val="75000"/>
              </a:srgbClr>
            </a:solidFill>
          </c:spPr>
          <c:invertIfNegative val="0"/>
          <c:cat>
            <c:multiLvlStrRef>
              <c:f>GraphTiming!$A$13:$B$14</c:f>
              <c:multiLvlStrCache>
                <c:ptCount val="2"/>
                <c:lvl>
                  <c:pt idx="0">
                    <c:v>4 weeks and greater</c:v>
                  </c:pt>
                  <c:pt idx="1">
                    <c:v>less 4 weeks</c:v>
                  </c:pt>
                </c:lvl>
                <c:lvl>
                  <c:pt idx="0">
                    <c:v>Orthopaedic</c:v>
                  </c:pt>
                </c:lvl>
              </c:multiLvlStrCache>
            </c:multiLvlStrRef>
          </c:cat>
          <c:val>
            <c:numRef>
              <c:f>GraphTiming!$D$13:$D$14</c:f>
              <c:numCache>
                <c:formatCode>0%</c:formatCode>
                <c:ptCount val="2"/>
                <c:pt idx="0">
                  <c:v>0.6470588235294118</c:v>
                </c:pt>
                <c:pt idx="1">
                  <c:v>0.84782608695652173</c:v>
                </c:pt>
              </c:numCache>
            </c:numRef>
          </c:val>
          <c:extLst>
            <c:ext xmlns:c16="http://schemas.microsoft.com/office/drawing/2014/chart" uri="{C3380CC4-5D6E-409C-BE32-E72D297353CC}">
              <c16:uniqueId val="{00000001-CE8D-4E46-8136-41624D857983}"/>
            </c:ext>
          </c:extLst>
        </c:ser>
        <c:dLbls>
          <c:showLegendKey val="0"/>
          <c:showVal val="0"/>
          <c:showCatName val="0"/>
          <c:showSerName val="0"/>
          <c:showPercent val="0"/>
          <c:showBubbleSize val="0"/>
        </c:dLbls>
        <c:gapWidth val="150"/>
        <c:axId val="103926016"/>
        <c:axId val="109723648"/>
      </c:barChart>
      <c:lineChart>
        <c:grouping val="standard"/>
        <c:varyColors val="0"/>
        <c:ser>
          <c:idx val="2"/>
          <c:order val="2"/>
          <c:tx>
            <c:strRef>
              <c:f>GraphTiming!$E$12</c:f>
              <c:strCache>
                <c:ptCount val="1"/>
                <c:pt idx="0">
                  <c:v>Patients with identified anaemia</c:v>
                </c:pt>
              </c:strCache>
            </c:strRef>
          </c:tx>
          <c:spPr>
            <a:ln>
              <a:noFill/>
            </a:ln>
          </c:spPr>
          <c:marker>
            <c:spPr>
              <a:solidFill>
                <a:srgbClr val="C00000"/>
              </a:solidFill>
              <a:ln w="76200">
                <a:solidFill>
                  <a:srgbClr val="C00000"/>
                </a:solidFill>
              </a:ln>
            </c:spPr>
          </c:marker>
          <c:cat>
            <c:multiLvlStrRef>
              <c:f>GraphTiming!$A$13:$B$14</c:f>
              <c:multiLvlStrCache>
                <c:ptCount val="2"/>
                <c:lvl>
                  <c:pt idx="0">
                    <c:v>4 weeks and greater</c:v>
                  </c:pt>
                  <c:pt idx="1">
                    <c:v>less 4 weeks</c:v>
                  </c:pt>
                </c:lvl>
                <c:lvl>
                  <c:pt idx="0">
                    <c:v>Orthopaedic</c:v>
                  </c:pt>
                </c:lvl>
              </c:multiLvlStrCache>
            </c:multiLvlStrRef>
          </c:cat>
          <c:val>
            <c:numRef>
              <c:f>GraphTiming!$E$13:$E$14</c:f>
              <c:numCache>
                <c:formatCode>General</c:formatCode>
                <c:ptCount val="2"/>
                <c:pt idx="0">
                  <c:v>18</c:v>
                </c:pt>
                <c:pt idx="1">
                  <c:v>7</c:v>
                </c:pt>
              </c:numCache>
            </c:numRef>
          </c:val>
          <c:smooth val="0"/>
          <c:extLst>
            <c:ext xmlns:c16="http://schemas.microsoft.com/office/drawing/2014/chart" uri="{C3380CC4-5D6E-409C-BE32-E72D297353CC}">
              <c16:uniqueId val="{00000002-CE8D-4E46-8136-41624D857983}"/>
            </c:ext>
          </c:extLst>
        </c:ser>
        <c:ser>
          <c:idx val="3"/>
          <c:order val="3"/>
          <c:tx>
            <c:strRef>
              <c:f>GraphTiming!$F$12</c:f>
              <c:strCache>
                <c:ptCount val="1"/>
                <c:pt idx="0">
                  <c:v>Patients with PBM-defined anaemia</c:v>
                </c:pt>
              </c:strCache>
            </c:strRef>
          </c:tx>
          <c:spPr>
            <a:ln>
              <a:noFill/>
            </a:ln>
          </c:spPr>
          <c:marker>
            <c:spPr>
              <a:solidFill>
                <a:schemeClr val="accent2">
                  <a:lumMod val="50000"/>
                </a:schemeClr>
              </a:solidFill>
              <a:ln w="76200">
                <a:solidFill>
                  <a:srgbClr val="C0504D">
                    <a:lumMod val="50000"/>
                  </a:srgbClr>
                </a:solidFill>
              </a:ln>
            </c:spPr>
          </c:marker>
          <c:cat>
            <c:multiLvlStrRef>
              <c:f>GraphTiming!$A$13:$B$14</c:f>
              <c:multiLvlStrCache>
                <c:ptCount val="2"/>
                <c:lvl>
                  <c:pt idx="0">
                    <c:v>4 weeks and greater</c:v>
                  </c:pt>
                  <c:pt idx="1">
                    <c:v>less 4 weeks</c:v>
                  </c:pt>
                </c:lvl>
                <c:lvl>
                  <c:pt idx="0">
                    <c:v>Orthopaedic</c:v>
                  </c:pt>
                </c:lvl>
              </c:multiLvlStrCache>
            </c:multiLvlStrRef>
          </c:cat>
          <c:val>
            <c:numRef>
              <c:f>GraphTiming!$F$13:$F$14</c:f>
              <c:numCache>
                <c:formatCode>General</c:formatCode>
                <c:ptCount val="2"/>
                <c:pt idx="0">
                  <c:v>51</c:v>
                </c:pt>
                <c:pt idx="1">
                  <c:v>46</c:v>
                </c:pt>
              </c:numCache>
            </c:numRef>
          </c:val>
          <c:smooth val="0"/>
          <c:extLst>
            <c:ext xmlns:c16="http://schemas.microsoft.com/office/drawing/2014/chart" uri="{C3380CC4-5D6E-409C-BE32-E72D297353CC}">
              <c16:uniqueId val="{00000003-CE8D-4E46-8136-41624D857983}"/>
            </c:ext>
          </c:extLst>
        </c:ser>
        <c:dLbls>
          <c:showLegendKey val="0"/>
          <c:showVal val="0"/>
          <c:showCatName val="0"/>
          <c:showSerName val="0"/>
          <c:showPercent val="0"/>
          <c:showBubbleSize val="0"/>
        </c:dLbls>
        <c:marker val="1"/>
        <c:smooth val="0"/>
        <c:axId val="321931944"/>
        <c:axId val="321932928"/>
      </c:lineChart>
      <c:catAx>
        <c:axId val="103926016"/>
        <c:scaling>
          <c:orientation val="minMax"/>
        </c:scaling>
        <c:delete val="0"/>
        <c:axPos val="b"/>
        <c:numFmt formatCode="General" sourceLinked="0"/>
        <c:majorTickMark val="out"/>
        <c:minorTickMark val="none"/>
        <c:tickLblPos val="nextTo"/>
        <c:crossAx val="109723648"/>
        <c:crosses val="autoZero"/>
        <c:auto val="1"/>
        <c:lblAlgn val="ctr"/>
        <c:lblOffset val="100"/>
        <c:noMultiLvlLbl val="0"/>
      </c:catAx>
      <c:valAx>
        <c:axId val="109723648"/>
        <c:scaling>
          <c:orientation val="minMax"/>
          <c:max val="1"/>
        </c:scaling>
        <c:delete val="0"/>
        <c:axPos val="l"/>
        <c:majorGridlines/>
        <c:title>
          <c:tx>
            <c:rich>
              <a:bodyPr/>
              <a:lstStyle/>
              <a:p>
                <a:pPr>
                  <a:defRPr/>
                </a:pPr>
                <a:r>
                  <a:rPr lang="en-US"/>
                  <a:t>Percentage</a:t>
                </a:r>
              </a:p>
            </c:rich>
          </c:tx>
          <c:layout>
            <c:manualLayout>
              <c:xMode val="edge"/>
              <c:yMode val="edge"/>
              <c:x val="0.19625137816979052"/>
              <c:y val="0.17984918335985203"/>
            </c:manualLayout>
          </c:layout>
          <c:overlay val="0"/>
        </c:title>
        <c:numFmt formatCode="0%" sourceLinked="1"/>
        <c:majorTickMark val="out"/>
        <c:minorTickMark val="none"/>
        <c:tickLblPos val="nextTo"/>
        <c:txPr>
          <a:bodyPr/>
          <a:lstStyle/>
          <a:p>
            <a:pPr>
              <a:defRPr sz="900"/>
            </a:pPr>
            <a:endParaRPr lang="en-US"/>
          </a:p>
        </c:txPr>
        <c:crossAx val="103926016"/>
        <c:crosses val="autoZero"/>
        <c:crossBetween val="between"/>
      </c:valAx>
      <c:valAx>
        <c:axId val="321932928"/>
        <c:scaling>
          <c:orientation val="minMax"/>
        </c:scaling>
        <c:delete val="0"/>
        <c:axPos val="r"/>
        <c:title>
          <c:tx>
            <c:rich>
              <a:bodyPr/>
              <a:lstStyle/>
              <a:p>
                <a:pPr>
                  <a:defRPr/>
                </a:pPr>
                <a:r>
                  <a:rPr lang="en-AU"/>
                  <a:t>Number</a:t>
                </a:r>
                <a:r>
                  <a:rPr lang="en-AU" baseline="0"/>
                  <a:t> of patients</a:t>
                </a:r>
                <a:endParaRPr lang="en-AU"/>
              </a:p>
            </c:rich>
          </c:tx>
          <c:layout>
            <c:manualLayout>
              <c:xMode val="edge"/>
              <c:yMode val="edge"/>
              <c:x val="0.91814072745857267"/>
              <c:y val="9.1085975004419784E-2"/>
            </c:manualLayout>
          </c:layout>
          <c:overlay val="0"/>
        </c:title>
        <c:numFmt formatCode="General" sourceLinked="1"/>
        <c:majorTickMark val="out"/>
        <c:minorTickMark val="none"/>
        <c:tickLblPos val="nextTo"/>
        <c:txPr>
          <a:bodyPr/>
          <a:lstStyle/>
          <a:p>
            <a:pPr>
              <a:defRPr sz="900"/>
            </a:pPr>
            <a:endParaRPr lang="en-US"/>
          </a:p>
        </c:txPr>
        <c:crossAx val="321931944"/>
        <c:crosses val="max"/>
        <c:crossBetween val="between"/>
      </c:valAx>
      <c:catAx>
        <c:axId val="321931944"/>
        <c:scaling>
          <c:orientation val="minMax"/>
        </c:scaling>
        <c:delete val="1"/>
        <c:axPos val="b"/>
        <c:numFmt formatCode="General" sourceLinked="1"/>
        <c:majorTickMark val="out"/>
        <c:minorTickMark val="none"/>
        <c:tickLblPos val="nextTo"/>
        <c:crossAx val="321932928"/>
        <c:crosses val="autoZero"/>
        <c:auto val="1"/>
        <c:lblAlgn val="ctr"/>
        <c:lblOffset val="100"/>
        <c:noMultiLvlLbl val="0"/>
      </c:catAx>
      <c:dTable>
        <c:showHorzBorder val="1"/>
        <c:showVertBorder val="1"/>
        <c:showOutline val="1"/>
        <c:showKeys val="1"/>
        <c:txPr>
          <a:bodyPr/>
          <a:lstStyle/>
          <a:p>
            <a:pPr rtl="0">
              <a:defRPr sz="900"/>
            </a:pPr>
            <a:endParaRPr lang="en-US"/>
          </a:p>
        </c:txPr>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756206400125913E-2"/>
          <c:y val="4.5132193841623452E-2"/>
          <c:w val="0.84813862008160434"/>
          <c:h val="0.61460736326878052"/>
        </c:manualLayout>
      </c:layout>
      <c:barChart>
        <c:barDir val="col"/>
        <c:grouping val="clustered"/>
        <c:varyColors val="0"/>
        <c:ser>
          <c:idx val="0"/>
          <c:order val="0"/>
          <c:tx>
            <c:strRef>
              <c:f>GraphTiming!$C$12</c:f>
              <c:strCache>
                <c:ptCount val="1"/>
                <c:pt idx="0">
                  <c:v>Anaemia identified and not treated (%)</c:v>
                </c:pt>
              </c:strCache>
            </c:strRef>
          </c:tx>
          <c:spPr>
            <a:solidFill>
              <a:srgbClr val="1F497D">
                <a:lumMod val="40000"/>
                <a:lumOff val="60000"/>
              </a:srgbClr>
            </a:solidFill>
          </c:spPr>
          <c:invertIfNegative val="0"/>
          <c:cat>
            <c:multiLvlStrRef>
              <c:f>GraphTiming!$A$15:$B$16</c:f>
              <c:multiLvlStrCache>
                <c:ptCount val="2"/>
                <c:lvl>
                  <c:pt idx="0">
                    <c:v>4 weeks and greater</c:v>
                  </c:pt>
                  <c:pt idx="1">
                    <c:v>less 4 weeks</c:v>
                  </c:pt>
                </c:lvl>
                <c:lvl>
                  <c:pt idx="0">
                    <c:v>Gynaecology</c:v>
                  </c:pt>
                </c:lvl>
              </c:multiLvlStrCache>
            </c:multiLvlStrRef>
          </c:cat>
          <c:val>
            <c:numRef>
              <c:f>GraphTiming!$C$15:$C$16</c:f>
              <c:numCache>
                <c:formatCode>0%</c:formatCode>
                <c:ptCount val="2"/>
                <c:pt idx="0">
                  <c:v>6.25E-2</c:v>
                </c:pt>
                <c:pt idx="1">
                  <c:v>0.44444444444444442</c:v>
                </c:pt>
              </c:numCache>
            </c:numRef>
          </c:val>
          <c:extLst>
            <c:ext xmlns:c16="http://schemas.microsoft.com/office/drawing/2014/chart" uri="{C3380CC4-5D6E-409C-BE32-E72D297353CC}">
              <c16:uniqueId val="{00000000-2043-45D1-8FAC-E92D3AC04282}"/>
            </c:ext>
          </c:extLst>
        </c:ser>
        <c:ser>
          <c:idx val="1"/>
          <c:order val="1"/>
          <c:tx>
            <c:strRef>
              <c:f>GraphTiming!$D$12</c:f>
              <c:strCache>
                <c:ptCount val="1"/>
                <c:pt idx="0">
                  <c:v>Anaemia present but not identified (%)</c:v>
                </c:pt>
              </c:strCache>
            </c:strRef>
          </c:tx>
          <c:spPr>
            <a:solidFill>
              <a:srgbClr val="1F497D">
                <a:lumMod val="75000"/>
              </a:srgbClr>
            </a:solidFill>
          </c:spPr>
          <c:invertIfNegative val="0"/>
          <c:cat>
            <c:multiLvlStrRef>
              <c:f>GraphTiming!$A$15:$B$16</c:f>
              <c:multiLvlStrCache>
                <c:ptCount val="2"/>
                <c:lvl>
                  <c:pt idx="0">
                    <c:v>4 weeks and greater</c:v>
                  </c:pt>
                  <c:pt idx="1">
                    <c:v>less 4 weeks</c:v>
                  </c:pt>
                </c:lvl>
                <c:lvl>
                  <c:pt idx="0">
                    <c:v>Gynaecology</c:v>
                  </c:pt>
                </c:lvl>
              </c:multiLvlStrCache>
            </c:multiLvlStrRef>
          </c:cat>
          <c:val>
            <c:numRef>
              <c:f>GraphTiming!$D$15:$D$16</c:f>
              <c:numCache>
                <c:formatCode>0%</c:formatCode>
                <c:ptCount val="2"/>
                <c:pt idx="0">
                  <c:v>0.44827586206896552</c:v>
                </c:pt>
                <c:pt idx="1">
                  <c:v>0.66666666666666663</c:v>
                </c:pt>
              </c:numCache>
            </c:numRef>
          </c:val>
          <c:extLst>
            <c:ext xmlns:c16="http://schemas.microsoft.com/office/drawing/2014/chart" uri="{C3380CC4-5D6E-409C-BE32-E72D297353CC}">
              <c16:uniqueId val="{00000001-2043-45D1-8FAC-E92D3AC04282}"/>
            </c:ext>
          </c:extLst>
        </c:ser>
        <c:dLbls>
          <c:showLegendKey val="0"/>
          <c:showVal val="0"/>
          <c:showCatName val="0"/>
          <c:showSerName val="0"/>
          <c:showPercent val="0"/>
          <c:showBubbleSize val="0"/>
        </c:dLbls>
        <c:gapWidth val="150"/>
        <c:axId val="103926016"/>
        <c:axId val="109723648"/>
      </c:barChart>
      <c:lineChart>
        <c:grouping val="standard"/>
        <c:varyColors val="0"/>
        <c:ser>
          <c:idx val="2"/>
          <c:order val="2"/>
          <c:tx>
            <c:strRef>
              <c:f>GraphTiming!$E$12</c:f>
              <c:strCache>
                <c:ptCount val="1"/>
                <c:pt idx="0">
                  <c:v>Patients with identified anaemia</c:v>
                </c:pt>
              </c:strCache>
            </c:strRef>
          </c:tx>
          <c:spPr>
            <a:ln>
              <a:noFill/>
            </a:ln>
          </c:spPr>
          <c:marker>
            <c:spPr>
              <a:solidFill>
                <a:schemeClr val="accent5">
                  <a:lumMod val="50000"/>
                </a:schemeClr>
              </a:solidFill>
              <a:ln w="76200">
                <a:solidFill>
                  <a:srgbClr val="C00000"/>
                </a:solidFill>
              </a:ln>
            </c:spPr>
          </c:marker>
          <c:cat>
            <c:multiLvlStrRef>
              <c:f>GraphTiming!$A$15:$B$16</c:f>
              <c:multiLvlStrCache>
                <c:ptCount val="2"/>
                <c:lvl>
                  <c:pt idx="0">
                    <c:v>4 weeks and greater</c:v>
                  </c:pt>
                  <c:pt idx="1">
                    <c:v>less 4 weeks</c:v>
                  </c:pt>
                </c:lvl>
                <c:lvl>
                  <c:pt idx="0">
                    <c:v>Gynaecology</c:v>
                  </c:pt>
                </c:lvl>
              </c:multiLvlStrCache>
            </c:multiLvlStrRef>
          </c:cat>
          <c:val>
            <c:numRef>
              <c:f>GraphTiming!$E$15:$E$16</c:f>
              <c:numCache>
                <c:formatCode>General</c:formatCode>
                <c:ptCount val="2"/>
                <c:pt idx="0">
                  <c:v>16</c:v>
                </c:pt>
                <c:pt idx="1">
                  <c:v>9</c:v>
                </c:pt>
              </c:numCache>
            </c:numRef>
          </c:val>
          <c:smooth val="0"/>
          <c:extLst>
            <c:ext xmlns:c16="http://schemas.microsoft.com/office/drawing/2014/chart" uri="{C3380CC4-5D6E-409C-BE32-E72D297353CC}">
              <c16:uniqueId val="{00000002-2043-45D1-8FAC-E92D3AC04282}"/>
            </c:ext>
          </c:extLst>
        </c:ser>
        <c:ser>
          <c:idx val="3"/>
          <c:order val="3"/>
          <c:tx>
            <c:strRef>
              <c:f>GraphTiming!$F$12</c:f>
              <c:strCache>
                <c:ptCount val="1"/>
                <c:pt idx="0">
                  <c:v>Patients with PBM-defined anaemia</c:v>
                </c:pt>
              </c:strCache>
            </c:strRef>
          </c:tx>
          <c:spPr>
            <a:ln>
              <a:noFill/>
            </a:ln>
          </c:spPr>
          <c:marker>
            <c:spPr>
              <a:solidFill>
                <a:schemeClr val="accent2">
                  <a:lumMod val="50000"/>
                </a:schemeClr>
              </a:solidFill>
              <a:ln w="76200">
                <a:solidFill>
                  <a:srgbClr val="C0504D">
                    <a:lumMod val="75000"/>
                  </a:srgbClr>
                </a:solidFill>
              </a:ln>
            </c:spPr>
          </c:marker>
          <c:cat>
            <c:multiLvlStrRef>
              <c:f>GraphTiming!$A$15:$B$16</c:f>
              <c:multiLvlStrCache>
                <c:ptCount val="2"/>
                <c:lvl>
                  <c:pt idx="0">
                    <c:v>4 weeks and greater</c:v>
                  </c:pt>
                  <c:pt idx="1">
                    <c:v>less 4 weeks</c:v>
                  </c:pt>
                </c:lvl>
                <c:lvl>
                  <c:pt idx="0">
                    <c:v>Gynaecology</c:v>
                  </c:pt>
                </c:lvl>
              </c:multiLvlStrCache>
            </c:multiLvlStrRef>
          </c:cat>
          <c:val>
            <c:numRef>
              <c:f>GraphTiming!$F$15:$F$16</c:f>
              <c:numCache>
                <c:formatCode>General</c:formatCode>
                <c:ptCount val="2"/>
                <c:pt idx="0">
                  <c:v>29</c:v>
                </c:pt>
                <c:pt idx="1">
                  <c:v>27</c:v>
                </c:pt>
              </c:numCache>
            </c:numRef>
          </c:val>
          <c:smooth val="0"/>
          <c:extLst>
            <c:ext xmlns:c16="http://schemas.microsoft.com/office/drawing/2014/chart" uri="{C3380CC4-5D6E-409C-BE32-E72D297353CC}">
              <c16:uniqueId val="{00000003-2043-45D1-8FAC-E92D3AC04282}"/>
            </c:ext>
          </c:extLst>
        </c:ser>
        <c:dLbls>
          <c:showLegendKey val="0"/>
          <c:showVal val="0"/>
          <c:showCatName val="0"/>
          <c:showSerName val="0"/>
          <c:showPercent val="0"/>
          <c:showBubbleSize val="0"/>
        </c:dLbls>
        <c:marker val="1"/>
        <c:smooth val="0"/>
        <c:axId val="321931944"/>
        <c:axId val="321932928"/>
      </c:lineChart>
      <c:catAx>
        <c:axId val="103926016"/>
        <c:scaling>
          <c:orientation val="minMax"/>
        </c:scaling>
        <c:delete val="0"/>
        <c:axPos val="b"/>
        <c:numFmt formatCode="General" sourceLinked="0"/>
        <c:majorTickMark val="out"/>
        <c:minorTickMark val="none"/>
        <c:tickLblPos val="nextTo"/>
        <c:crossAx val="109723648"/>
        <c:crosses val="autoZero"/>
        <c:auto val="1"/>
        <c:lblAlgn val="ctr"/>
        <c:lblOffset val="100"/>
        <c:noMultiLvlLbl val="0"/>
      </c:catAx>
      <c:valAx>
        <c:axId val="109723648"/>
        <c:scaling>
          <c:orientation val="minMax"/>
          <c:max val="1"/>
        </c:scaling>
        <c:delete val="0"/>
        <c:axPos val="l"/>
        <c:majorGridlines/>
        <c:title>
          <c:tx>
            <c:rich>
              <a:bodyPr/>
              <a:lstStyle/>
              <a:p>
                <a:pPr>
                  <a:defRPr/>
                </a:pPr>
                <a:r>
                  <a:rPr lang="en-US"/>
                  <a:t>Percentage</a:t>
                </a:r>
              </a:p>
            </c:rich>
          </c:tx>
          <c:overlay val="0"/>
        </c:title>
        <c:numFmt formatCode="0%" sourceLinked="1"/>
        <c:majorTickMark val="out"/>
        <c:minorTickMark val="none"/>
        <c:tickLblPos val="nextTo"/>
        <c:txPr>
          <a:bodyPr/>
          <a:lstStyle/>
          <a:p>
            <a:pPr>
              <a:defRPr sz="900"/>
            </a:pPr>
            <a:endParaRPr lang="en-US"/>
          </a:p>
        </c:txPr>
        <c:crossAx val="103926016"/>
        <c:crosses val="autoZero"/>
        <c:crossBetween val="between"/>
      </c:valAx>
      <c:valAx>
        <c:axId val="321932928"/>
        <c:scaling>
          <c:orientation val="minMax"/>
        </c:scaling>
        <c:delete val="0"/>
        <c:axPos val="r"/>
        <c:title>
          <c:tx>
            <c:rich>
              <a:bodyPr/>
              <a:lstStyle/>
              <a:p>
                <a:pPr>
                  <a:defRPr/>
                </a:pPr>
                <a:r>
                  <a:rPr lang="en-AU"/>
                  <a:t>Number</a:t>
                </a:r>
                <a:r>
                  <a:rPr lang="en-AU" baseline="0"/>
                  <a:t> of patients</a:t>
                </a:r>
                <a:endParaRPr lang="en-AU"/>
              </a:p>
            </c:rich>
          </c:tx>
          <c:layout>
            <c:manualLayout>
              <c:xMode val="edge"/>
              <c:yMode val="edge"/>
              <c:x val="0.91796022189618798"/>
              <c:y val="5.0724545472495795E-2"/>
            </c:manualLayout>
          </c:layout>
          <c:overlay val="0"/>
        </c:title>
        <c:numFmt formatCode="General" sourceLinked="1"/>
        <c:majorTickMark val="out"/>
        <c:minorTickMark val="none"/>
        <c:tickLblPos val="nextTo"/>
        <c:txPr>
          <a:bodyPr/>
          <a:lstStyle/>
          <a:p>
            <a:pPr>
              <a:defRPr sz="900"/>
            </a:pPr>
            <a:endParaRPr lang="en-US"/>
          </a:p>
        </c:txPr>
        <c:crossAx val="321931944"/>
        <c:crosses val="max"/>
        <c:crossBetween val="between"/>
      </c:valAx>
      <c:catAx>
        <c:axId val="321931944"/>
        <c:scaling>
          <c:orientation val="minMax"/>
        </c:scaling>
        <c:delete val="1"/>
        <c:axPos val="b"/>
        <c:numFmt formatCode="General" sourceLinked="1"/>
        <c:majorTickMark val="out"/>
        <c:minorTickMark val="none"/>
        <c:tickLblPos val="nextTo"/>
        <c:crossAx val="321932928"/>
        <c:crosses val="autoZero"/>
        <c:auto val="1"/>
        <c:lblAlgn val="ctr"/>
        <c:lblOffset val="100"/>
        <c:noMultiLvlLbl val="0"/>
      </c:catAx>
      <c:dTable>
        <c:showHorzBorder val="1"/>
        <c:showVertBorder val="1"/>
        <c:showOutline val="1"/>
        <c:showKeys val="1"/>
        <c:txPr>
          <a:bodyPr/>
          <a:lstStyle/>
          <a:p>
            <a:pPr rtl="0">
              <a:defRPr sz="900"/>
            </a:pPr>
            <a:endParaRPr lang="en-US"/>
          </a:p>
        </c:txPr>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756206400125913E-2"/>
          <c:y val="4.5132193841623452E-2"/>
          <c:w val="0.84813862008160434"/>
          <c:h val="0.61460736326878052"/>
        </c:manualLayout>
      </c:layout>
      <c:barChart>
        <c:barDir val="col"/>
        <c:grouping val="clustered"/>
        <c:varyColors val="0"/>
        <c:ser>
          <c:idx val="0"/>
          <c:order val="0"/>
          <c:tx>
            <c:strRef>
              <c:f>GraphTiming!$C$12</c:f>
              <c:strCache>
                <c:ptCount val="1"/>
                <c:pt idx="0">
                  <c:v>Anaemia identified and not treated (%)</c:v>
                </c:pt>
              </c:strCache>
            </c:strRef>
          </c:tx>
          <c:spPr>
            <a:solidFill>
              <a:srgbClr val="1F497D">
                <a:lumMod val="40000"/>
                <a:lumOff val="60000"/>
              </a:srgbClr>
            </a:solidFill>
          </c:spPr>
          <c:invertIfNegative val="0"/>
          <c:cat>
            <c:multiLvlStrRef>
              <c:f>GraphTiming!$A$17:$B$18</c:f>
              <c:multiLvlStrCache>
                <c:ptCount val="2"/>
                <c:lvl>
                  <c:pt idx="0">
                    <c:v>4 weeks and greater</c:v>
                  </c:pt>
                  <c:pt idx="1">
                    <c:v>less 4 weeks</c:v>
                  </c:pt>
                </c:lvl>
                <c:lvl>
                  <c:pt idx="0">
                    <c:v>Gastrointestinal</c:v>
                  </c:pt>
                </c:lvl>
              </c:multiLvlStrCache>
            </c:multiLvlStrRef>
          </c:cat>
          <c:val>
            <c:numRef>
              <c:f>GraphTiming!$C$17:$C$18</c:f>
              <c:numCache>
                <c:formatCode>0%</c:formatCode>
                <c:ptCount val="2"/>
                <c:pt idx="0">
                  <c:v>0.44444444444444442</c:v>
                </c:pt>
                <c:pt idx="1">
                  <c:v>0.24242424242424243</c:v>
                </c:pt>
              </c:numCache>
            </c:numRef>
          </c:val>
          <c:extLst>
            <c:ext xmlns:c16="http://schemas.microsoft.com/office/drawing/2014/chart" uri="{C3380CC4-5D6E-409C-BE32-E72D297353CC}">
              <c16:uniqueId val="{00000000-F6E0-4172-BA1B-628C624D1A35}"/>
            </c:ext>
          </c:extLst>
        </c:ser>
        <c:ser>
          <c:idx val="1"/>
          <c:order val="1"/>
          <c:tx>
            <c:strRef>
              <c:f>GraphTiming!$D$12</c:f>
              <c:strCache>
                <c:ptCount val="1"/>
                <c:pt idx="0">
                  <c:v>Anaemia present but not identified (%)</c:v>
                </c:pt>
              </c:strCache>
            </c:strRef>
          </c:tx>
          <c:spPr>
            <a:solidFill>
              <a:srgbClr val="1F497D">
                <a:lumMod val="75000"/>
              </a:srgbClr>
            </a:solidFill>
          </c:spPr>
          <c:invertIfNegative val="0"/>
          <c:cat>
            <c:multiLvlStrRef>
              <c:f>GraphTiming!$A$17:$B$18</c:f>
              <c:multiLvlStrCache>
                <c:ptCount val="2"/>
                <c:lvl>
                  <c:pt idx="0">
                    <c:v>4 weeks and greater</c:v>
                  </c:pt>
                  <c:pt idx="1">
                    <c:v>less 4 weeks</c:v>
                  </c:pt>
                </c:lvl>
                <c:lvl>
                  <c:pt idx="0">
                    <c:v>Gastrointestinal</c:v>
                  </c:pt>
                </c:lvl>
              </c:multiLvlStrCache>
            </c:multiLvlStrRef>
          </c:cat>
          <c:val>
            <c:numRef>
              <c:f>GraphTiming!$D$17:$D$18</c:f>
              <c:numCache>
                <c:formatCode>0%</c:formatCode>
                <c:ptCount val="2"/>
                <c:pt idx="0">
                  <c:v>0.47058823529411764</c:v>
                </c:pt>
                <c:pt idx="1">
                  <c:v>0.45901639344262296</c:v>
                </c:pt>
              </c:numCache>
            </c:numRef>
          </c:val>
          <c:extLst>
            <c:ext xmlns:c16="http://schemas.microsoft.com/office/drawing/2014/chart" uri="{C3380CC4-5D6E-409C-BE32-E72D297353CC}">
              <c16:uniqueId val="{00000001-F6E0-4172-BA1B-628C624D1A35}"/>
            </c:ext>
          </c:extLst>
        </c:ser>
        <c:dLbls>
          <c:showLegendKey val="0"/>
          <c:showVal val="0"/>
          <c:showCatName val="0"/>
          <c:showSerName val="0"/>
          <c:showPercent val="0"/>
          <c:showBubbleSize val="0"/>
        </c:dLbls>
        <c:gapWidth val="150"/>
        <c:axId val="103926016"/>
        <c:axId val="109723648"/>
      </c:barChart>
      <c:lineChart>
        <c:grouping val="standard"/>
        <c:varyColors val="0"/>
        <c:ser>
          <c:idx val="2"/>
          <c:order val="2"/>
          <c:tx>
            <c:strRef>
              <c:f>GraphTiming!$E$12</c:f>
              <c:strCache>
                <c:ptCount val="1"/>
                <c:pt idx="0">
                  <c:v>Patients with identified anaemia</c:v>
                </c:pt>
              </c:strCache>
            </c:strRef>
          </c:tx>
          <c:spPr>
            <a:ln>
              <a:noFill/>
            </a:ln>
          </c:spPr>
          <c:marker>
            <c:spPr>
              <a:solidFill>
                <a:schemeClr val="accent5">
                  <a:lumMod val="50000"/>
                </a:schemeClr>
              </a:solidFill>
              <a:ln w="76200">
                <a:solidFill>
                  <a:srgbClr val="C00000"/>
                </a:solidFill>
              </a:ln>
            </c:spPr>
          </c:marker>
          <c:cat>
            <c:multiLvlStrRef>
              <c:f>GraphTiming!$A$17:$B$18</c:f>
              <c:multiLvlStrCache>
                <c:ptCount val="2"/>
                <c:lvl>
                  <c:pt idx="0">
                    <c:v>4 weeks and greater</c:v>
                  </c:pt>
                  <c:pt idx="1">
                    <c:v>less 4 weeks</c:v>
                  </c:pt>
                </c:lvl>
                <c:lvl>
                  <c:pt idx="0">
                    <c:v>Gastrointestinal</c:v>
                  </c:pt>
                </c:lvl>
              </c:multiLvlStrCache>
            </c:multiLvlStrRef>
          </c:cat>
          <c:val>
            <c:numRef>
              <c:f>GraphTiming!$E$17:$E$18</c:f>
              <c:numCache>
                <c:formatCode>General</c:formatCode>
                <c:ptCount val="2"/>
                <c:pt idx="0">
                  <c:v>9</c:v>
                </c:pt>
                <c:pt idx="1">
                  <c:v>33</c:v>
                </c:pt>
              </c:numCache>
            </c:numRef>
          </c:val>
          <c:smooth val="0"/>
          <c:extLst>
            <c:ext xmlns:c16="http://schemas.microsoft.com/office/drawing/2014/chart" uri="{C3380CC4-5D6E-409C-BE32-E72D297353CC}">
              <c16:uniqueId val="{00000002-F6E0-4172-BA1B-628C624D1A35}"/>
            </c:ext>
          </c:extLst>
        </c:ser>
        <c:ser>
          <c:idx val="3"/>
          <c:order val="3"/>
          <c:tx>
            <c:strRef>
              <c:f>GraphTiming!$F$12</c:f>
              <c:strCache>
                <c:ptCount val="1"/>
                <c:pt idx="0">
                  <c:v>Patients with PBM-defined anaemia</c:v>
                </c:pt>
              </c:strCache>
            </c:strRef>
          </c:tx>
          <c:spPr>
            <a:ln>
              <a:noFill/>
            </a:ln>
          </c:spPr>
          <c:marker>
            <c:spPr>
              <a:solidFill>
                <a:schemeClr val="accent2">
                  <a:lumMod val="50000"/>
                </a:schemeClr>
              </a:solidFill>
              <a:ln w="76200">
                <a:solidFill>
                  <a:srgbClr val="C0504D">
                    <a:lumMod val="75000"/>
                  </a:srgbClr>
                </a:solidFill>
              </a:ln>
            </c:spPr>
          </c:marker>
          <c:cat>
            <c:multiLvlStrRef>
              <c:f>GraphTiming!$A$17:$B$18</c:f>
              <c:multiLvlStrCache>
                <c:ptCount val="2"/>
                <c:lvl>
                  <c:pt idx="0">
                    <c:v>4 weeks and greater</c:v>
                  </c:pt>
                  <c:pt idx="1">
                    <c:v>less 4 weeks</c:v>
                  </c:pt>
                </c:lvl>
                <c:lvl>
                  <c:pt idx="0">
                    <c:v>Gastrointestinal</c:v>
                  </c:pt>
                </c:lvl>
              </c:multiLvlStrCache>
            </c:multiLvlStrRef>
          </c:cat>
          <c:val>
            <c:numRef>
              <c:f>GraphTiming!$F$17:$F$18</c:f>
              <c:numCache>
                <c:formatCode>General</c:formatCode>
                <c:ptCount val="2"/>
                <c:pt idx="0">
                  <c:v>17</c:v>
                </c:pt>
                <c:pt idx="1">
                  <c:v>61</c:v>
                </c:pt>
              </c:numCache>
            </c:numRef>
          </c:val>
          <c:smooth val="0"/>
          <c:extLst>
            <c:ext xmlns:c16="http://schemas.microsoft.com/office/drawing/2014/chart" uri="{C3380CC4-5D6E-409C-BE32-E72D297353CC}">
              <c16:uniqueId val="{00000003-F6E0-4172-BA1B-628C624D1A35}"/>
            </c:ext>
          </c:extLst>
        </c:ser>
        <c:dLbls>
          <c:showLegendKey val="0"/>
          <c:showVal val="0"/>
          <c:showCatName val="0"/>
          <c:showSerName val="0"/>
          <c:showPercent val="0"/>
          <c:showBubbleSize val="0"/>
        </c:dLbls>
        <c:marker val="1"/>
        <c:smooth val="0"/>
        <c:axId val="321931944"/>
        <c:axId val="321932928"/>
      </c:lineChart>
      <c:catAx>
        <c:axId val="103926016"/>
        <c:scaling>
          <c:orientation val="minMax"/>
        </c:scaling>
        <c:delete val="0"/>
        <c:axPos val="b"/>
        <c:numFmt formatCode="General" sourceLinked="0"/>
        <c:majorTickMark val="out"/>
        <c:minorTickMark val="none"/>
        <c:tickLblPos val="nextTo"/>
        <c:crossAx val="109723648"/>
        <c:crosses val="autoZero"/>
        <c:auto val="1"/>
        <c:lblAlgn val="ctr"/>
        <c:lblOffset val="100"/>
        <c:noMultiLvlLbl val="0"/>
      </c:catAx>
      <c:valAx>
        <c:axId val="109723648"/>
        <c:scaling>
          <c:orientation val="minMax"/>
          <c:max val="1"/>
        </c:scaling>
        <c:delete val="0"/>
        <c:axPos val="l"/>
        <c:majorGridlines/>
        <c:title>
          <c:tx>
            <c:rich>
              <a:bodyPr/>
              <a:lstStyle/>
              <a:p>
                <a:pPr>
                  <a:defRPr/>
                </a:pPr>
                <a:r>
                  <a:rPr lang="en-US"/>
                  <a:t>Percentage</a:t>
                </a:r>
              </a:p>
            </c:rich>
          </c:tx>
          <c:layout>
            <c:manualLayout>
              <c:xMode val="edge"/>
              <c:yMode val="edge"/>
              <c:x val="0.23859494090356786"/>
              <c:y val="0.15701735750546827"/>
            </c:manualLayout>
          </c:layout>
          <c:overlay val="0"/>
        </c:title>
        <c:numFmt formatCode="0%" sourceLinked="1"/>
        <c:majorTickMark val="out"/>
        <c:minorTickMark val="none"/>
        <c:tickLblPos val="nextTo"/>
        <c:txPr>
          <a:bodyPr/>
          <a:lstStyle/>
          <a:p>
            <a:pPr>
              <a:defRPr sz="900"/>
            </a:pPr>
            <a:endParaRPr lang="en-US"/>
          </a:p>
        </c:txPr>
        <c:crossAx val="103926016"/>
        <c:crosses val="autoZero"/>
        <c:crossBetween val="between"/>
      </c:valAx>
      <c:valAx>
        <c:axId val="321932928"/>
        <c:scaling>
          <c:orientation val="minMax"/>
        </c:scaling>
        <c:delete val="0"/>
        <c:axPos val="r"/>
        <c:title>
          <c:tx>
            <c:rich>
              <a:bodyPr/>
              <a:lstStyle/>
              <a:p>
                <a:pPr>
                  <a:defRPr/>
                </a:pPr>
                <a:r>
                  <a:rPr lang="en-AU"/>
                  <a:t>Number</a:t>
                </a:r>
                <a:r>
                  <a:rPr lang="en-AU" baseline="0"/>
                  <a:t> of patients</a:t>
                </a:r>
                <a:endParaRPr lang="en-AU"/>
              </a:p>
            </c:rich>
          </c:tx>
          <c:layout>
            <c:manualLayout>
              <c:xMode val="edge"/>
              <c:yMode val="edge"/>
              <c:x val="0.92016529356101706"/>
              <c:y val="1.9462355447419172E-2"/>
            </c:manualLayout>
          </c:layout>
          <c:overlay val="0"/>
        </c:title>
        <c:numFmt formatCode="General" sourceLinked="1"/>
        <c:majorTickMark val="out"/>
        <c:minorTickMark val="none"/>
        <c:tickLblPos val="nextTo"/>
        <c:txPr>
          <a:bodyPr/>
          <a:lstStyle/>
          <a:p>
            <a:pPr>
              <a:defRPr sz="900"/>
            </a:pPr>
            <a:endParaRPr lang="en-US"/>
          </a:p>
        </c:txPr>
        <c:crossAx val="321931944"/>
        <c:crosses val="max"/>
        <c:crossBetween val="between"/>
      </c:valAx>
      <c:catAx>
        <c:axId val="321931944"/>
        <c:scaling>
          <c:orientation val="minMax"/>
        </c:scaling>
        <c:delete val="1"/>
        <c:axPos val="b"/>
        <c:numFmt formatCode="General" sourceLinked="1"/>
        <c:majorTickMark val="out"/>
        <c:minorTickMark val="none"/>
        <c:tickLblPos val="nextTo"/>
        <c:crossAx val="321932928"/>
        <c:crosses val="autoZero"/>
        <c:auto val="1"/>
        <c:lblAlgn val="ctr"/>
        <c:lblOffset val="100"/>
        <c:noMultiLvlLbl val="0"/>
      </c:catAx>
      <c:dTable>
        <c:showHorzBorder val="1"/>
        <c:showVertBorder val="1"/>
        <c:showOutline val="1"/>
        <c:showKeys val="1"/>
        <c:txPr>
          <a:bodyPr/>
          <a:lstStyle/>
          <a:p>
            <a:pPr rtl="0">
              <a:defRPr sz="900"/>
            </a:pPr>
            <a:endParaRPr lang="en-US"/>
          </a:p>
        </c:txPr>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598601241917939"/>
          <c:y val="4.5132193841623452E-2"/>
          <c:w val="0.58429902054926064"/>
          <c:h val="0.61460736326878052"/>
        </c:manualLayout>
      </c:layout>
      <c:barChart>
        <c:barDir val="col"/>
        <c:grouping val="clustered"/>
        <c:varyColors val="0"/>
        <c:ser>
          <c:idx val="0"/>
          <c:order val="0"/>
          <c:tx>
            <c:strRef>
              <c:f>'[Chart in Microsoft Word]GraphTiming'!$C$12</c:f>
              <c:strCache>
                <c:ptCount val="1"/>
                <c:pt idx="0">
                  <c:v>Anaemia identified and not treated (%)</c:v>
                </c:pt>
              </c:strCache>
            </c:strRef>
          </c:tx>
          <c:spPr>
            <a:solidFill>
              <a:schemeClr val="tx2">
                <a:lumMod val="40000"/>
                <a:lumOff val="60000"/>
              </a:schemeClr>
            </a:solidFill>
          </c:spPr>
          <c:invertIfNegative val="0"/>
          <c:cat>
            <c:multiLvlStrRef>
              <c:f>'[Chart in Microsoft Word]GraphTiming'!$A$19:$B$20</c:f>
              <c:multiLvlStrCache>
                <c:ptCount val="2"/>
                <c:lvl>
                  <c:pt idx="0">
                    <c:v>4 weeks and greater</c:v>
                  </c:pt>
                  <c:pt idx="1">
                    <c:v>less 4 weeks</c:v>
                  </c:pt>
                </c:lvl>
                <c:lvl>
                  <c:pt idx="0">
                    <c:v>Cardiothoracic</c:v>
                  </c:pt>
                </c:lvl>
              </c:multiLvlStrCache>
            </c:multiLvlStrRef>
          </c:cat>
          <c:val>
            <c:numRef>
              <c:f>'[Chart in Microsoft Word]GraphTiming'!$C$19:$C$20</c:f>
              <c:numCache>
                <c:formatCode>0%</c:formatCode>
                <c:ptCount val="2"/>
                <c:pt idx="0">
                  <c:v>0</c:v>
                </c:pt>
                <c:pt idx="1">
                  <c:v>0.66666666666666663</c:v>
                </c:pt>
              </c:numCache>
            </c:numRef>
          </c:val>
          <c:extLst>
            <c:ext xmlns:c16="http://schemas.microsoft.com/office/drawing/2014/chart" uri="{C3380CC4-5D6E-409C-BE32-E72D297353CC}">
              <c16:uniqueId val="{00000000-FDD0-4EC7-92CE-0C9286EA3A15}"/>
            </c:ext>
          </c:extLst>
        </c:ser>
        <c:ser>
          <c:idx val="1"/>
          <c:order val="1"/>
          <c:tx>
            <c:strRef>
              <c:f>'[Chart in Microsoft Word]GraphTiming'!$D$12</c:f>
              <c:strCache>
                <c:ptCount val="1"/>
                <c:pt idx="0">
                  <c:v>Anaemia present but not identified (%)</c:v>
                </c:pt>
              </c:strCache>
            </c:strRef>
          </c:tx>
          <c:spPr>
            <a:solidFill>
              <a:schemeClr val="tx2">
                <a:lumMod val="75000"/>
              </a:schemeClr>
            </a:solidFill>
          </c:spPr>
          <c:invertIfNegative val="0"/>
          <c:cat>
            <c:multiLvlStrRef>
              <c:f>'[Chart in Microsoft Word]GraphTiming'!$A$19:$B$20</c:f>
              <c:multiLvlStrCache>
                <c:ptCount val="2"/>
                <c:lvl>
                  <c:pt idx="0">
                    <c:v>4 weeks and greater</c:v>
                  </c:pt>
                  <c:pt idx="1">
                    <c:v>less 4 weeks</c:v>
                  </c:pt>
                </c:lvl>
                <c:lvl>
                  <c:pt idx="0">
                    <c:v>Cardiothoracic</c:v>
                  </c:pt>
                </c:lvl>
              </c:multiLvlStrCache>
            </c:multiLvlStrRef>
          </c:cat>
          <c:val>
            <c:numRef>
              <c:f>'[Chart in Microsoft Word]GraphTiming'!$D$19:$D$20</c:f>
              <c:numCache>
                <c:formatCode>0%</c:formatCode>
                <c:ptCount val="2"/>
                <c:pt idx="0">
                  <c:v>0.5</c:v>
                </c:pt>
                <c:pt idx="1">
                  <c:v>0.8</c:v>
                </c:pt>
              </c:numCache>
            </c:numRef>
          </c:val>
          <c:extLst>
            <c:ext xmlns:c16="http://schemas.microsoft.com/office/drawing/2014/chart" uri="{C3380CC4-5D6E-409C-BE32-E72D297353CC}">
              <c16:uniqueId val="{00000001-FDD0-4EC7-92CE-0C9286EA3A15}"/>
            </c:ext>
          </c:extLst>
        </c:ser>
        <c:dLbls>
          <c:showLegendKey val="0"/>
          <c:showVal val="0"/>
          <c:showCatName val="0"/>
          <c:showSerName val="0"/>
          <c:showPercent val="0"/>
          <c:showBubbleSize val="0"/>
        </c:dLbls>
        <c:gapWidth val="150"/>
        <c:axId val="103926016"/>
        <c:axId val="109723648"/>
      </c:barChart>
      <c:lineChart>
        <c:grouping val="standard"/>
        <c:varyColors val="0"/>
        <c:ser>
          <c:idx val="2"/>
          <c:order val="2"/>
          <c:tx>
            <c:strRef>
              <c:f>'[Chart in Microsoft Word]GraphTiming'!$E$12</c:f>
              <c:strCache>
                <c:ptCount val="1"/>
                <c:pt idx="0">
                  <c:v>Patients with identified anaemia</c:v>
                </c:pt>
              </c:strCache>
            </c:strRef>
          </c:tx>
          <c:spPr>
            <a:ln>
              <a:noFill/>
            </a:ln>
          </c:spPr>
          <c:marker>
            <c:spPr>
              <a:solidFill>
                <a:schemeClr val="accent5">
                  <a:lumMod val="50000"/>
                </a:schemeClr>
              </a:solidFill>
              <a:ln w="76200">
                <a:solidFill>
                  <a:srgbClr val="C00000"/>
                </a:solidFill>
              </a:ln>
            </c:spPr>
          </c:marker>
          <c:cat>
            <c:multiLvlStrRef>
              <c:f>'[Chart in Microsoft Word]GraphTiming'!$A$19:$B$20</c:f>
              <c:multiLvlStrCache>
                <c:ptCount val="2"/>
                <c:lvl>
                  <c:pt idx="0">
                    <c:v>4 weeks and greater</c:v>
                  </c:pt>
                  <c:pt idx="1">
                    <c:v>less 4 weeks</c:v>
                  </c:pt>
                </c:lvl>
                <c:lvl>
                  <c:pt idx="0">
                    <c:v>Cardiothoracic</c:v>
                  </c:pt>
                </c:lvl>
              </c:multiLvlStrCache>
            </c:multiLvlStrRef>
          </c:cat>
          <c:val>
            <c:numRef>
              <c:f>'[Chart in Microsoft Word]GraphTiming'!$E$19:$E$20</c:f>
              <c:numCache>
                <c:formatCode>General</c:formatCode>
                <c:ptCount val="2"/>
                <c:pt idx="0">
                  <c:v>1</c:v>
                </c:pt>
                <c:pt idx="1">
                  <c:v>3</c:v>
                </c:pt>
              </c:numCache>
            </c:numRef>
          </c:val>
          <c:smooth val="0"/>
          <c:extLst>
            <c:ext xmlns:c16="http://schemas.microsoft.com/office/drawing/2014/chart" uri="{C3380CC4-5D6E-409C-BE32-E72D297353CC}">
              <c16:uniqueId val="{00000002-FDD0-4EC7-92CE-0C9286EA3A15}"/>
            </c:ext>
          </c:extLst>
        </c:ser>
        <c:ser>
          <c:idx val="3"/>
          <c:order val="3"/>
          <c:tx>
            <c:strRef>
              <c:f>'[Chart in Microsoft Word]GraphTiming'!$F$12</c:f>
              <c:strCache>
                <c:ptCount val="1"/>
                <c:pt idx="0">
                  <c:v>Patients with PBM-defined anaemia</c:v>
                </c:pt>
              </c:strCache>
            </c:strRef>
          </c:tx>
          <c:spPr>
            <a:ln>
              <a:noFill/>
            </a:ln>
          </c:spPr>
          <c:marker>
            <c:spPr>
              <a:solidFill>
                <a:schemeClr val="accent2">
                  <a:lumMod val="50000"/>
                </a:schemeClr>
              </a:solidFill>
              <a:ln w="76200">
                <a:solidFill>
                  <a:schemeClr val="accent2">
                    <a:lumMod val="75000"/>
                  </a:schemeClr>
                </a:solidFill>
              </a:ln>
            </c:spPr>
          </c:marker>
          <c:cat>
            <c:multiLvlStrRef>
              <c:f>'[Chart in Microsoft Word]GraphTiming'!$A$19:$B$20</c:f>
              <c:multiLvlStrCache>
                <c:ptCount val="2"/>
                <c:lvl>
                  <c:pt idx="0">
                    <c:v>4 weeks and greater</c:v>
                  </c:pt>
                  <c:pt idx="1">
                    <c:v>less 4 weeks</c:v>
                  </c:pt>
                </c:lvl>
                <c:lvl>
                  <c:pt idx="0">
                    <c:v>Cardiothoracic</c:v>
                  </c:pt>
                </c:lvl>
              </c:multiLvlStrCache>
            </c:multiLvlStrRef>
          </c:cat>
          <c:val>
            <c:numRef>
              <c:f>'[Chart in Microsoft Word]GraphTiming'!$F$19:$F$20</c:f>
              <c:numCache>
                <c:formatCode>General</c:formatCode>
                <c:ptCount val="2"/>
                <c:pt idx="0">
                  <c:v>2</c:v>
                </c:pt>
                <c:pt idx="1">
                  <c:v>15</c:v>
                </c:pt>
              </c:numCache>
            </c:numRef>
          </c:val>
          <c:smooth val="0"/>
          <c:extLst>
            <c:ext xmlns:c16="http://schemas.microsoft.com/office/drawing/2014/chart" uri="{C3380CC4-5D6E-409C-BE32-E72D297353CC}">
              <c16:uniqueId val="{00000003-FDD0-4EC7-92CE-0C9286EA3A15}"/>
            </c:ext>
          </c:extLst>
        </c:ser>
        <c:dLbls>
          <c:showLegendKey val="0"/>
          <c:showVal val="0"/>
          <c:showCatName val="0"/>
          <c:showSerName val="0"/>
          <c:showPercent val="0"/>
          <c:showBubbleSize val="0"/>
        </c:dLbls>
        <c:marker val="1"/>
        <c:smooth val="0"/>
        <c:axId val="321931944"/>
        <c:axId val="321932928"/>
      </c:lineChart>
      <c:catAx>
        <c:axId val="103926016"/>
        <c:scaling>
          <c:orientation val="minMax"/>
        </c:scaling>
        <c:delete val="0"/>
        <c:axPos val="b"/>
        <c:numFmt formatCode="General" sourceLinked="0"/>
        <c:majorTickMark val="out"/>
        <c:minorTickMark val="none"/>
        <c:tickLblPos val="nextTo"/>
        <c:crossAx val="109723648"/>
        <c:crosses val="autoZero"/>
        <c:auto val="1"/>
        <c:lblAlgn val="ctr"/>
        <c:lblOffset val="100"/>
        <c:noMultiLvlLbl val="0"/>
      </c:catAx>
      <c:valAx>
        <c:axId val="109723648"/>
        <c:scaling>
          <c:orientation val="minMax"/>
          <c:max val="1"/>
        </c:scaling>
        <c:delete val="0"/>
        <c:axPos val="l"/>
        <c:majorGridlines/>
        <c:title>
          <c:tx>
            <c:rich>
              <a:bodyPr/>
              <a:lstStyle/>
              <a:p>
                <a:pPr>
                  <a:defRPr/>
                </a:pPr>
                <a:r>
                  <a:rPr lang="en-US"/>
                  <a:t>Percentage</a:t>
                </a:r>
              </a:p>
            </c:rich>
          </c:tx>
          <c:layout>
            <c:manualLayout>
              <c:xMode val="edge"/>
              <c:yMode val="edge"/>
              <c:x val="0.25609756097560976"/>
              <c:y val="0.20945018024199258"/>
            </c:manualLayout>
          </c:layout>
          <c:overlay val="0"/>
        </c:title>
        <c:numFmt formatCode="0%" sourceLinked="1"/>
        <c:majorTickMark val="out"/>
        <c:minorTickMark val="none"/>
        <c:tickLblPos val="nextTo"/>
        <c:crossAx val="103926016"/>
        <c:crosses val="autoZero"/>
        <c:crossBetween val="between"/>
      </c:valAx>
      <c:valAx>
        <c:axId val="321932928"/>
        <c:scaling>
          <c:orientation val="minMax"/>
        </c:scaling>
        <c:delete val="0"/>
        <c:axPos val="r"/>
        <c:title>
          <c:tx>
            <c:rich>
              <a:bodyPr/>
              <a:lstStyle/>
              <a:p>
                <a:pPr>
                  <a:defRPr/>
                </a:pPr>
                <a:r>
                  <a:rPr lang="en-AU"/>
                  <a:t>Number</a:t>
                </a:r>
                <a:r>
                  <a:rPr lang="en-AU" baseline="0"/>
                  <a:t> of patients</a:t>
                </a:r>
                <a:endParaRPr lang="en-AU"/>
              </a:p>
            </c:rich>
          </c:tx>
          <c:layout>
            <c:manualLayout>
              <c:xMode val="edge"/>
              <c:yMode val="edge"/>
              <c:x val="0.91624991997951477"/>
              <c:y val="0.16016760871696017"/>
            </c:manualLayout>
          </c:layout>
          <c:overlay val="0"/>
        </c:title>
        <c:numFmt formatCode="General" sourceLinked="1"/>
        <c:majorTickMark val="out"/>
        <c:minorTickMark val="none"/>
        <c:tickLblPos val="nextTo"/>
        <c:crossAx val="321931944"/>
        <c:crosses val="max"/>
        <c:crossBetween val="between"/>
      </c:valAx>
      <c:catAx>
        <c:axId val="321931944"/>
        <c:scaling>
          <c:orientation val="minMax"/>
        </c:scaling>
        <c:delete val="1"/>
        <c:axPos val="b"/>
        <c:numFmt formatCode="General" sourceLinked="1"/>
        <c:majorTickMark val="out"/>
        <c:minorTickMark val="none"/>
        <c:tickLblPos val="nextTo"/>
        <c:crossAx val="321932928"/>
        <c:crosses val="autoZero"/>
        <c:auto val="1"/>
        <c:lblAlgn val="ctr"/>
        <c:lblOffset val="100"/>
        <c:noMultiLvlLbl val="0"/>
      </c:catAx>
      <c:dTable>
        <c:showHorzBorder val="1"/>
        <c:showVertBorder val="1"/>
        <c:showOutline val="1"/>
        <c:showKeys val="1"/>
        <c:txPr>
          <a:bodyPr/>
          <a:lstStyle/>
          <a:p>
            <a:pPr rtl="0">
              <a:defRPr sz="900"/>
            </a:pPr>
            <a:endParaRPr lang="en-US"/>
          </a:p>
        </c:txPr>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D84380-5F04-4401-BF0E-282850761A27}"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1F6AC1CF-E2D0-41A6-A56D-F0A0974FBC1E}">
      <dgm:prSet phldrT="[Text]"/>
      <dgm:spPr>
        <a:xfrm>
          <a:off x="3625417" y="281463"/>
          <a:ext cx="760809" cy="5072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n = 1,698</a:t>
          </a:r>
        </a:p>
      </dgm:t>
    </dgm:pt>
    <dgm:pt modelId="{031DEC62-7345-49FC-AE17-A02A55D2578C}" type="parTrans" cxnId="{67BA0734-CE6D-47C8-A15A-FC2EB7C67AF9}">
      <dgm:prSet/>
      <dgm:spPr/>
      <dgm:t>
        <a:bodyPr/>
        <a:lstStyle/>
        <a:p>
          <a:endParaRPr lang="en-US">
            <a:latin typeface="Arial" panose="020B0604020202020204" pitchFamily="34" charset="0"/>
            <a:cs typeface="Arial" panose="020B0604020202020204" pitchFamily="34" charset="0"/>
          </a:endParaRPr>
        </a:p>
      </dgm:t>
    </dgm:pt>
    <dgm:pt modelId="{8EF1D224-2FC1-4814-A7D5-9CB17B5B4AEB}" type="sibTrans" cxnId="{67BA0734-CE6D-47C8-A15A-FC2EB7C67AF9}">
      <dgm:prSet/>
      <dgm:spPr/>
      <dgm:t>
        <a:bodyPr/>
        <a:lstStyle/>
        <a:p>
          <a:endParaRPr lang="en-US">
            <a:latin typeface="Arial" panose="020B0604020202020204" pitchFamily="34" charset="0"/>
            <a:cs typeface="Arial" panose="020B0604020202020204" pitchFamily="34" charset="0"/>
          </a:endParaRPr>
        </a:p>
      </dgm:t>
    </dgm:pt>
    <dgm:pt modelId="{7027E984-B58E-46DE-967A-CB60F24D63A2}">
      <dgm:prSet phldrT="[Text]"/>
      <dgm:spPr>
        <a:xfrm>
          <a:off x="3130891" y="991552"/>
          <a:ext cx="760809" cy="5072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Records included</a:t>
          </a:r>
          <a:br>
            <a:rPr lang="en-US">
              <a:solidFill>
                <a:sysClr val="window" lastClr="FFFFFF"/>
              </a:solidFill>
              <a:latin typeface="Arial" panose="020B0604020202020204" pitchFamily="34" charset="0"/>
              <a:ea typeface="+mn-ea"/>
              <a:cs typeface="Arial" panose="020B0604020202020204" pitchFamily="34" charset="0"/>
            </a:rPr>
          </a:br>
          <a:r>
            <a:rPr lang="en-US">
              <a:solidFill>
                <a:sysClr val="window" lastClr="FFFFFF"/>
              </a:solidFill>
              <a:latin typeface="Arial" panose="020B0604020202020204" pitchFamily="34" charset="0"/>
              <a:ea typeface="+mn-ea"/>
              <a:cs typeface="Arial" panose="020B0604020202020204" pitchFamily="34" charset="0"/>
            </a:rPr>
            <a:t>n = 1,541</a:t>
          </a:r>
        </a:p>
      </dgm:t>
    </dgm:pt>
    <dgm:pt modelId="{162D5721-DE71-40BA-9390-1DE525973009}" type="parTrans" cxnId="{DE43C835-C6FF-4F33-9E5F-BCFFD7E8E00B}">
      <dgm:prSet/>
      <dgm:spPr>
        <a:xfrm>
          <a:off x="3511296" y="788669"/>
          <a:ext cx="494526" cy="202882"/>
        </a:xfrm>
        <a:custGeom>
          <a:avLst/>
          <a:gdLst/>
          <a:ahLst/>
          <a:cxnLst/>
          <a:rect l="0" t="0" r="0" b="0"/>
          <a:pathLst>
            <a:path>
              <a:moveTo>
                <a:pt x="494526" y="0"/>
              </a:moveTo>
              <a:lnTo>
                <a:pt x="494526" y="101441"/>
              </a:lnTo>
              <a:lnTo>
                <a:pt x="0" y="101441"/>
              </a:lnTo>
              <a:lnTo>
                <a:pt x="0" y="20288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latin typeface="Arial" panose="020B0604020202020204" pitchFamily="34" charset="0"/>
            <a:cs typeface="Arial" panose="020B0604020202020204" pitchFamily="34" charset="0"/>
          </a:endParaRPr>
        </a:p>
      </dgm:t>
    </dgm:pt>
    <dgm:pt modelId="{5C539DED-E786-4361-BD73-CB0492A54B9E}" type="sibTrans" cxnId="{DE43C835-C6FF-4F33-9E5F-BCFFD7E8E00B}">
      <dgm:prSet/>
      <dgm:spPr/>
      <dgm:t>
        <a:bodyPr/>
        <a:lstStyle/>
        <a:p>
          <a:endParaRPr lang="en-US">
            <a:latin typeface="Arial" panose="020B0604020202020204" pitchFamily="34" charset="0"/>
            <a:cs typeface="Arial" panose="020B0604020202020204" pitchFamily="34" charset="0"/>
          </a:endParaRPr>
        </a:p>
      </dgm:t>
    </dgm:pt>
    <dgm:pt modelId="{1CD51911-3B77-4F08-AE7D-53F0E4DE5F6E}">
      <dgm:prSet phldrT="[Text]"/>
      <dgm:spPr>
        <a:xfrm>
          <a:off x="1647313" y="1701641"/>
          <a:ext cx="760809" cy="5072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Orthopaedic</a:t>
          </a:r>
          <a:br>
            <a:rPr lang="en-US">
              <a:solidFill>
                <a:sysClr val="window" lastClr="FFFFFF"/>
              </a:solidFill>
              <a:latin typeface="Arial" panose="020B0604020202020204" pitchFamily="34" charset="0"/>
              <a:ea typeface="+mn-ea"/>
              <a:cs typeface="Arial" panose="020B0604020202020204" pitchFamily="34" charset="0"/>
            </a:rPr>
          </a:br>
          <a:r>
            <a:rPr lang="en-US">
              <a:solidFill>
                <a:sysClr val="window" lastClr="FFFFFF"/>
              </a:solidFill>
              <a:latin typeface="Arial" panose="020B0604020202020204" pitchFamily="34" charset="0"/>
              <a:ea typeface="+mn-ea"/>
              <a:cs typeface="Arial" panose="020B0604020202020204" pitchFamily="34" charset="0"/>
            </a:rPr>
            <a:t>n = 772</a:t>
          </a:r>
        </a:p>
      </dgm:t>
    </dgm:pt>
    <dgm:pt modelId="{FD7CD5AC-CE95-4042-BE43-23C12D222D18}" type="parTrans" cxnId="{85CADBCF-CBFD-472D-BFC8-0C47454D5CF0}">
      <dgm:prSet/>
      <dgm:spPr>
        <a:xfrm>
          <a:off x="2027717" y="1498758"/>
          <a:ext cx="1483578" cy="202882"/>
        </a:xfrm>
        <a:custGeom>
          <a:avLst/>
          <a:gdLst/>
          <a:ahLst/>
          <a:cxnLst/>
          <a:rect l="0" t="0" r="0" b="0"/>
          <a:pathLst>
            <a:path>
              <a:moveTo>
                <a:pt x="1483578" y="0"/>
              </a:moveTo>
              <a:lnTo>
                <a:pt x="1483578" y="101441"/>
              </a:lnTo>
              <a:lnTo>
                <a:pt x="0" y="101441"/>
              </a:lnTo>
              <a:lnTo>
                <a:pt x="0" y="20288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latin typeface="Arial" panose="020B0604020202020204" pitchFamily="34" charset="0"/>
            <a:cs typeface="Arial" panose="020B0604020202020204" pitchFamily="34" charset="0"/>
          </a:endParaRPr>
        </a:p>
      </dgm:t>
    </dgm:pt>
    <dgm:pt modelId="{0A1A29DE-FB56-4824-B3A1-5F3F27D722D0}" type="sibTrans" cxnId="{85CADBCF-CBFD-472D-BFC8-0C47454D5CF0}">
      <dgm:prSet/>
      <dgm:spPr/>
      <dgm:t>
        <a:bodyPr/>
        <a:lstStyle/>
        <a:p>
          <a:endParaRPr lang="en-US">
            <a:latin typeface="Arial" panose="020B0604020202020204" pitchFamily="34" charset="0"/>
            <a:cs typeface="Arial" panose="020B0604020202020204" pitchFamily="34" charset="0"/>
          </a:endParaRPr>
        </a:p>
      </dgm:t>
    </dgm:pt>
    <dgm:pt modelId="{333951F1-1EB5-49F7-BF13-96BB7E47AD5F}">
      <dgm:prSet phldrT="[Text]"/>
      <dgm:spPr>
        <a:xfrm>
          <a:off x="2636365" y="1701641"/>
          <a:ext cx="760809" cy="5072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Gynaecology</a:t>
          </a:r>
          <a:br>
            <a:rPr lang="en-US">
              <a:solidFill>
                <a:sysClr val="window" lastClr="FFFFFF"/>
              </a:solidFill>
              <a:latin typeface="Arial" panose="020B0604020202020204" pitchFamily="34" charset="0"/>
              <a:ea typeface="+mn-ea"/>
              <a:cs typeface="Arial" panose="020B0604020202020204" pitchFamily="34" charset="0"/>
            </a:rPr>
          </a:br>
          <a:r>
            <a:rPr lang="en-US">
              <a:solidFill>
                <a:sysClr val="window" lastClr="FFFFFF"/>
              </a:solidFill>
              <a:latin typeface="Arial" panose="020B0604020202020204" pitchFamily="34" charset="0"/>
              <a:ea typeface="+mn-ea"/>
              <a:cs typeface="Arial" panose="020B0604020202020204" pitchFamily="34" charset="0"/>
            </a:rPr>
            <a:t>n = 343</a:t>
          </a:r>
        </a:p>
      </dgm:t>
    </dgm:pt>
    <dgm:pt modelId="{2D10CC80-74EC-4DC7-B359-197CFCB372F7}" type="parTrans" cxnId="{20466302-268B-4DF6-A5B3-406B891F8E7C}">
      <dgm:prSet/>
      <dgm:spPr>
        <a:xfrm>
          <a:off x="3016769" y="1498758"/>
          <a:ext cx="494526" cy="202882"/>
        </a:xfrm>
        <a:custGeom>
          <a:avLst/>
          <a:gdLst/>
          <a:ahLst/>
          <a:cxnLst/>
          <a:rect l="0" t="0" r="0" b="0"/>
          <a:pathLst>
            <a:path>
              <a:moveTo>
                <a:pt x="494526" y="0"/>
              </a:moveTo>
              <a:lnTo>
                <a:pt x="494526" y="101441"/>
              </a:lnTo>
              <a:lnTo>
                <a:pt x="0" y="101441"/>
              </a:lnTo>
              <a:lnTo>
                <a:pt x="0" y="20288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latin typeface="Arial" panose="020B0604020202020204" pitchFamily="34" charset="0"/>
            <a:cs typeface="Arial" panose="020B0604020202020204" pitchFamily="34" charset="0"/>
          </a:endParaRPr>
        </a:p>
      </dgm:t>
    </dgm:pt>
    <dgm:pt modelId="{6FDE6341-1742-4B4B-8651-0D8B392A03DB}" type="sibTrans" cxnId="{20466302-268B-4DF6-A5B3-406B891F8E7C}">
      <dgm:prSet/>
      <dgm:spPr/>
      <dgm:t>
        <a:bodyPr/>
        <a:lstStyle/>
        <a:p>
          <a:endParaRPr lang="en-US">
            <a:latin typeface="Arial" panose="020B0604020202020204" pitchFamily="34" charset="0"/>
            <a:cs typeface="Arial" panose="020B0604020202020204" pitchFamily="34" charset="0"/>
          </a:endParaRPr>
        </a:p>
      </dgm:t>
    </dgm:pt>
    <dgm:pt modelId="{5C2FDC89-BDD0-419F-A1B0-E7B57A3687D4}">
      <dgm:prSet phldrT="[Text]"/>
      <dgm:spPr>
        <a:xfrm>
          <a:off x="4119943" y="991552"/>
          <a:ext cx="760809" cy="5072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Records excluded</a:t>
          </a:r>
          <a:br>
            <a:rPr lang="en-US">
              <a:solidFill>
                <a:sysClr val="window" lastClr="FFFFFF"/>
              </a:solidFill>
              <a:latin typeface="Arial" panose="020B0604020202020204" pitchFamily="34" charset="0"/>
              <a:ea typeface="+mn-ea"/>
              <a:cs typeface="Arial" panose="020B0604020202020204" pitchFamily="34" charset="0"/>
            </a:rPr>
          </a:br>
          <a:r>
            <a:rPr lang="en-US">
              <a:solidFill>
                <a:sysClr val="window" lastClr="FFFFFF"/>
              </a:solidFill>
              <a:latin typeface="Arial" panose="020B0604020202020204" pitchFamily="34" charset="0"/>
              <a:ea typeface="+mn-ea"/>
              <a:cs typeface="Arial" panose="020B0604020202020204" pitchFamily="34" charset="0"/>
            </a:rPr>
            <a:t>n =  157</a:t>
          </a:r>
        </a:p>
      </dgm:t>
    </dgm:pt>
    <dgm:pt modelId="{44B56EC5-A83C-44D5-B24C-9E5119E5197D}" type="parTrans" cxnId="{9F609EEC-BCE3-4BC0-BE69-101133ED839D}">
      <dgm:prSet/>
      <dgm:spPr>
        <a:xfrm>
          <a:off x="4005822" y="788669"/>
          <a:ext cx="494526" cy="202882"/>
        </a:xfrm>
        <a:custGeom>
          <a:avLst/>
          <a:gdLst/>
          <a:ahLst/>
          <a:cxnLst/>
          <a:rect l="0" t="0" r="0" b="0"/>
          <a:pathLst>
            <a:path>
              <a:moveTo>
                <a:pt x="0" y="0"/>
              </a:moveTo>
              <a:lnTo>
                <a:pt x="0" y="101441"/>
              </a:lnTo>
              <a:lnTo>
                <a:pt x="494526" y="101441"/>
              </a:lnTo>
              <a:lnTo>
                <a:pt x="494526" y="20288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latin typeface="Arial" panose="020B0604020202020204" pitchFamily="34" charset="0"/>
            <a:cs typeface="Arial" panose="020B0604020202020204" pitchFamily="34" charset="0"/>
          </a:endParaRPr>
        </a:p>
      </dgm:t>
    </dgm:pt>
    <dgm:pt modelId="{743FC734-8B5A-412D-8378-A6D5301AA76C}" type="sibTrans" cxnId="{9F609EEC-BCE3-4BC0-BE69-101133ED839D}">
      <dgm:prSet/>
      <dgm:spPr/>
      <dgm:t>
        <a:bodyPr/>
        <a:lstStyle/>
        <a:p>
          <a:endParaRPr lang="en-US">
            <a:latin typeface="Arial" panose="020B0604020202020204" pitchFamily="34" charset="0"/>
            <a:cs typeface="Arial" panose="020B0604020202020204" pitchFamily="34" charset="0"/>
          </a:endParaRPr>
        </a:p>
      </dgm:t>
    </dgm:pt>
    <dgm:pt modelId="{ECF8C7AA-4648-4F16-8472-3EA82142B63C}">
      <dgm:prSet phldrT="[Text]"/>
      <dgm:spPr>
        <a:xfrm>
          <a:off x="0" y="230743"/>
          <a:ext cx="5486400" cy="608647"/>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Total audits received</a:t>
          </a:r>
        </a:p>
      </dgm:t>
      <dgm:extLst>
        <a:ext uri="{E40237B7-FDA0-4F09-8148-C483321AD2D9}">
          <dgm14:cNvPr xmlns:dgm14="http://schemas.microsoft.com/office/drawing/2010/diagram" id="0" name="" descr="Flowchart showing process for screening audits as described in the text."/>
        </a:ext>
      </dgm:extLst>
    </dgm:pt>
    <dgm:pt modelId="{8816C37E-DB43-44AC-875F-BE77D66385BD}" type="parTrans" cxnId="{D8EAB6AD-A1E7-4D89-944E-89AF4734BD69}">
      <dgm:prSet/>
      <dgm:spPr/>
      <dgm:t>
        <a:bodyPr/>
        <a:lstStyle/>
        <a:p>
          <a:endParaRPr lang="en-US">
            <a:latin typeface="Arial" panose="020B0604020202020204" pitchFamily="34" charset="0"/>
            <a:cs typeface="Arial" panose="020B0604020202020204" pitchFamily="34" charset="0"/>
          </a:endParaRPr>
        </a:p>
      </dgm:t>
    </dgm:pt>
    <dgm:pt modelId="{83D8383D-73D6-4A70-8C35-0344285BF704}" type="sibTrans" cxnId="{D8EAB6AD-A1E7-4D89-944E-89AF4734BD69}">
      <dgm:prSet/>
      <dgm:spPr/>
      <dgm:t>
        <a:bodyPr/>
        <a:lstStyle/>
        <a:p>
          <a:endParaRPr lang="en-US">
            <a:latin typeface="Arial" panose="020B0604020202020204" pitchFamily="34" charset="0"/>
            <a:cs typeface="Arial" panose="020B0604020202020204" pitchFamily="34" charset="0"/>
          </a:endParaRPr>
        </a:p>
      </dgm:t>
    </dgm:pt>
    <dgm:pt modelId="{A81368DA-2E8E-4AC2-8D3A-690BC7B0A56E}">
      <dgm:prSet phldrT="[Text]"/>
      <dgm:spPr>
        <a:xfrm>
          <a:off x="0" y="940831"/>
          <a:ext cx="5486400" cy="608647"/>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Data cleaning</a:t>
          </a:r>
        </a:p>
      </dgm:t>
    </dgm:pt>
    <dgm:pt modelId="{A51B40B1-4F42-4D8B-8605-ACFA18780F6B}" type="parTrans" cxnId="{DF95AB44-6EA0-4E94-8249-57CAABFB4761}">
      <dgm:prSet/>
      <dgm:spPr/>
      <dgm:t>
        <a:bodyPr/>
        <a:lstStyle/>
        <a:p>
          <a:endParaRPr lang="en-US">
            <a:latin typeface="Arial" panose="020B0604020202020204" pitchFamily="34" charset="0"/>
            <a:cs typeface="Arial" panose="020B0604020202020204" pitchFamily="34" charset="0"/>
          </a:endParaRPr>
        </a:p>
      </dgm:t>
    </dgm:pt>
    <dgm:pt modelId="{E0D5147D-F337-4D43-950B-DF26D42DF064}" type="sibTrans" cxnId="{DF95AB44-6EA0-4E94-8249-57CAABFB4761}">
      <dgm:prSet/>
      <dgm:spPr/>
      <dgm:t>
        <a:bodyPr/>
        <a:lstStyle/>
        <a:p>
          <a:endParaRPr lang="en-US">
            <a:latin typeface="Arial" panose="020B0604020202020204" pitchFamily="34" charset="0"/>
            <a:cs typeface="Arial" panose="020B0604020202020204" pitchFamily="34" charset="0"/>
          </a:endParaRPr>
        </a:p>
      </dgm:t>
    </dgm:pt>
    <dgm:pt modelId="{FF15CA2E-9D6C-407B-90A6-DA6CE84431E2}">
      <dgm:prSet phldrT="[Text]"/>
      <dgm:spPr>
        <a:xfrm>
          <a:off x="0" y="1650920"/>
          <a:ext cx="5486400" cy="608647"/>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Surgery type</a:t>
          </a:r>
        </a:p>
      </dgm:t>
    </dgm:pt>
    <dgm:pt modelId="{51A3A2CE-2778-4A16-B0CD-2246A5BF9477}" type="parTrans" cxnId="{030FAC41-FDF8-426D-A2D4-9D5EF4586E92}">
      <dgm:prSet/>
      <dgm:spPr/>
      <dgm:t>
        <a:bodyPr/>
        <a:lstStyle/>
        <a:p>
          <a:endParaRPr lang="en-US">
            <a:latin typeface="Arial" panose="020B0604020202020204" pitchFamily="34" charset="0"/>
            <a:cs typeface="Arial" panose="020B0604020202020204" pitchFamily="34" charset="0"/>
          </a:endParaRPr>
        </a:p>
      </dgm:t>
    </dgm:pt>
    <dgm:pt modelId="{3B249674-8B61-4E22-BEA3-80E85F999490}" type="sibTrans" cxnId="{030FAC41-FDF8-426D-A2D4-9D5EF4586E92}">
      <dgm:prSet/>
      <dgm:spPr/>
      <dgm:t>
        <a:bodyPr/>
        <a:lstStyle/>
        <a:p>
          <a:endParaRPr lang="en-US">
            <a:latin typeface="Arial" panose="020B0604020202020204" pitchFamily="34" charset="0"/>
            <a:cs typeface="Arial" panose="020B0604020202020204" pitchFamily="34" charset="0"/>
          </a:endParaRPr>
        </a:p>
      </dgm:t>
    </dgm:pt>
    <dgm:pt modelId="{DCE9DFC4-1924-4A73-9249-87FE89961665}">
      <dgm:prSet/>
      <dgm:spPr>
        <a:xfrm>
          <a:off x="3625417" y="1701641"/>
          <a:ext cx="760809" cy="5072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Major gastrointestinal</a:t>
          </a:r>
          <a:br>
            <a:rPr lang="en-US">
              <a:solidFill>
                <a:sysClr val="window" lastClr="FFFFFF"/>
              </a:solidFill>
              <a:latin typeface="Arial" panose="020B0604020202020204" pitchFamily="34" charset="0"/>
              <a:ea typeface="+mn-ea"/>
              <a:cs typeface="Arial" panose="020B0604020202020204" pitchFamily="34" charset="0"/>
            </a:rPr>
          </a:br>
          <a:r>
            <a:rPr lang="en-US">
              <a:solidFill>
                <a:sysClr val="window" lastClr="FFFFFF"/>
              </a:solidFill>
              <a:latin typeface="Arial" panose="020B0604020202020204" pitchFamily="34" charset="0"/>
              <a:ea typeface="+mn-ea"/>
              <a:cs typeface="Arial" panose="020B0604020202020204" pitchFamily="34" charset="0"/>
            </a:rPr>
            <a:t>n = 296</a:t>
          </a:r>
        </a:p>
      </dgm:t>
    </dgm:pt>
    <dgm:pt modelId="{6BEAE0C4-10DE-4725-962C-4E61C31B0BAA}" type="parTrans" cxnId="{5AD318A3-29B7-4BFC-8CA3-52323439A426}">
      <dgm:prSet/>
      <dgm:spPr>
        <a:xfrm>
          <a:off x="3511296" y="1498758"/>
          <a:ext cx="494526" cy="202882"/>
        </a:xfrm>
        <a:custGeom>
          <a:avLst/>
          <a:gdLst/>
          <a:ahLst/>
          <a:cxnLst/>
          <a:rect l="0" t="0" r="0" b="0"/>
          <a:pathLst>
            <a:path>
              <a:moveTo>
                <a:pt x="0" y="0"/>
              </a:moveTo>
              <a:lnTo>
                <a:pt x="0" y="101441"/>
              </a:lnTo>
              <a:lnTo>
                <a:pt x="494526" y="101441"/>
              </a:lnTo>
              <a:lnTo>
                <a:pt x="494526" y="20288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AU">
            <a:latin typeface="Arial" panose="020B0604020202020204" pitchFamily="34" charset="0"/>
            <a:cs typeface="Arial" panose="020B0604020202020204" pitchFamily="34" charset="0"/>
          </a:endParaRPr>
        </a:p>
      </dgm:t>
    </dgm:pt>
    <dgm:pt modelId="{393F2F2D-DF7C-475D-8042-DAFC63E88BF1}" type="sibTrans" cxnId="{5AD318A3-29B7-4BFC-8CA3-52323439A426}">
      <dgm:prSet/>
      <dgm:spPr/>
      <dgm:t>
        <a:bodyPr/>
        <a:lstStyle/>
        <a:p>
          <a:endParaRPr lang="en-AU">
            <a:latin typeface="Arial" panose="020B0604020202020204" pitchFamily="34" charset="0"/>
            <a:cs typeface="Arial" panose="020B0604020202020204" pitchFamily="34" charset="0"/>
          </a:endParaRPr>
        </a:p>
      </dgm:t>
    </dgm:pt>
    <dgm:pt modelId="{856D41F0-91C4-49F3-A11C-820F66E0309E}">
      <dgm:prSet/>
      <dgm:spPr>
        <a:xfrm>
          <a:off x="1647313" y="2411730"/>
          <a:ext cx="760809" cy="5072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Screened</a:t>
          </a:r>
          <a:br>
            <a:rPr lang="en-US">
              <a:solidFill>
                <a:sysClr val="window" lastClr="FFFFFF"/>
              </a:solidFill>
              <a:latin typeface="Arial" panose="020B0604020202020204" pitchFamily="34" charset="0"/>
              <a:ea typeface="+mn-ea"/>
              <a:cs typeface="Arial" panose="020B0604020202020204" pitchFamily="34" charset="0"/>
            </a:rPr>
          </a:br>
          <a:r>
            <a:rPr lang="en-US">
              <a:solidFill>
                <a:sysClr val="window" lastClr="FFFFFF"/>
              </a:solidFill>
              <a:latin typeface="Arial" panose="020B0604020202020204" pitchFamily="34" charset="0"/>
              <a:ea typeface="+mn-ea"/>
              <a:cs typeface="Arial" panose="020B0604020202020204" pitchFamily="34" charset="0"/>
            </a:rPr>
            <a:t>n = 654, 85%</a:t>
          </a:r>
        </a:p>
      </dgm:t>
    </dgm:pt>
    <dgm:pt modelId="{DACDBA0A-BDB1-4F41-AA20-C853FC0668BA}" type="parTrans" cxnId="{DA0F8FA8-AE26-41FC-B7C1-2A3BF3E86B5B}">
      <dgm:prSet/>
      <dgm:spPr>
        <a:xfrm>
          <a:off x="1981997" y="2208847"/>
          <a:ext cx="91440" cy="202882"/>
        </a:xfrm>
        <a:custGeom>
          <a:avLst/>
          <a:gdLst/>
          <a:ahLst/>
          <a:cxnLst/>
          <a:rect l="0" t="0" r="0" b="0"/>
          <a:pathLst>
            <a:path>
              <a:moveTo>
                <a:pt x="45720" y="0"/>
              </a:moveTo>
              <a:lnTo>
                <a:pt x="45720" y="20288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AU">
            <a:latin typeface="Arial" panose="020B0604020202020204" pitchFamily="34" charset="0"/>
            <a:cs typeface="Arial" panose="020B0604020202020204" pitchFamily="34" charset="0"/>
          </a:endParaRPr>
        </a:p>
      </dgm:t>
    </dgm:pt>
    <dgm:pt modelId="{C0F3AFB5-95DE-4DBE-9FAC-2714A748C0C1}" type="sibTrans" cxnId="{DA0F8FA8-AE26-41FC-B7C1-2A3BF3E86B5B}">
      <dgm:prSet/>
      <dgm:spPr/>
      <dgm:t>
        <a:bodyPr/>
        <a:lstStyle/>
        <a:p>
          <a:endParaRPr lang="en-AU">
            <a:latin typeface="Arial" panose="020B0604020202020204" pitchFamily="34" charset="0"/>
            <a:cs typeface="Arial" panose="020B0604020202020204" pitchFamily="34" charset="0"/>
          </a:endParaRPr>
        </a:p>
      </dgm:t>
    </dgm:pt>
    <dgm:pt modelId="{0E5F9711-0EBF-49C2-ABF9-C373EEA5FCFF}">
      <dgm:prSet/>
      <dgm:spPr>
        <a:xfrm>
          <a:off x="2636365" y="2411730"/>
          <a:ext cx="760809" cy="5072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Screened</a:t>
          </a:r>
          <a:br>
            <a:rPr lang="en-US">
              <a:solidFill>
                <a:sysClr val="window" lastClr="FFFFFF"/>
              </a:solidFill>
              <a:latin typeface="Arial" panose="020B0604020202020204" pitchFamily="34" charset="0"/>
              <a:ea typeface="+mn-ea"/>
              <a:cs typeface="Arial" panose="020B0604020202020204" pitchFamily="34" charset="0"/>
            </a:rPr>
          </a:br>
          <a:r>
            <a:rPr lang="en-US">
              <a:solidFill>
                <a:sysClr val="window" lastClr="FFFFFF"/>
              </a:solidFill>
              <a:latin typeface="Arial" panose="020B0604020202020204" pitchFamily="34" charset="0"/>
              <a:ea typeface="+mn-ea"/>
              <a:cs typeface="Arial" panose="020B0604020202020204" pitchFamily="34" charset="0"/>
            </a:rPr>
            <a:t>n = 241, 70%</a:t>
          </a:r>
        </a:p>
      </dgm:t>
    </dgm:pt>
    <dgm:pt modelId="{72FDDAB7-B24D-4D13-9A6F-809A90146D6E}" type="parTrans" cxnId="{9192BBD3-FF49-4AAE-B538-3E713A6654F9}">
      <dgm:prSet/>
      <dgm:spPr>
        <a:xfrm>
          <a:off x="2971049" y="2208847"/>
          <a:ext cx="91440" cy="202882"/>
        </a:xfrm>
        <a:custGeom>
          <a:avLst/>
          <a:gdLst/>
          <a:ahLst/>
          <a:cxnLst/>
          <a:rect l="0" t="0" r="0" b="0"/>
          <a:pathLst>
            <a:path>
              <a:moveTo>
                <a:pt x="45720" y="0"/>
              </a:moveTo>
              <a:lnTo>
                <a:pt x="45720" y="20288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AU">
            <a:latin typeface="Arial" panose="020B0604020202020204" pitchFamily="34" charset="0"/>
            <a:cs typeface="Arial" panose="020B0604020202020204" pitchFamily="34" charset="0"/>
          </a:endParaRPr>
        </a:p>
      </dgm:t>
    </dgm:pt>
    <dgm:pt modelId="{EAB7722E-64ED-43F8-964C-9CDE14D34508}" type="sibTrans" cxnId="{9192BBD3-FF49-4AAE-B538-3E713A6654F9}">
      <dgm:prSet/>
      <dgm:spPr/>
      <dgm:t>
        <a:bodyPr/>
        <a:lstStyle/>
        <a:p>
          <a:endParaRPr lang="en-AU">
            <a:latin typeface="Arial" panose="020B0604020202020204" pitchFamily="34" charset="0"/>
            <a:cs typeface="Arial" panose="020B0604020202020204" pitchFamily="34" charset="0"/>
          </a:endParaRPr>
        </a:p>
      </dgm:t>
    </dgm:pt>
    <dgm:pt modelId="{113EB138-BCF4-49AA-B8FD-43DADDD953DE}">
      <dgm:prSet/>
      <dgm:spPr>
        <a:xfrm>
          <a:off x="3625417" y="2411730"/>
          <a:ext cx="760809" cy="5072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Screened</a:t>
          </a:r>
          <a:br>
            <a:rPr lang="en-US">
              <a:solidFill>
                <a:sysClr val="window" lastClr="FFFFFF"/>
              </a:solidFill>
              <a:latin typeface="Arial" panose="020B0604020202020204" pitchFamily="34" charset="0"/>
              <a:ea typeface="+mn-ea"/>
              <a:cs typeface="Arial" panose="020B0604020202020204" pitchFamily="34" charset="0"/>
            </a:rPr>
          </a:br>
          <a:r>
            <a:rPr lang="en-US">
              <a:solidFill>
                <a:sysClr val="window" lastClr="FFFFFF"/>
              </a:solidFill>
              <a:latin typeface="Arial" panose="020B0604020202020204" pitchFamily="34" charset="0"/>
              <a:ea typeface="+mn-ea"/>
              <a:cs typeface="Arial" panose="020B0604020202020204" pitchFamily="34" charset="0"/>
            </a:rPr>
            <a:t>n = 245, 83%</a:t>
          </a:r>
        </a:p>
      </dgm:t>
    </dgm:pt>
    <dgm:pt modelId="{C15B68CA-B61B-4D92-A355-DA36BBC02A24}" type="parTrans" cxnId="{7A973178-807E-4B82-BBFF-53EE3E2AC881}">
      <dgm:prSet/>
      <dgm:spPr>
        <a:xfrm>
          <a:off x="3960102" y="2208847"/>
          <a:ext cx="91440" cy="202882"/>
        </a:xfrm>
        <a:custGeom>
          <a:avLst/>
          <a:gdLst/>
          <a:ahLst/>
          <a:cxnLst/>
          <a:rect l="0" t="0" r="0" b="0"/>
          <a:pathLst>
            <a:path>
              <a:moveTo>
                <a:pt x="45720" y="0"/>
              </a:moveTo>
              <a:lnTo>
                <a:pt x="45720" y="20288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AU">
            <a:latin typeface="Arial" panose="020B0604020202020204" pitchFamily="34" charset="0"/>
            <a:cs typeface="Arial" panose="020B0604020202020204" pitchFamily="34" charset="0"/>
          </a:endParaRPr>
        </a:p>
      </dgm:t>
    </dgm:pt>
    <dgm:pt modelId="{7127FF2B-91D2-45DA-9AD5-3C1A8A0BCE31}" type="sibTrans" cxnId="{7A973178-807E-4B82-BBFF-53EE3E2AC881}">
      <dgm:prSet/>
      <dgm:spPr/>
      <dgm:t>
        <a:bodyPr/>
        <a:lstStyle/>
        <a:p>
          <a:endParaRPr lang="en-AU">
            <a:latin typeface="Arial" panose="020B0604020202020204" pitchFamily="34" charset="0"/>
            <a:cs typeface="Arial" panose="020B0604020202020204" pitchFamily="34" charset="0"/>
          </a:endParaRPr>
        </a:p>
      </dgm:t>
    </dgm:pt>
    <dgm:pt modelId="{7194DA74-C4C1-4E19-A052-C1DA0B39DD0F}">
      <dgm:prSet phldrT="[Text]"/>
      <dgm:spPr>
        <a:xfrm>
          <a:off x="0" y="2361009"/>
          <a:ext cx="5486400" cy="608647"/>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Reported as screened for anaemia preoperatvely</a:t>
          </a:r>
        </a:p>
      </dgm:t>
    </dgm:pt>
    <dgm:pt modelId="{BF7F1611-FCD5-43E7-858A-14EA5E03FCDE}" type="parTrans" cxnId="{E04FC4BF-AEBF-4140-883A-00F041CD636C}">
      <dgm:prSet/>
      <dgm:spPr/>
      <dgm:t>
        <a:bodyPr/>
        <a:lstStyle/>
        <a:p>
          <a:endParaRPr lang="en-US">
            <a:latin typeface="Arial" panose="020B0604020202020204" pitchFamily="34" charset="0"/>
            <a:cs typeface="Arial" panose="020B0604020202020204" pitchFamily="34" charset="0"/>
          </a:endParaRPr>
        </a:p>
      </dgm:t>
    </dgm:pt>
    <dgm:pt modelId="{038658D3-1CAA-4254-88A9-900548AC8DD4}" type="sibTrans" cxnId="{E04FC4BF-AEBF-4140-883A-00F041CD636C}">
      <dgm:prSet/>
      <dgm:spPr/>
      <dgm:t>
        <a:bodyPr/>
        <a:lstStyle/>
        <a:p>
          <a:endParaRPr lang="en-US">
            <a:latin typeface="Arial" panose="020B0604020202020204" pitchFamily="34" charset="0"/>
            <a:cs typeface="Arial" panose="020B0604020202020204" pitchFamily="34" charset="0"/>
          </a:endParaRPr>
        </a:p>
      </dgm:t>
    </dgm:pt>
    <dgm:pt modelId="{4CF9C08D-F435-417B-95C5-774FC2BF6E86}">
      <dgm:prSet/>
      <dgm:spPr>
        <a:xfrm>
          <a:off x="4614469" y="1701641"/>
          <a:ext cx="760809" cy="5072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Cardiothoracic</a:t>
          </a:r>
          <a:br>
            <a:rPr lang="en-US">
              <a:solidFill>
                <a:sysClr val="window" lastClr="FFFFFF"/>
              </a:solidFill>
              <a:latin typeface="Arial" panose="020B0604020202020204" pitchFamily="34" charset="0"/>
              <a:ea typeface="+mn-ea"/>
              <a:cs typeface="Arial" panose="020B0604020202020204" pitchFamily="34" charset="0"/>
            </a:rPr>
          </a:br>
          <a:r>
            <a:rPr lang="en-US">
              <a:solidFill>
                <a:sysClr val="window" lastClr="FFFFFF"/>
              </a:solidFill>
              <a:latin typeface="Arial" panose="020B0604020202020204" pitchFamily="34" charset="0"/>
              <a:ea typeface="+mn-ea"/>
              <a:cs typeface="Arial" panose="020B0604020202020204" pitchFamily="34" charset="0"/>
            </a:rPr>
            <a:t>n = 130</a:t>
          </a:r>
        </a:p>
      </dgm:t>
    </dgm:pt>
    <dgm:pt modelId="{0C394C62-D909-4606-A366-D0CB5B31D9AA}" type="parTrans" cxnId="{467F4FA9-EEBA-452A-A76F-7B7B788E7C13}">
      <dgm:prSet/>
      <dgm:spPr>
        <a:xfrm>
          <a:off x="3511296" y="1498758"/>
          <a:ext cx="1483578" cy="202882"/>
        </a:xfrm>
        <a:custGeom>
          <a:avLst/>
          <a:gdLst/>
          <a:ahLst/>
          <a:cxnLst/>
          <a:rect l="0" t="0" r="0" b="0"/>
          <a:pathLst>
            <a:path>
              <a:moveTo>
                <a:pt x="0" y="0"/>
              </a:moveTo>
              <a:lnTo>
                <a:pt x="0" y="101441"/>
              </a:lnTo>
              <a:lnTo>
                <a:pt x="1483578" y="101441"/>
              </a:lnTo>
              <a:lnTo>
                <a:pt x="1483578" y="20288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AU">
            <a:latin typeface="Arial" panose="020B0604020202020204" pitchFamily="34" charset="0"/>
            <a:cs typeface="Arial" panose="020B0604020202020204" pitchFamily="34" charset="0"/>
          </a:endParaRPr>
        </a:p>
      </dgm:t>
    </dgm:pt>
    <dgm:pt modelId="{D3DC6ECB-641F-45CA-A0FE-23FDD0D6F628}" type="sibTrans" cxnId="{467F4FA9-EEBA-452A-A76F-7B7B788E7C13}">
      <dgm:prSet/>
      <dgm:spPr/>
      <dgm:t>
        <a:bodyPr/>
        <a:lstStyle/>
        <a:p>
          <a:endParaRPr lang="en-AU">
            <a:latin typeface="Arial" panose="020B0604020202020204" pitchFamily="34" charset="0"/>
            <a:cs typeface="Arial" panose="020B0604020202020204" pitchFamily="34" charset="0"/>
          </a:endParaRPr>
        </a:p>
      </dgm:t>
    </dgm:pt>
    <dgm:pt modelId="{215AB3FF-C686-4930-97A8-38CB7EB419FE}">
      <dgm:prSet/>
      <dgm:spPr>
        <a:xfrm>
          <a:off x="4614469" y="2411730"/>
          <a:ext cx="760809" cy="5072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Screened</a:t>
          </a:r>
          <a:br>
            <a:rPr lang="en-US">
              <a:solidFill>
                <a:sysClr val="window" lastClr="FFFFFF"/>
              </a:solidFill>
              <a:latin typeface="Arial" panose="020B0604020202020204" pitchFamily="34" charset="0"/>
              <a:ea typeface="+mn-ea"/>
              <a:cs typeface="Arial" panose="020B0604020202020204" pitchFamily="34" charset="0"/>
            </a:rPr>
          </a:br>
          <a:r>
            <a:rPr lang="en-US">
              <a:solidFill>
                <a:sysClr val="window" lastClr="FFFFFF"/>
              </a:solidFill>
              <a:latin typeface="Arial" panose="020B0604020202020204" pitchFamily="34" charset="0"/>
              <a:ea typeface="+mn-ea"/>
              <a:cs typeface="Arial" panose="020B0604020202020204" pitchFamily="34" charset="0"/>
            </a:rPr>
            <a:t>n = 110, 85%</a:t>
          </a:r>
        </a:p>
      </dgm:t>
    </dgm:pt>
    <dgm:pt modelId="{1E9E128E-DA8E-44E9-8F7C-92236FC37938}" type="parTrans" cxnId="{6784789C-7068-465B-97F9-D7DFC88B198D}">
      <dgm:prSet/>
      <dgm:spPr>
        <a:xfrm>
          <a:off x="4949154" y="2208847"/>
          <a:ext cx="91440" cy="202882"/>
        </a:xfrm>
        <a:custGeom>
          <a:avLst/>
          <a:gdLst/>
          <a:ahLst/>
          <a:cxnLst/>
          <a:rect l="0" t="0" r="0" b="0"/>
          <a:pathLst>
            <a:path>
              <a:moveTo>
                <a:pt x="45720" y="0"/>
              </a:moveTo>
              <a:lnTo>
                <a:pt x="45720" y="20288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AU">
            <a:latin typeface="Arial" panose="020B0604020202020204" pitchFamily="34" charset="0"/>
            <a:cs typeface="Arial" panose="020B0604020202020204" pitchFamily="34" charset="0"/>
          </a:endParaRPr>
        </a:p>
      </dgm:t>
    </dgm:pt>
    <dgm:pt modelId="{64DD1AF3-30E1-4AF8-B201-4EEEE7EF7213}" type="sibTrans" cxnId="{6784789C-7068-465B-97F9-D7DFC88B198D}">
      <dgm:prSet/>
      <dgm:spPr/>
      <dgm:t>
        <a:bodyPr/>
        <a:lstStyle/>
        <a:p>
          <a:endParaRPr lang="en-AU">
            <a:latin typeface="Arial" panose="020B0604020202020204" pitchFamily="34" charset="0"/>
            <a:cs typeface="Arial" panose="020B0604020202020204" pitchFamily="34" charset="0"/>
          </a:endParaRPr>
        </a:p>
      </dgm:t>
    </dgm:pt>
    <dgm:pt modelId="{1F971F00-D998-4A58-A3C6-35747CAA2338}" type="pres">
      <dgm:prSet presAssocID="{08D84380-5F04-4401-BF0E-282850761A27}" presName="mainComposite" presStyleCnt="0">
        <dgm:presLayoutVars>
          <dgm:chPref val="1"/>
          <dgm:dir/>
          <dgm:animOne val="branch"/>
          <dgm:animLvl val="lvl"/>
          <dgm:resizeHandles val="exact"/>
        </dgm:presLayoutVars>
      </dgm:prSet>
      <dgm:spPr/>
    </dgm:pt>
    <dgm:pt modelId="{5A0D27D8-DC8C-4623-9E17-8EB97D5E6E6C}" type="pres">
      <dgm:prSet presAssocID="{08D84380-5F04-4401-BF0E-282850761A27}" presName="hierFlow" presStyleCnt="0"/>
      <dgm:spPr/>
    </dgm:pt>
    <dgm:pt modelId="{1EBC9A19-C4BD-4E72-8CA9-9A4DA912DB6A}" type="pres">
      <dgm:prSet presAssocID="{08D84380-5F04-4401-BF0E-282850761A27}" presName="firstBuf" presStyleCnt="0"/>
      <dgm:spPr/>
    </dgm:pt>
    <dgm:pt modelId="{CD1A8979-9519-4F23-A0F7-ECF358F7CC91}" type="pres">
      <dgm:prSet presAssocID="{08D84380-5F04-4401-BF0E-282850761A27}" presName="hierChild1" presStyleCnt="0">
        <dgm:presLayoutVars>
          <dgm:chPref val="1"/>
          <dgm:animOne val="branch"/>
          <dgm:animLvl val="lvl"/>
        </dgm:presLayoutVars>
      </dgm:prSet>
      <dgm:spPr/>
    </dgm:pt>
    <dgm:pt modelId="{533C4270-415D-474F-A559-21EC5F0E82EC}" type="pres">
      <dgm:prSet presAssocID="{1F6AC1CF-E2D0-41A6-A56D-F0A0974FBC1E}" presName="Name14" presStyleCnt="0"/>
      <dgm:spPr/>
    </dgm:pt>
    <dgm:pt modelId="{48880664-D4FD-4856-A02C-3B211C09EBB2}" type="pres">
      <dgm:prSet presAssocID="{1F6AC1CF-E2D0-41A6-A56D-F0A0974FBC1E}" presName="level1Shape" presStyleLbl="node0" presStyleIdx="0" presStyleCnt="1">
        <dgm:presLayoutVars>
          <dgm:chPref val="3"/>
        </dgm:presLayoutVars>
      </dgm:prSet>
      <dgm:spPr/>
    </dgm:pt>
    <dgm:pt modelId="{03FDAAC8-81D7-4E8F-949A-1D0172255546}" type="pres">
      <dgm:prSet presAssocID="{1F6AC1CF-E2D0-41A6-A56D-F0A0974FBC1E}" presName="hierChild2" presStyleCnt="0"/>
      <dgm:spPr/>
    </dgm:pt>
    <dgm:pt modelId="{F12F973C-0144-4997-B5EF-58421381D03F}" type="pres">
      <dgm:prSet presAssocID="{162D5721-DE71-40BA-9390-1DE525973009}" presName="Name19" presStyleLbl="parChTrans1D2" presStyleIdx="0" presStyleCnt="2"/>
      <dgm:spPr/>
    </dgm:pt>
    <dgm:pt modelId="{D741C903-28F9-409B-8ADD-C9AF5D502D33}" type="pres">
      <dgm:prSet presAssocID="{7027E984-B58E-46DE-967A-CB60F24D63A2}" presName="Name21" presStyleCnt="0"/>
      <dgm:spPr/>
    </dgm:pt>
    <dgm:pt modelId="{B6C5164E-5FDD-4851-9DD9-FA78251685D6}" type="pres">
      <dgm:prSet presAssocID="{7027E984-B58E-46DE-967A-CB60F24D63A2}" presName="level2Shape" presStyleLbl="node2" presStyleIdx="0" presStyleCnt="2"/>
      <dgm:spPr/>
    </dgm:pt>
    <dgm:pt modelId="{1BEEA666-A817-4774-B948-D3F591684D9D}" type="pres">
      <dgm:prSet presAssocID="{7027E984-B58E-46DE-967A-CB60F24D63A2}" presName="hierChild3" presStyleCnt="0"/>
      <dgm:spPr/>
    </dgm:pt>
    <dgm:pt modelId="{01151502-EB46-44B0-B92A-267D5DC3AF87}" type="pres">
      <dgm:prSet presAssocID="{FD7CD5AC-CE95-4042-BE43-23C12D222D18}" presName="Name19" presStyleLbl="parChTrans1D3" presStyleIdx="0" presStyleCnt="4"/>
      <dgm:spPr/>
    </dgm:pt>
    <dgm:pt modelId="{CDD5517B-F2D8-4C4E-8C52-FBDCB8E54A0A}" type="pres">
      <dgm:prSet presAssocID="{1CD51911-3B77-4F08-AE7D-53F0E4DE5F6E}" presName="Name21" presStyleCnt="0"/>
      <dgm:spPr/>
    </dgm:pt>
    <dgm:pt modelId="{7122C64C-6275-49B8-B16E-E27F3EDF89D0}" type="pres">
      <dgm:prSet presAssocID="{1CD51911-3B77-4F08-AE7D-53F0E4DE5F6E}" presName="level2Shape" presStyleLbl="node3" presStyleIdx="0" presStyleCnt="4"/>
      <dgm:spPr/>
    </dgm:pt>
    <dgm:pt modelId="{D122FE02-FD1D-41C2-931D-34A3CC19F08E}" type="pres">
      <dgm:prSet presAssocID="{1CD51911-3B77-4F08-AE7D-53F0E4DE5F6E}" presName="hierChild3" presStyleCnt="0"/>
      <dgm:spPr/>
    </dgm:pt>
    <dgm:pt modelId="{2CCC377F-4C40-4FCD-9D20-A160BFAFA866}" type="pres">
      <dgm:prSet presAssocID="{DACDBA0A-BDB1-4F41-AA20-C853FC0668BA}" presName="Name19" presStyleLbl="parChTrans1D4" presStyleIdx="0" presStyleCnt="4"/>
      <dgm:spPr/>
    </dgm:pt>
    <dgm:pt modelId="{6E499D43-4E91-4DA4-B9D0-C269B41B994D}" type="pres">
      <dgm:prSet presAssocID="{856D41F0-91C4-49F3-A11C-820F66E0309E}" presName="Name21" presStyleCnt="0"/>
      <dgm:spPr/>
    </dgm:pt>
    <dgm:pt modelId="{645449A8-2E63-4805-9423-59F21695B5B5}" type="pres">
      <dgm:prSet presAssocID="{856D41F0-91C4-49F3-A11C-820F66E0309E}" presName="level2Shape" presStyleLbl="node4" presStyleIdx="0" presStyleCnt="4"/>
      <dgm:spPr/>
    </dgm:pt>
    <dgm:pt modelId="{9AA9C8C3-7652-495F-AA8D-83DF72E67AFA}" type="pres">
      <dgm:prSet presAssocID="{856D41F0-91C4-49F3-A11C-820F66E0309E}" presName="hierChild3" presStyleCnt="0"/>
      <dgm:spPr/>
    </dgm:pt>
    <dgm:pt modelId="{38823D81-DDCC-452C-8EE7-8490E1949B93}" type="pres">
      <dgm:prSet presAssocID="{2D10CC80-74EC-4DC7-B359-197CFCB372F7}" presName="Name19" presStyleLbl="parChTrans1D3" presStyleIdx="1" presStyleCnt="4"/>
      <dgm:spPr/>
    </dgm:pt>
    <dgm:pt modelId="{D37886BD-73F9-47FF-A5B6-C7D6F56A2B30}" type="pres">
      <dgm:prSet presAssocID="{333951F1-1EB5-49F7-BF13-96BB7E47AD5F}" presName="Name21" presStyleCnt="0"/>
      <dgm:spPr/>
    </dgm:pt>
    <dgm:pt modelId="{B146C033-6CBA-4327-A263-DDB10D5EE66F}" type="pres">
      <dgm:prSet presAssocID="{333951F1-1EB5-49F7-BF13-96BB7E47AD5F}" presName="level2Shape" presStyleLbl="node3" presStyleIdx="1" presStyleCnt="4"/>
      <dgm:spPr/>
    </dgm:pt>
    <dgm:pt modelId="{EC210907-5A1C-4980-887D-7EF3022AE4E5}" type="pres">
      <dgm:prSet presAssocID="{333951F1-1EB5-49F7-BF13-96BB7E47AD5F}" presName="hierChild3" presStyleCnt="0"/>
      <dgm:spPr/>
    </dgm:pt>
    <dgm:pt modelId="{46DA2E63-35E3-4C32-89F3-87C0D242D7D4}" type="pres">
      <dgm:prSet presAssocID="{72FDDAB7-B24D-4D13-9A6F-809A90146D6E}" presName="Name19" presStyleLbl="parChTrans1D4" presStyleIdx="1" presStyleCnt="4"/>
      <dgm:spPr/>
    </dgm:pt>
    <dgm:pt modelId="{7F6B0B62-9738-4194-BE5E-A139BFCFB9E0}" type="pres">
      <dgm:prSet presAssocID="{0E5F9711-0EBF-49C2-ABF9-C373EEA5FCFF}" presName="Name21" presStyleCnt="0"/>
      <dgm:spPr/>
    </dgm:pt>
    <dgm:pt modelId="{E9161F18-9816-44EA-839C-9188B82EDD06}" type="pres">
      <dgm:prSet presAssocID="{0E5F9711-0EBF-49C2-ABF9-C373EEA5FCFF}" presName="level2Shape" presStyleLbl="node4" presStyleIdx="1" presStyleCnt="4"/>
      <dgm:spPr/>
    </dgm:pt>
    <dgm:pt modelId="{19EC18E2-8066-4CD1-BF8F-8A7C37EFEE49}" type="pres">
      <dgm:prSet presAssocID="{0E5F9711-0EBF-49C2-ABF9-C373EEA5FCFF}" presName="hierChild3" presStyleCnt="0"/>
      <dgm:spPr/>
    </dgm:pt>
    <dgm:pt modelId="{31E994A9-3DBD-42E0-810C-786A1BCC3322}" type="pres">
      <dgm:prSet presAssocID="{6BEAE0C4-10DE-4725-962C-4E61C31B0BAA}" presName="Name19" presStyleLbl="parChTrans1D3" presStyleIdx="2" presStyleCnt="4"/>
      <dgm:spPr/>
    </dgm:pt>
    <dgm:pt modelId="{E50326D6-6090-47AF-8452-7A943458F402}" type="pres">
      <dgm:prSet presAssocID="{DCE9DFC4-1924-4A73-9249-87FE89961665}" presName="Name21" presStyleCnt="0"/>
      <dgm:spPr/>
    </dgm:pt>
    <dgm:pt modelId="{9CE70A71-E38B-4DEA-8FE3-457FD52146A4}" type="pres">
      <dgm:prSet presAssocID="{DCE9DFC4-1924-4A73-9249-87FE89961665}" presName="level2Shape" presStyleLbl="node3" presStyleIdx="2" presStyleCnt="4"/>
      <dgm:spPr/>
    </dgm:pt>
    <dgm:pt modelId="{BCA0A589-B898-4A97-A6D3-925563C9E064}" type="pres">
      <dgm:prSet presAssocID="{DCE9DFC4-1924-4A73-9249-87FE89961665}" presName="hierChild3" presStyleCnt="0"/>
      <dgm:spPr/>
    </dgm:pt>
    <dgm:pt modelId="{EF752BBC-7F79-4CF9-A9A8-278D898DC431}" type="pres">
      <dgm:prSet presAssocID="{C15B68CA-B61B-4D92-A355-DA36BBC02A24}" presName="Name19" presStyleLbl="parChTrans1D4" presStyleIdx="2" presStyleCnt="4"/>
      <dgm:spPr/>
    </dgm:pt>
    <dgm:pt modelId="{E1975E91-FC46-4FDF-AF4E-55968970119D}" type="pres">
      <dgm:prSet presAssocID="{113EB138-BCF4-49AA-B8FD-43DADDD953DE}" presName="Name21" presStyleCnt="0"/>
      <dgm:spPr/>
    </dgm:pt>
    <dgm:pt modelId="{E32481B8-FDD5-412E-A945-B49976BE0592}" type="pres">
      <dgm:prSet presAssocID="{113EB138-BCF4-49AA-B8FD-43DADDD953DE}" presName="level2Shape" presStyleLbl="node4" presStyleIdx="2" presStyleCnt="4"/>
      <dgm:spPr/>
    </dgm:pt>
    <dgm:pt modelId="{E22EC251-ED10-4D82-A3CE-E3F439849061}" type="pres">
      <dgm:prSet presAssocID="{113EB138-BCF4-49AA-B8FD-43DADDD953DE}" presName="hierChild3" presStyleCnt="0"/>
      <dgm:spPr/>
    </dgm:pt>
    <dgm:pt modelId="{0950586B-A727-4E59-BDC6-1FE7CAE4FF75}" type="pres">
      <dgm:prSet presAssocID="{0C394C62-D909-4606-A366-D0CB5B31D9AA}" presName="Name19" presStyleLbl="parChTrans1D3" presStyleIdx="3" presStyleCnt="4"/>
      <dgm:spPr/>
    </dgm:pt>
    <dgm:pt modelId="{1B0478B4-88D4-48A1-A86B-B77D9C292507}" type="pres">
      <dgm:prSet presAssocID="{4CF9C08D-F435-417B-95C5-774FC2BF6E86}" presName="Name21" presStyleCnt="0"/>
      <dgm:spPr/>
    </dgm:pt>
    <dgm:pt modelId="{0831917E-00BE-4B02-9322-42CB9239271C}" type="pres">
      <dgm:prSet presAssocID="{4CF9C08D-F435-417B-95C5-774FC2BF6E86}" presName="level2Shape" presStyleLbl="node3" presStyleIdx="3" presStyleCnt="4"/>
      <dgm:spPr/>
    </dgm:pt>
    <dgm:pt modelId="{8B2CB475-64C1-4E46-BC5E-8897D6A994DA}" type="pres">
      <dgm:prSet presAssocID="{4CF9C08D-F435-417B-95C5-774FC2BF6E86}" presName="hierChild3" presStyleCnt="0"/>
      <dgm:spPr/>
    </dgm:pt>
    <dgm:pt modelId="{3CA64A79-8F03-4580-8F7D-F49719FB6258}" type="pres">
      <dgm:prSet presAssocID="{1E9E128E-DA8E-44E9-8F7C-92236FC37938}" presName="Name19" presStyleLbl="parChTrans1D4" presStyleIdx="3" presStyleCnt="4"/>
      <dgm:spPr/>
    </dgm:pt>
    <dgm:pt modelId="{F195450D-EA20-4C6B-BE3C-2E3D2053DC79}" type="pres">
      <dgm:prSet presAssocID="{215AB3FF-C686-4930-97A8-38CB7EB419FE}" presName="Name21" presStyleCnt="0"/>
      <dgm:spPr/>
    </dgm:pt>
    <dgm:pt modelId="{546B6A8E-104C-43C1-B04E-4DA6FE00B136}" type="pres">
      <dgm:prSet presAssocID="{215AB3FF-C686-4930-97A8-38CB7EB419FE}" presName="level2Shape" presStyleLbl="node4" presStyleIdx="3" presStyleCnt="4"/>
      <dgm:spPr/>
    </dgm:pt>
    <dgm:pt modelId="{D294F222-A42F-4D10-A39D-971EBF706061}" type="pres">
      <dgm:prSet presAssocID="{215AB3FF-C686-4930-97A8-38CB7EB419FE}" presName="hierChild3" presStyleCnt="0"/>
      <dgm:spPr/>
    </dgm:pt>
    <dgm:pt modelId="{D762F7C1-88AC-4E25-8006-35E18B8941B8}" type="pres">
      <dgm:prSet presAssocID="{44B56EC5-A83C-44D5-B24C-9E5119E5197D}" presName="Name19" presStyleLbl="parChTrans1D2" presStyleIdx="1" presStyleCnt="2"/>
      <dgm:spPr/>
    </dgm:pt>
    <dgm:pt modelId="{FB6D6F03-31E3-4267-B7DC-6BAA00934E76}" type="pres">
      <dgm:prSet presAssocID="{5C2FDC89-BDD0-419F-A1B0-E7B57A3687D4}" presName="Name21" presStyleCnt="0"/>
      <dgm:spPr/>
    </dgm:pt>
    <dgm:pt modelId="{F8507752-BF7A-4108-A31A-229BCCA55B6E}" type="pres">
      <dgm:prSet presAssocID="{5C2FDC89-BDD0-419F-A1B0-E7B57A3687D4}" presName="level2Shape" presStyleLbl="node2" presStyleIdx="1" presStyleCnt="2"/>
      <dgm:spPr/>
    </dgm:pt>
    <dgm:pt modelId="{CCC56F8E-2EB2-4C42-B948-EF35C1979AF8}" type="pres">
      <dgm:prSet presAssocID="{5C2FDC89-BDD0-419F-A1B0-E7B57A3687D4}" presName="hierChild3" presStyleCnt="0"/>
      <dgm:spPr/>
    </dgm:pt>
    <dgm:pt modelId="{FE3EC378-F276-4DBA-97B8-07A61A7569F7}" type="pres">
      <dgm:prSet presAssocID="{08D84380-5F04-4401-BF0E-282850761A27}" presName="bgShapesFlow" presStyleCnt="0"/>
      <dgm:spPr/>
    </dgm:pt>
    <dgm:pt modelId="{A6CE231C-53F4-4A34-84EF-108742186424}" type="pres">
      <dgm:prSet presAssocID="{ECF8C7AA-4648-4F16-8472-3EA82142B63C}" presName="rectComp" presStyleCnt="0"/>
      <dgm:spPr/>
    </dgm:pt>
    <dgm:pt modelId="{86F5CE67-000A-4CD3-AA4D-7329728D9B8F}" type="pres">
      <dgm:prSet presAssocID="{ECF8C7AA-4648-4F16-8472-3EA82142B63C}" presName="bgRect" presStyleLbl="bgShp" presStyleIdx="0" presStyleCnt="4"/>
      <dgm:spPr/>
    </dgm:pt>
    <dgm:pt modelId="{23E7EBFF-E07D-482F-9D67-179E171C5AF6}" type="pres">
      <dgm:prSet presAssocID="{ECF8C7AA-4648-4F16-8472-3EA82142B63C}" presName="bgRectTx" presStyleLbl="bgShp" presStyleIdx="0" presStyleCnt="4">
        <dgm:presLayoutVars>
          <dgm:bulletEnabled val="1"/>
        </dgm:presLayoutVars>
      </dgm:prSet>
      <dgm:spPr/>
    </dgm:pt>
    <dgm:pt modelId="{C9433C63-59E0-4FC7-AD59-175839C8E8AE}" type="pres">
      <dgm:prSet presAssocID="{ECF8C7AA-4648-4F16-8472-3EA82142B63C}" presName="spComp" presStyleCnt="0"/>
      <dgm:spPr/>
    </dgm:pt>
    <dgm:pt modelId="{B9D0C333-2C17-462B-93EA-2C3A8D5F0BB7}" type="pres">
      <dgm:prSet presAssocID="{ECF8C7AA-4648-4F16-8472-3EA82142B63C}" presName="vSp" presStyleCnt="0"/>
      <dgm:spPr/>
    </dgm:pt>
    <dgm:pt modelId="{ECA5F280-C27E-460C-8C22-FC8F30CBD3CC}" type="pres">
      <dgm:prSet presAssocID="{A81368DA-2E8E-4AC2-8D3A-690BC7B0A56E}" presName="rectComp" presStyleCnt="0"/>
      <dgm:spPr/>
    </dgm:pt>
    <dgm:pt modelId="{86648C58-B7CE-437E-85B0-7C208A1E4F9E}" type="pres">
      <dgm:prSet presAssocID="{A81368DA-2E8E-4AC2-8D3A-690BC7B0A56E}" presName="bgRect" presStyleLbl="bgShp" presStyleIdx="1" presStyleCnt="4"/>
      <dgm:spPr/>
    </dgm:pt>
    <dgm:pt modelId="{E6C8C748-138D-4996-A6D8-3B10EF67C2C2}" type="pres">
      <dgm:prSet presAssocID="{A81368DA-2E8E-4AC2-8D3A-690BC7B0A56E}" presName="bgRectTx" presStyleLbl="bgShp" presStyleIdx="1" presStyleCnt="4">
        <dgm:presLayoutVars>
          <dgm:bulletEnabled val="1"/>
        </dgm:presLayoutVars>
      </dgm:prSet>
      <dgm:spPr/>
    </dgm:pt>
    <dgm:pt modelId="{459789FF-E13C-4F8A-B0D1-DD88D0C74DC4}" type="pres">
      <dgm:prSet presAssocID="{A81368DA-2E8E-4AC2-8D3A-690BC7B0A56E}" presName="spComp" presStyleCnt="0"/>
      <dgm:spPr/>
    </dgm:pt>
    <dgm:pt modelId="{4E33B181-95EA-455A-BDAF-6A359E6130E8}" type="pres">
      <dgm:prSet presAssocID="{A81368DA-2E8E-4AC2-8D3A-690BC7B0A56E}" presName="vSp" presStyleCnt="0"/>
      <dgm:spPr/>
    </dgm:pt>
    <dgm:pt modelId="{0C701018-3D24-49F4-85E1-FC3206E5AC85}" type="pres">
      <dgm:prSet presAssocID="{FF15CA2E-9D6C-407B-90A6-DA6CE84431E2}" presName="rectComp" presStyleCnt="0"/>
      <dgm:spPr/>
    </dgm:pt>
    <dgm:pt modelId="{1DAB1CCB-2879-42F1-A89B-DF2E4754DA71}" type="pres">
      <dgm:prSet presAssocID="{FF15CA2E-9D6C-407B-90A6-DA6CE84431E2}" presName="bgRect" presStyleLbl="bgShp" presStyleIdx="2" presStyleCnt="4"/>
      <dgm:spPr/>
    </dgm:pt>
    <dgm:pt modelId="{E2C50AF8-58A4-49F4-8D70-DA987C1B9C8A}" type="pres">
      <dgm:prSet presAssocID="{FF15CA2E-9D6C-407B-90A6-DA6CE84431E2}" presName="bgRectTx" presStyleLbl="bgShp" presStyleIdx="2" presStyleCnt="4">
        <dgm:presLayoutVars>
          <dgm:bulletEnabled val="1"/>
        </dgm:presLayoutVars>
      </dgm:prSet>
      <dgm:spPr/>
    </dgm:pt>
    <dgm:pt modelId="{A2355C10-453E-4941-ABEC-8A0EEB28EF87}" type="pres">
      <dgm:prSet presAssocID="{FF15CA2E-9D6C-407B-90A6-DA6CE84431E2}" presName="spComp" presStyleCnt="0"/>
      <dgm:spPr/>
    </dgm:pt>
    <dgm:pt modelId="{546CE3A6-DECC-4A70-BD2E-5AEBBE86967E}" type="pres">
      <dgm:prSet presAssocID="{FF15CA2E-9D6C-407B-90A6-DA6CE84431E2}" presName="vSp" presStyleCnt="0"/>
      <dgm:spPr/>
    </dgm:pt>
    <dgm:pt modelId="{138B9DDA-A96D-4418-B6FD-04A8EBCBCD47}" type="pres">
      <dgm:prSet presAssocID="{7194DA74-C4C1-4E19-A052-C1DA0B39DD0F}" presName="rectComp" presStyleCnt="0"/>
      <dgm:spPr/>
    </dgm:pt>
    <dgm:pt modelId="{CDA781D1-B2B1-461D-BBB8-9EC014EBF81B}" type="pres">
      <dgm:prSet presAssocID="{7194DA74-C4C1-4E19-A052-C1DA0B39DD0F}" presName="bgRect" presStyleLbl="bgShp" presStyleIdx="3" presStyleCnt="4"/>
      <dgm:spPr/>
    </dgm:pt>
    <dgm:pt modelId="{A8F2E7EA-3EB7-47CD-8EFF-431EEAF3069A}" type="pres">
      <dgm:prSet presAssocID="{7194DA74-C4C1-4E19-A052-C1DA0B39DD0F}" presName="bgRectTx" presStyleLbl="bgShp" presStyleIdx="3" presStyleCnt="4">
        <dgm:presLayoutVars>
          <dgm:bulletEnabled val="1"/>
        </dgm:presLayoutVars>
      </dgm:prSet>
      <dgm:spPr/>
    </dgm:pt>
  </dgm:ptLst>
  <dgm:cxnLst>
    <dgm:cxn modelId="{20466302-268B-4DF6-A5B3-406B891F8E7C}" srcId="{7027E984-B58E-46DE-967A-CB60F24D63A2}" destId="{333951F1-1EB5-49F7-BF13-96BB7E47AD5F}" srcOrd="1" destOrd="0" parTransId="{2D10CC80-74EC-4DC7-B359-197CFCB372F7}" sibTransId="{6FDE6341-1742-4B4B-8651-0D8B392A03DB}"/>
    <dgm:cxn modelId="{281E0614-6572-4ED5-8106-1DEB90BB0108}" type="presOf" srcId="{856D41F0-91C4-49F3-A11C-820F66E0309E}" destId="{645449A8-2E63-4805-9423-59F21695B5B5}" srcOrd="0" destOrd="0" presId="urn:microsoft.com/office/officeart/2005/8/layout/hierarchy6"/>
    <dgm:cxn modelId="{3983CB19-8D59-4D0D-A2E8-E27B9B6C8825}" type="presOf" srcId="{ECF8C7AA-4648-4F16-8472-3EA82142B63C}" destId="{23E7EBFF-E07D-482F-9D67-179E171C5AF6}" srcOrd="1" destOrd="0" presId="urn:microsoft.com/office/officeart/2005/8/layout/hierarchy6"/>
    <dgm:cxn modelId="{B245262A-2260-4934-8DFB-60D846A4F5A3}" type="presOf" srcId="{DCE9DFC4-1924-4A73-9249-87FE89961665}" destId="{9CE70A71-E38B-4DEA-8FE3-457FD52146A4}" srcOrd="0" destOrd="0" presId="urn:microsoft.com/office/officeart/2005/8/layout/hierarchy6"/>
    <dgm:cxn modelId="{FE8B822E-3180-4EF5-9B69-C8B1841B4813}" type="presOf" srcId="{7027E984-B58E-46DE-967A-CB60F24D63A2}" destId="{B6C5164E-5FDD-4851-9DD9-FA78251685D6}" srcOrd="0" destOrd="0" presId="urn:microsoft.com/office/officeart/2005/8/layout/hierarchy6"/>
    <dgm:cxn modelId="{E70DA32F-85BE-4118-B617-3547A5CBF830}" type="presOf" srcId="{5C2FDC89-BDD0-419F-A1B0-E7B57A3687D4}" destId="{F8507752-BF7A-4108-A31A-229BCCA55B6E}" srcOrd="0" destOrd="0" presId="urn:microsoft.com/office/officeart/2005/8/layout/hierarchy6"/>
    <dgm:cxn modelId="{85381B32-24AD-42D1-95FD-C3C77F219A9A}" type="presOf" srcId="{ECF8C7AA-4648-4F16-8472-3EA82142B63C}" destId="{86F5CE67-000A-4CD3-AA4D-7329728D9B8F}" srcOrd="0" destOrd="0" presId="urn:microsoft.com/office/officeart/2005/8/layout/hierarchy6"/>
    <dgm:cxn modelId="{67BA0734-CE6D-47C8-A15A-FC2EB7C67AF9}" srcId="{08D84380-5F04-4401-BF0E-282850761A27}" destId="{1F6AC1CF-E2D0-41A6-A56D-F0A0974FBC1E}" srcOrd="0" destOrd="0" parTransId="{031DEC62-7345-49FC-AE17-A02A55D2578C}" sibTransId="{8EF1D224-2FC1-4814-A7D5-9CB17B5B4AEB}"/>
    <dgm:cxn modelId="{DCFF3735-B35B-46E4-947C-887EC72B9848}" type="presOf" srcId="{1CD51911-3B77-4F08-AE7D-53F0E4DE5F6E}" destId="{7122C64C-6275-49B8-B16E-E27F3EDF89D0}" srcOrd="0" destOrd="0" presId="urn:microsoft.com/office/officeart/2005/8/layout/hierarchy6"/>
    <dgm:cxn modelId="{DE43C835-C6FF-4F33-9E5F-BCFFD7E8E00B}" srcId="{1F6AC1CF-E2D0-41A6-A56D-F0A0974FBC1E}" destId="{7027E984-B58E-46DE-967A-CB60F24D63A2}" srcOrd="0" destOrd="0" parTransId="{162D5721-DE71-40BA-9390-1DE525973009}" sibTransId="{5C539DED-E786-4361-BD73-CB0492A54B9E}"/>
    <dgm:cxn modelId="{BE309737-6242-45A9-B5A1-3B76A2F25704}" type="presOf" srcId="{A81368DA-2E8E-4AC2-8D3A-690BC7B0A56E}" destId="{E6C8C748-138D-4996-A6D8-3B10EF67C2C2}" srcOrd="1" destOrd="0" presId="urn:microsoft.com/office/officeart/2005/8/layout/hierarchy6"/>
    <dgm:cxn modelId="{FF9AA641-C501-4ADA-AB5D-B2A98DE607F2}" type="presOf" srcId="{FD7CD5AC-CE95-4042-BE43-23C12D222D18}" destId="{01151502-EB46-44B0-B92A-267D5DC3AF87}" srcOrd="0" destOrd="0" presId="urn:microsoft.com/office/officeart/2005/8/layout/hierarchy6"/>
    <dgm:cxn modelId="{030FAC41-FDF8-426D-A2D4-9D5EF4586E92}" srcId="{08D84380-5F04-4401-BF0E-282850761A27}" destId="{FF15CA2E-9D6C-407B-90A6-DA6CE84431E2}" srcOrd="3" destOrd="0" parTransId="{51A3A2CE-2778-4A16-B0CD-2246A5BF9477}" sibTransId="{3B249674-8B61-4E22-BEA3-80E85F999490}"/>
    <dgm:cxn modelId="{DF95AB44-6EA0-4E94-8249-57CAABFB4761}" srcId="{08D84380-5F04-4401-BF0E-282850761A27}" destId="{A81368DA-2E8E-4AC2-8D3A-690BC7B0A56E}" srcOrd="2" destOrd="0" parTransId="{A51B40B1-4F42-4D8B-8605-ACFA18780F6B}" sibTransId="{E0D5147D-F337-4D43-950B-DF26D42DF064}"/>
    <dgm:cxn modelId="{203E9F74-28C5-46A7-AD36-E13DE480A49C}" type="presOf" srcId="{0E5F9711-0EBF-49C2-ABF9-C373EEA5FCFF}" destId="{E9161F18-9816-44EA-839C-9188B82EDD06}" srcOrd="0" destOrd="0" presId="urn:microsoft.com/office/officeart/2005/8/layout/hierarchy6"/>
    <dgm:cxn modelId="{90542D75-076B-43E0-A9F9-3DA5076114FB}" type="presOf" srcId="{FF15CA2E-9D6C-407B-90A6-DA6CE84431E2}" destId="{E2C50AF8-58A4-49F4-8D70-DA987C1B9C8A}" srcOrd="1" destOrd="0" presId="urn:microsoft.com/office/officeart/2005/8/layout/hierarchy6"/>
    <dgm:cxn modelId="{09A04376-6B8D-44E1-BD9B-CC7DF058F342}" type="presOf" srcId="{333951F1-1EB5-49F7-BF13-96BB7E47AD5F}" destId="{B146C033-6CBA-4327-A263-DDB10D5EE66F}" srcOrd="0" destOrd="0" presId="urn:microsoft.com/office/officeart/2005/8/layout/hierarchy6"/>
    <dgm:cxn modelId="{88268056-0C5B-432A-9EF3-A0A92EEE7016}" type="presOf" srcId="{DACDBA0A-BDB1-4F41-AA20-C853FC0668BA}" destId="{2CCC377F-4C40-4FCD-9D20-A160BFAFA866}" srcOrd="0" destOrd="0" presId="urn:microsoft.com/office/officeart/2005/8/layout/hierarchy6"/>
    <dgm:cxn modelId="{7B046357-C1B1-4B12-A116-7F3B874FBF69}" type="presOf" srcId="{1F6AC1CF-E2D0-41A6-A56D-F0A0974FBC1E}" destId="{48880664-D4FD-4856-A02C-3B211C09EBB2}" srcOrd="0" destOrd="0" presId="urn:microsoft.com/office/officeart/2005/8/layout/hierarchy6"/>
    <dgm:cxn modelId="{7A973178-807E-4B82-BBFF-53EE3E2AC881}" srcId="{DCE9DFC4-1924-4A73-9249-87FE89961665}" destId="{113EB138-BCF4-49AA-B8FD-43DADDD953DE}" srcOrd="0" destOrd="0" parTransId="{C15B68CA-B61B-4D92-A355-DA36BBC02A24}" sibTransId="{7127FF2B-91D2-45DA-9AD5-3C1A8A0BCE31}"/>
    <dgm:cxn modelId="{08267D78-D109-4B81-934E-693E4B69B543}" type="presOf" srcId="{08D84380-5F04-4401-BF0E-282850761A27}" destId="{1F971F00-D998-4A58-A3C6-35747CAA2338}" srcOrd="0" destOrd="0" presId="urn:microsoft.com/office/officeart/2005/8/layout/hierarchy6"/>
    <dgm:cxn modelId="{BD418778-D91D-4963-A663-7E2CD092BFF0}" type="presOf" srcId="{113EB138-BCF4-49AA-B8FD-43DADDD953DE}" destId="{E32481B8-FDD5-412E-A945-B49976BE0592}" srcOrd="0" destOrd="0" presId="urn:microsoft.com/office/officeart/2005/8/layout/hierarchy6"/>
    <dgm:cxn modelId="{B07F367A-6718-4E83-A5AA-6649FCA51181}" type="presOf" srcId="{6BEAE0C4-10DE-4725-962C-4E61C31B0BAA}" destId="{31E994A9-3DBD-42E0-810C-786A1BCC3322}" srcOrd="0" destOrd="0" presId="urn:microsoft.com/office/officeart/2005/8/layout/hierarchy6"/>
    <dgm:cxn modelId="{BB113A5A-FFD1-4AFC-BF4C-F37A4A2EB091}" type="presOf" srcId="{C15B68CA-B61B-4D92-A355-DA36BBC02A24}" destId="{EF752BBC-7F79-4CF9-A9A8-278D898DC431}" srcOrd="0" destOrd="0" presId="urn:microsoft.com/office/officeart/2005/8/layout/hierarchy6"/>
    <dgm:cxn modelId="{B475AB7C-60EA-4833-9CBD-525D5E0DD20C}" type="presOf" srcId="{72FDDAB7-B24D-4D13-9A6F-809A90146D6E}" destId="{46DA2E63-35E3-4C32-89F3-87C0D242D7D4}" srcOrd="0" destOrd="0" presId="urn:microsoft.com/office/officeart/2005/8/layout/hierarchy6"/>
    <dgm:cxn modelId="{8A1A7691-FF52-4938-8D28-C59D2FD911B9}" type="presOf" srcId="{FF15CA2E-9D6C-407B-90A6-DA6CE84431E2}" destId="{1DAB1CCB-2879-42F1-A89B-DF2E4754DA71}" srcOrd="0" destOrd="0" presId="urn:microsoft.com/office/officeart/2005/8/layout/hierarchy6"/>
    <dgm:cxn modelId="{08542994-C563-45D4-8A92-D6EFA4C06799}" type="presOf" srcId="{44B56EC5-A83C-44D5-B24C-9E5119E5197D}" destId="{D762F7C1-88AC-4E25-8006-35E18B8941B8}" srcOrd="0" destOrd="0" presId="urn:microsoft.com/office/officeart/2005/8/layout/hierarchy6"/>
    <dgm:cxn modelId="{5A639897-B894-4FA7-8906-EC6823C161DD}" type="presOf" srcId="{4CF9C08D-F435-417B-95C5-774FC2BF6E86}" destId="{0831917E-00BE-4B02-9322-42CB9239271C}" srcOrd="0" destOrd="0" presId="urn:microsoft.com/office/officeart/2005/8/layout/hierarchy6"/>
    <dgm:cxn modelId="{6784789C-7068-465B-97F9-D7DFC88B198D}" srcId="{4CF9C08D-F435-417B-95C5-774FC2BF6E86}" destId="{215AB3FF-C686-4930-97A8-38CB7EB419FE}" srcOrd="0" destOrd="0" parTransId="{1E9E128E-DA8E-44E9-8F7C-92236FC37938}" sibTransId="{64DD1AF3-30E1-4AF8-B201-4EEEE7EF7213}"/>
    <dgm:cxn modelId="{5AD318A3-29B7-4BFC-8CA3-52323439A426}" srcId="{7027E984-B58E-46DE-967A-CB60F24D63A2}" destId="{DCE9DFC4-1924-4A73-9249-87FE89961665}" srcOrd="2" destOrd="0" parTransId="{6BEAE0C4-10DE-4725-962C-4E61C31B0BAA}" sibTransId="{393F2F2D-DF7C-475D-8042-DAFC63E88BF1}"/>
    <dgm:cxn modelId="{A352BDA4-3363-4335-AB58-FBCD03636476}" type="presOf" srcId="{7194DA74-C4C1-4E19-A052-C1DA0B39DD0F}" destId="{A8F2E7EA-3EB7-47CD-8EFF-431EEAF3069A}" srcOrd="1" destOrd="0" presId="urn:microsoft.com/office/officeart/2005/8/layout/hierarchy6"/>
    <dgm:cxn modelId="{DA0F8FA8-AE26-41FC-B7C1-2A3BF3E86B5B}" srcId="{1CD51911-3B77-4F08-AE7D-53F0E4DE5F6E}" destId="{856D41F0-91C4-49F3-A11C-820F66E0309E}" srcOrd="0" destOrd="0" parTransId="{DACDBA0A-BDB1-4F41-AA20-C853FC0668BA}" sibTransId="{C0F3AFB5-95DE-4DBE-9FAC-2714A748C0C1}"/>
    <dgm:cxn modelId="{467F4FA9-EEBA-452A-A76F-7B7B788E7C13}" srcId="{7027E984-B58E-46DE-967A-CB60F24D63A2}" destId="{4CF9C08D-F435-417B-95C5-774FC2BF6E86}" srcOrd="3" destOrd="0" parTransId="{0C394C62-D909-4606-A366-D0CB5B31D9AA}" sibTransId="{D3DC6ECB-641F-45CA-A0FE-23FDD0D6F628}"/>
    <dgm:cxn modelId="{B3A2AFAA-6200-45BF-B6DA-08519F071268}" type="presOf" srcId="{2D10CC80-74EC-4DC7-B359-197CFCB372F7}" destId="{38823D81-DDCC-452C-8EE7-8490E1949B93}" srcOrd="0" destOrd="0" presId="urn:microsoft.com/office/officeart/2005/8/layout/hierarchy6"/>
    <dgm:cxn modelId="{D8EAB6AD-A1E7-4D89-944E-89AF4734BD69}" srcId="{08D84380-5F04-4401-BF0E-282850761A27}" destId="{ECF8C7AA-4648-4F16-8472-3EA82142B63C}" srcOrd="1" destOrd="0" parTransId="{8816C37E-DB43-44AC-875F-BE77D66385BD}" sibTransId="{83D8383D-73D6-4A70-8C35-0344285BF704}"/>
    <dgm:cxn modelId="{9A6E7AB0-C008-4825-BE3B-3EEEAEF23D60}" type="presOf" srcId="{1E9E128E-DA8E-44E9-8F7C-92236FC37938}" destId="{3CA64A79-8F03-4580-8F7D-F49719FB6258}" srcOrd="0" destOrd="0" presId="urn:microsoft.com/office/officeart/2005/8/layout/hierarchy6"/>
    <dgm:cxn modelId="{E04FC4BF-AEBF-4140-883A-00F041CD636C}" srcId="{08D84380-5F04-4401-BF0E-282850761A27}" destId="{7194DA74-C4C1-4E19-A052-C1DA0B39DD0F}" srcOrd="4" destOrd="0" parTransId="{BF7F1611-FCD5-43E7-858A-14EA5E03FCDE}" sibTransId="{038658D3-1CAA-4254-88A9-900548AC8DD4}"/>
    <dgm:cxn modelId="{7FD079C2-9732-4369-9C02-E32985A7E398}" type="presOf" srcId="{215AB3FF-C686-4930-97A8-38CB7EB419FE}" destId="{546B6A8E-104C-43C1-B04E-4DA6FE00B136}" srcOrd="0" destOrd="0" presId="urn:microsoft.com/office/officeart/2005/8/layout/hierarchy6"/>
    <dgm:cxn modelId="{16E2D5C5-5715-48E5-B40E-2ECB463B4B68}" type="presOf" srcId="{A81368DA-2E8E-4AC2-8D3A-690BC7B0A56E}" destId="{86648C58-B7CE-437E-85B0-7C208A1E4F9E}" srcOrd="0" destOrd="0" presId="urn:microsoft.com/office/officeart/2005/8/layout/hierarchy6"/>
    <dgm:cxn modelId="{85CADBCF-CBFD-472D-BFC8-0C47454D5CF0}" srcId="{7027E984-B58E-46DE-967A-CB60F24D63A2}" destId="{1CD51911-3B77-4F08-AE7D-53F0E4DE5F6E}" srcOrd="0" destOrd="0" parTransId="{FD7CD5AC-CE95-4042-BE43-23C12D222D18}" sibTransId="{0A1A29DE-FB56-4824-B3A1-5F3F27D722D0}"/>
    <dgm:cxn modelId="{9192BBD3-FF49-4AAE-B538-3E713A6654F9}" srcId="{333951F1-1EB5-49F7-BF13-96BB7E47AD5F}" destId="{0E5F9711-0EBF-49C2-ABF9-C373EEA5FCFF}" srcOrd="0" destOrd="0" parTransId="{72FDDAB7-B24D-4D13-9A6F-809A90146D6E}" sibTransId="{EAB7722E-64ED-43F8-964C-9CDE14D34508}"/>
    <dgm:cxn modelId="{5C4E88E7-CD8B-4E97-BD93-1BCB25EB8D27}" type="presOf" srcId="{7194DA74-C4C1-4E19-A052-C1DA0B39DD0F}" destId="{CDA781D1-B2B1-461D-BBB8-9EC014EBF81B}" srcOrd="0" destOrd="0" presId="urn:microsoft.com/office/officeart/2005/8/layout/hierarchy6"/>
    <dgm:cxn modelId="{9F609EEC-BCE3-4BC0-BE69-101133ED839D}" srcId="{1F6AC1CF-E2D0-41A6-A56D-F0A0974FBC1E}" destId="{5C2FDC89-BDD0-419F-A1B0-E7B57A3687D4}" srcOrd="1" destOrd="0" parTransId="{44B56EC5-A83C-44D5-B24C-9E5119E5197D}" sibTransId="{743FC734-8B5A-412D-8378-A6D5301AA76C}"/>
    <dgm:cxn modelId="{C8D927EF-B27D-4C78-A6CD-B57CAD22A8F6}" type="presOf" srcId="{162D5721-DE71-40BA-9390-1DE525973009}" destId="{F12F973C-0144-4997-B5EF-58421381D03F}" srcOrd="0" destOrd="0" presId="urn:microsoft.com/office/officeart/2005/8/layout/hierarchy6"/>
    <dgm:cxn modelId="{8283C7FA-1A5D-4102-A837-473BC93EBCEC}" type="presOf" srcId="{0C394C62-D909-4606-A366-D0CB5B31D9AA}" destId="{0950586B-A727-4E59-BDC6-1FE7CAE4FF75}" srcOrd="0" destOrd="0" presId="urn:microsoft.com/office/officeart/2005/8/layout/hierarchy6"/>
    <dgm:cxn modelId="{A651F11E-AF98-4D30-A937-90397A7182EA}" type="presParOf" srcId="{1F971F00-D998-4A58-A3C6-35747CAA2338}" destId="{5A0D27D8-DC8C-4623-9E17-8EB97D5E6E6C}" srcOrd="0" destOrd="0" presId="urn:microsoft.com/office/officeart/2005/8/layout/hierarchy6"/>
    <dgm:cxn modelId="{A88239EB-6724-4B05-851A-900BB4E9A47A}" type="presParOf" srcId="{5A0D27D8-DC8C-4623-9E17-8EB97D5E6E6C}" destId="{1EBC9A19-C4BD-4E72-8CA9-9A4DA912DB6A}" srcOrd="0" destOrd="0" presId="urn:microsoft.com/office/officeart/2005/8/layout/hierarchy6"/>
    <dgm:cxn modelId="{DC1B33C0-8455-48B5-97A3-0D91BF582CB8}" type="presParOf" srcId="{5A0D27D8-DC8C-4623-9E17-8EB97D5E6E6C}" destId="{CD1A8979-9519-4F23-A0F7-ECF358F7CC91}" srcOrd="1" destOrd="0" presId="urn:microsoft.com/office/officeart/2005/8/layout/hierarchy6"/>
    <dgm:cxn modelId="{60FF002C-2CE9-4363-A2E7-0C7B054DC707}" type="presParOf" srcId="{CD1A8979-9519-4F23-A0F7-ECF358F7CC91}" destId="{533C4270-415D-474F-A559-21EC5F0E82EC}" srcOrd="0" destOrd="0" presId="urn:microsoft.com/office/officeart/2005/8/layout/hierarchy6"/>
    <dgm:cxn modelId="{FF8D456D-5326-4203-9702-6A0726B0B7D6}" type="presParOf" srcId="{533C4270-415D-474F-A559-21EC5F0E82EC}" destId="{48880664-D4FD-4856-A02C-3B211C09EBB2}" srcOrd="0" destOrd="0" presId="urn:microsoft.com/office/officeart/2005/8/layout/hierarchy6"/>
    <dgm:cxn modelId="{1ABD25F3-1F93-4427-B6E8-632E588B1807}" type="presParOf" srcId="{533C4270-415D-474F-A559-21EC5F0E82EC}" destId="{03FDAAC8-81D7-4E8F-949A-1D0172255546}" srcOrd="1" destOrd="0" presId="urn:microsoft.com/office/officeart/2005/8/layout/hierarchy6"/>
    <dgm:cxn modelId="{5518D048-CB63-4DAC-AFFB-0E261DB529BB}" type="presParOf" srcId="{03FDAAC8-81D7-4E8F-949A-1D0172255546}" destId="{F12F973C-0144-4997-B5EF-58421381D03F}" srcOrd="0" destOrd="0" presId="urn:microsoft.com/office/officeart/2005/8/layout/hierarchy6"/>
    <dgm:cxn modelId="{E4A657B6-646C-44B0-9417-9B28B63DB6FB}" type="presParOf" srcId="{03FDAAC8-81D7-4E8F-949A-1D0172255546}" destId="{D741C903-28F9-409B-8ADD-C9AF5D502D33}" srcOrd="1" destOrd="0" presId="urn:microsoft.com/office/officeart/2005/8/layout/hierarchy6"/>
    <dgm:cxn modelId="{6D022042-6313-40FF-A866-5DB4035850A6}" type="presParOf" srcId="{D741C903-28F9-409B-8ADD-C9AF5D502D33}" destId="{B6C5164E-5FDD-4851-9DD9-FA78251685D6}" srcOrd="0" destOrd="0" presId="urn:microsoft.com/office/officeart/2005/8/layout/hierarchy6"/>
    <dgm:cxn modelId="{9965F5EB-F347-4072-A369-F3D3C538A5EA}" type="presParOf" srcId="{D741C903-28F9-409B-8ADD-C9AF5D502D33}" destId="{1BEEA666-A817-4774-B948-D3F591684D9D}" srcOrd="1" destOrd="0" presId="urn:microsoft.com/office/officeart/2005/8/layout/hierarchy6"/>
    <dgm:cxn modelId="{F18C5B39-F188-4E66-A4E6-07A1A9B1AB47}" type="presParOf" srcId="{1BEEA666-A817-4774-B948-D3F591684D9D}" destId="{01151502-EB46-44B0-B92A-267D5DC3AF87}" srcOrd="0" destOrd="0" presId="urn:microsoft.com/office/officeart/2005/8/layout/hierarchy6"/>
    <dgm:cxn modelId="{B2CFB1F0-4729-4AC3-B612-228759234CF5}" type="presParOf" srcId="{1BEEA666-A817-4774-B948-D3F591684D9D}" destId="{CDD5517B-F2D8-4C4E-8C52-FBDCB8E54A0A}" srcOrd="1" destOrd="0" presId="urn:microsoft.com/office/officeart/2005/8/layout/hierarchy6"/>
    <dgm:cxn modelId="{7C6D2791-7B18-4A5C-8F54-193FB8953D82}" type="presParOf" srcId="{CDD5517B-F2D8-4C4E-8C52-FBDCB8E54A0A}" destId="{7122C64C-6275-49B8-B16E-E27F3EDF89D0}" srcOrd="0" destOrd="0" presId="urn:microsoft.com/office/officeart/2005/8/layout/hierarchy6"/>
    <dgm:cxn modelId="{FA8E30A3-8AF6-40CB-8397-E08CAB386642}" type="presParOf" srcId="{CDD5517B-F2D8-4C4E-8C52-FBDCB8E54A0A}" destId="{D122FE02-FD1D-41C2-931D-34A3CC19F08E}" srcOrd="1" destOrd="0" presId="urn:microsoft.com/office/officeart/2005/8/layout/hierarchy6"/>
    <dgm:cxn modelId="{F499C0BB-711D-410A-A732-8DFF43AD0F8C}" type="presParOf" srcId="{D122FE02-FD1D-41C2-931D-34A3CC19F08E}" destId="{2CCC377F-4C40-4FCD-9D20-A160BFAFA866}" srcOrd="0" destOrd="0" presId="urn:microsoft.com/office/officeart/2005/8/layout/hierarchy6"/>
    <dgm:cxn modelId="{4F532DEF-687E-4687-9BEA-A65D4A6E7FC6}" type="presParOf" srcId="{D122FE02-FD1D-41C2-931D-34A3CC19F08E}" destId="{6E499D43-4E91-4DA4-B9D0-C269B41B994D}" srcOrd="1" destOrd="0" presId="urn:microsoft.com/office/officeart/2005/8/layout/hierarchy6"/>
    <dgm:cxn modelId="{E937FAEA-C3CC-46E3-A8DE-75A022083DA7}" type="presParOf" srcId="{6E499D43-4E91-4DA4-B9D0-C269B41B994D}" destId="{645449A8-2E63-4805-9423-59F21695B5B5}" srcOrd="0" destOrd="0" presId="urn:microsoft.com/office/officeart/2005/8/layout/hierarchy6"/>
    <dgm:cxn modelId="{C24199DE-C623-4F98-B77F-42966E313535}" type="presParOf" srcId="{6E499D43-4E91-4DA4-B9D0-C269B41B994D}" destId="{9AA9C8C3-7652-495F-AA8D-83DF72E67AFA}" srcOrd="1" destOrd="0" presId="urn:microsoft.com/office/officeart/2005/8/layout/hierarchy6"/>
    <dgm:cxn modelId="{867C0013-BD36-4CCB-B3BB-B4DA47EE11D4}" type="presParOf" srcId="{1BEEA666-A817-4774-B948-D3F591684D9D}" destId="{38823D81-DDCC-452C-8EE7-8490E1949B93}" srcOrd="2" destOrd="0" presId="urn:microsoft.com/office/officeart/2005/8/layout/hierarchy6"/>
    <dgm:cxn modelId="{F1088505-F42C-4488-B048-6AEFE107F164}" type="presParOf" srcId="{1BEEA666-A817-4774-B948-D3F591684D9D}" destId="{D37886BD-73F9-47FF-A5B6-C7D6F56A2B30}" srcOrd="3" destOrd="0" presId="urn:microsoft.com/office/officeart/2005/8/layout/hierarchy6"/>
    <dgm:cxn modelId="{912E5B98-D57C-4FAF-A66D-784BC0900B65}" type="presParOf" srcId="{D37886BD-73F9-47FF-A5B6-C7D6F56A2B30}" destId="{B146C033-6CBA-4327-A263-DDB10D5EE66F}" srcOrd="0" destOrd="0" presId="urn:microsoft.com/office/officeart/2005/8/layout/hierarchy6"/>
    <dgm:cxn modelId="{45355974-DF06-422F-88E1-13D4AFF7F2A6}" type="presParOf" srcId="{D37886BD-73F9-47FF-A5B6-C7D6F56A2B30}" destId="{EC210907-5A1C-4980-887D-7EF3022AE4E5}" srcOrd="1" destOrd="0" presId="urn:microsoft.com/office/officeart/2005/8/layout/hierarchy6"/>
    <dgm:cxn modelId="{734029DE-8AC2-431D-9F0E-D641A39C015A}" type="presParOf" srcId="{EC210907-5A1C-4980-887D-7EF3022AE4E5}" destId="{46DA2E63-35E3-4C32-89F3-87C0D242D7D4}" srcOrd="0" destOrd="0" presId="urn:microsoft.com/office/officeart/2005/8/layout/hierarchy6"/>
    <dgm:cxn modelId="{C26D9A65-591D-4095-92A0-4F36AAF5ADDF}" type="presParOf" srcId="{EC210907-5A1C-4980-887D-7EF3022AE4E5}" destId="{7F6B0B62-9738-4194-BE5E-A139BFCFB9E0}" srcOrd="1" destOrd="0" presId="urn:microsoft.com/office/officeart/2005/8/layout/hierarchy6"/>
    <dgm:cxn modelId="{C52DAD32-E65C-446C-868A-C3D0816EBA86}" type="presParOf" srcId="{7F6B0B62-9738-4194-BE5E-A139BFCFB9E0}" destId="{E9161F18-9816-44EA-839C-9188B82EDD06}" srcOrd="0" destOrd="0" presId="urn:microsoft.com/office/officeart/2005/8/layout/hierarchy6"/>
    <dgm:cxn modelId="{1B77937F-B9A9-4353-A142-270442939088}" type="presParOf" srcId="{7F6B0B62-9738-4194-BE5E-A139BFCFB9E0}" destId="{19EC18E2-8066-4CD1-BF8F-8A7C37EFEE49}" srcOrd="1" destOrd="0" presId="urn:microsoft.com/office/officeart/2005/8/layout/hierarchy6"/>
    <dgm:cxn modelId="{C4B57E23-D9F5-438D-A2A6-74E2EA589995}" type="presParOf" srcId="{1BEEA666-A817-4774-B948-D3F591684D9D}" destId="{31E994A9-3DBD-42E0-810C-786A1BCC3322}" srcOrd="4" destOrd="0" presId="urn:microsoft.com/office/officeart/2005/8/layout/hierarchy6"/>
    <dgm:cxn modelId="{C6A0C7AB-FC7D-4ADC-BC91-A57026ADA710}" type="presParOf" srcId="{1BEEA666-A817-4774-B948-D3F591684D9D}" destId="{E50326D6-6090-47AF-8452-7A943458F402}" srcOrd="5" destOrd="0" presId="urn:microsoft.com/office/officeart/2005/8/layout/hierarchy6"/>
    <dgm:cxn modelId="{BCD7730D-77D9-43B0-95D3-09E5962A5910}" type="presParOf" srcId="{E50326D6-6090-47AF-8452-7A943458F402}" destId="{9CE70A71-E38B-4DEA-8FE3-457FD52146A4}" srcOrd="0" destOrd="0" presId="urn:microsoft.com/office/officeart/2005/8/layout/hierarchy6"/>
    <dgm:cxn modelId="{03462ACB-7FCD-49F1-868E-B54C5201D96A}" type="presParOf" srcId="{E50326D6-6090-47AF-8452-7A943458F402}" destId="{BCA0A589-B898-4A97-A6D3-925563C9E064}" srcOrd="1" destOrd="0" presId="urn:microsoft.com/office/officeart/2005/8/layout/hierarchy6"/>
    <dgm:cxn modelId="{ADB4D732-D26B-4356-B9EE-699E0791DE29}" type="presParOf" srcId="{BCA0A589-B898-4A97-A6D3-925563C9E064}" destId="{EF752BBC-7F79-4CF9-A9A8-278D898DC431}" srcOrd="0" destOrd="0" presId="urn:microsoft.com/office/officeart/2005/8/layout/hierarchy6"/>
    <dgm:cxn modelId="{8B3E80FE-5E61-46AB-B14F-A75A1BFD7E1D}" type="presParOf" srcId="{BCA0A589-B898-4A97-A6D3-925563C9E064}" destId="{E1975E91-FC46-4FDF-AF4E-55968970119D}" srcOrd="1" destOrd="0" presId="urn:microsoft.com/office/officeart/2005/8/layout/hierarchy6"/>
    <dgm:cxn modelId="{700DF230-C762-4434-A88E-0B4B01D881B7}" type="presParOf" srcId="{E1975E91-FC46-4FDF-AF4E-55968970119D}" destId="{E32481B8-FDD5-412E-A945-B49976BE0592}" srcOrd="0" destOrd="0" presId="urn:microsoft.com/office/officeart/2005/8/layout/hierarchy6"/>
    <dgm:cxn modelId="{6463981C-6370-409F-9676-984361E8B25A}" type="presParOf" srcId="{E1975E91-FC46-4FDF-AF4E-55968970119D}" destId="{E22EC251-ED10-4D82-A3CE-E3F439849061}" srcOrd="1" destOrd="0" presId="urn:microsoft.com/office/officeart/2005/8/layout/hierarchy6"/>
    <dgm:cxn modelId="{866A481D-7DFB-4043-B300-1E9A827FFE26}" type="presParOf" srcId="{1BEEA666-A817-4774-B948-D3F591684D9D}" destId="{0950586B-A727-4E59-BDC6-1FE7CAE4FF75}" srcOrd="6" destOrd="0" presId="urn:microsoft.com/office/officeart/2005/8/layout/hierarchy6"/>
    <dgm:cxn modelId="{8640071B-E8AE-4D35-946C-F4753D1E3A46}" type="presParOf" srcId="{1BEEA666-A817-4774-B948-D3F591684D9D}" destId="{1B0478B4-88D4-48A1-A86B-B77D9C292507}" srcOrd="7" destOrd="0" presId="urn:microsoft.com/office/officeart/2005/8/layout/hierarchy6"/>
    <dgm:cxn modelId="{02D224AD-D197-4A9B-9503-63EB72C9BE2B}" type="presParOf" srcId="{1B0478B4-88D4-48A1-A86B-B77D9C292507}" destId="{0831917E-00BE-4B02-9322-42CB9239271C}" srcOrd="0" destOrd="0" presId="urn:microsoft.com/office/officeart/2005/8/layout/hierarchy6"/>
    <dgm:cxn modelId="{11E2B8C3-A70E-4DDC-9E23-80AEBE6F40D1}" type="presParOf" srcId="{1B0478B4-88D4-48A1-A86B-B77D9C292507}" destId="{8B2CB475-64C1-4E46-BC5E-8897D6A994DA}" srcOrd="1" destOrd="0" presId="urn:microsoft.com/office/officeart/2005/8/layout/hierarchy6"/>
    <dgm:cxn modelId="{9B2D3F3D-08BC-416F-B996-D1E16DE412A7}" type="presParOf" srcId="{8B2CB475-64C1-4E46-BC5E-8897D6A994DA}" destId="{3CA64A79-8F03-4580-8F7D-F49719FB6258}" srcOrd="0" destOrd="0" presId="urn:microsoft.com/office/officeart/2005/8/layout/hierarchy6"/>
    <dgm:cxn modelId="{DBEB05CC-0F2E-45D9-976D-C07F9F0B4276}" type="presParOf" srcId="{8B2CB475-64C1-4E46-BC5E-8897D6A994DA}" destId="{F195450D-EA20-4C6B-BE3C-2E3D2053DC79}" srcOrd="1" destOrd="0" presId="urn:microsoft.com/office/officeart/2005/8/layout/hierarchy6"/>
    <dgm:cxn modelId="{177755D6-9B81-42A2-A8D0-813D2EA377C2}" type="presParOf" srcId="{F195450D-EA20-4C6B-BE3C-2E3D2053DC79}" destId="{546B6A8E-104C-43C1-B04E-4DA6FE00B136}" srcOrd="0" destOrd="0" presId="urn:microsoft.com/office/officeart/2005/8/layout/hierarchy6"/>
    <dgm:cxn modelId="{84497A76-0F20-4DD6-8303-2DF3D8A342A5}" type="presParOf" srcId="{F195450D-EA20-4C6B-BE3C-2E3D2053DC79}" destId="{D294F222-A42F-4D10-A39D-971EBF706061}" srcOrd="1" destOrd="0" presId="urn:microsoft.com/office/officeart/2005/8/layout/hierarchy6"/>
    <dgm:cxn modelId="{1DB3054A-2D3E-4342-8E12-8603939160B2}" type="presParOf" srcId="{03FDAAC8-81D7-4E8F-949A-1D0172255546}" destId="{D762F7C1-88AC-4E25-8006-35E18B8941B8}" srcOrd="2" destOrd="0" presId="urn:microsoft.com/office/officeart/2005/8/layout/hierarchy6"/>
    <dgm:cxn modelId="{281881AC-A276-44DB-9858-BF9B163255CA}" type="presParOf" srcId="{03FDAAC8-81D7-4E8F-949A-1D0172255546}" destId="{FB6D6F03-31E3-4267-B7DC-6BAA00934E76}" srcOrd="3" destOrd="0" presId="urn:microsoft.com/office/officeart/2005/8/layout/hierarchy6"/>
    <dgm:cxn modelId="{8B24941E-3A3A-47BB-B53B-8FF0ACAE50EB}" type="presParOf" srcId="{FB6D6F03-31E3-4267-B7DC-6BAA00934E76}" destId="{F8507752-BF7A-4108-A31A-229BCCA55B6E}" srcOrd="0" destOrd="0" presId="urn:microsoft.com/office/officeart/2005/8/layout/hierarchy6"/>
    <dgm:cxn modelId="{847C6227-F8D0-47BD-BB8B-9771C86EA561}" type="presParOf" srcId="{FB6D6F03-31E3-4267-B7DC-6BAA00934E76}" destId="{CCC56F8E-2EB2-4C42-B948-EF35C1979AF8}" srcOrd="1" destOrd="0" presId="urn:microsoft.com/office/officeart/2005/8/layout/hierarchy6"/>
    <dgm:cxn modelId="{B935535F-2D71-43C3-BF7B-CE43F7C96274}" type="presParOf" srcId="{1F971F00-D998-4A58-A3C6-35747CAA2338}" destId="{FE3EC378-F276-4DBA-97B8-07A61A7569F7}" srcOrd="1" destOrd="0" presId="urn:microsoft.com/office/officeart/2005/8/layout/hierarchy6"/>
    <dgm:cxn modelId="{9C62D75C-4067-4B95-850C-C253D6D987AA}" type="presParOf" srcId="{FE3EC378-F276-4DBA-97B8-07A61A7569F7}" destId="{A6CE231C-53F4-4A34-84EF-108742186424}" srcOrd="0" destOrd="0" presId="urn:microsoft.com/office/officeart/2005/8/layout/hierarchy6"/>
    <dgm:cxn modelId="{F23275C4-58ED-4283-9EA2-DE8353E88019}" type="presParOf" srcId="{A6CE231C-53F4-4A34-84EF-108742186424}" destId="{86F5CE67-000A-4CD3-AA4D-7329728D9B8F}" srcOrd="0" destOrd="0" presId="urn:microsoft.com/office/officeart/2005/8/layout/hierarchy6"/>
    <dgm:cxn modelId="{99787E7B-6AA1-455B-AA6E-DA8EA0C0F31E}" type="presParOf" srcId="{A6CE231C-53F4-4A34-84EF-108742186424}" destId="{23E7EBFF-E07D-482F-9D67-179E171C5AF6}" srcOrd="1" destOrd="0" presId="urn:microsoft.com/office/officeart/2005/8/layout/hierarchy6"/>
    <dgm:cxn modelId="{56EE6571-AE53-4D0D-8BC2-47540C2D5E9E}" type="presParOf" srcId="{FE3EC378-F276-4DBA-97B8-07A61A7569F7}" destId="{C9433C63-59E0-4FC7-AD59-175839C8E8AE}" srcOrd="1" destOrd="0" presId="urn:microsoft.com/office/officeart/2005/8/layout/hierarchy6"/>
    <dgm:cxn modelId="{BEDC2F08-20D0-4D8B-8618-A6FF5F9EE25B}" type="presParOf" srcId="{C9433C63-59E0-4FC7-AD59-175839C8E8AE}" destId="{B9D0C333-2C17-462B-93EA-2C3A8D5F0BB7}" srcOrd="0" destOrd="0" presId="urn:microsoft.com/office/officeart/2005/8/layout/hierarchy6"/>
    <dgm:cxn modelId="{BD9B0BAE-96BE-4850-AE18-75AAC21D1388}" type="presParOf" srcId="{FE3EC378-F276-4DBA-97B8-07A61A7569F7}" destId="{ECA5F280-C27E-460C-8C22-FC8F30CBD3CC}" srcOrd="2" destOrd="0" presId="urn:microsoft.com/office/officeart/2005/8/layout/hierarchy6"/>
    <dgm:cxn modelId="{ECF64235-9606-47D0-AA0B-28377991BFB0}" type="presParOf" srcId="{ECA5F280-C27E-460C-8C22-FC8F30CBD3CC}" destId="{86648C58-B7CE-437E-85B0-7C208A1E4F9E}" srcOrd="0" destOrd="0" presId="urn:microsoft.com/office/officeart/2005/8/layout/hierarchy6"/>
    <dgm:cxn modelId="{FFADB62E-D27F-4990-A30C-55CDB0E69F6A}" type="presParOf" srcId="{ECA5F280-C27E-460C-8C22-FC8F30CBD3CC}" destId="{E6C8C748-138D-4996-A6D8-3B10EF67C2C2}" srcOrd="1" destOrd="0" presId="urn:microsoft.com/office/officeart/2005/8/layout/hierarchy6"/>
    <dgm:cxn modelId="{91AD5681-C781-4363-AC1A-A95BFAA9A8DE}" type="presParOf" srcId="{FE3EC378-F276-4DBA-97B8-07A61A7569F7}" destId="{459789FF-E13C-4F8A-B0D1-DD88D0C74DC4}" srcOrd="3" destOrd="0" presId="urn:microsoft.com/office/officeart/2005/8/layout/hierarchy6"/>
    <dgm:cxn modelId="{14E4B6BD-A029-4B8E-88C5-498E3752F9EA}" type="presParOf" srcId="{459789FF-E13C-4F8A-B0D1-DD88D0C74DC4}" destId="{4E33B181-95EA-455A-BDAF-6A359E6130E8}" srcOrd="0" destOrd="0" presId="urn:microsoft.com/office/officeart/2005/8/layout/hierarchy6"/>
    <dgm:cxn modelId="{B2A1B5E4-7CF1-4286-950D-740DC012A046}" type="presParOf" srcId="{FE3EC378-F276-4DBA-97B8-07A61A7569F7}" destId="{0C701018-3D24-49F4-85E1-FC3206E5AC85}" srcOrd="4" destOrd="0" presId="urn:microsoft.com/office/officeart/2005/8/layout/hierarchy6"/>
    <dgm:cxn modelId="{8A0E0A51-FBA6-4438-BFD0-F96740F269DC}" type="presParOf" srcId="{0C701018-3D24-49F4-85E1-FC3206E5AC85}" destId="{1DAB1CCB-2879-42F1-A89B-DF2E4754DA71}" srcOrd="0" destOrd="0" presId="urn:microsoft.com/office/officeart/2005/8/layout/hierarchy6"/>
    <dgm:cxn modelId="{747EE3CE-2B90-43A0-8153-82B0D1F203C4}" type="presParOf" srcId="{0C701018-3D24-49F4-85E1-FC3206E5AC85}" destId="{E2C50AF8-58A4-49F4-8D70-DA987C1B9C8A}" srcOrd="1" destOrd="0" presId="urn:microsoft.com/office/officeart/2005/8/layout/hierarchy6"/>
    <dgm:cxn modelId="{E342B3FD-49A9-489C-8372-94DB4B167A45}" type="presParOf" srcId="{FE3EC378-F276-4DBA-97B8-07A61A7569F7}" destId="{A2355C10-453E-4941-ABEC-8A0EEB28EF87}" srcOrd="5" destOrd="0" presId="urn:microsoft.com/office/officeart/2005/8/layout/hierarchy6"/>
    <dgm:cxn modelId="{DB3E5FEC-D038-4BC8-90EB-DB3A1A5AF0BF}" type="presParOf" srcId="{A2355C10-453E-4941-ABEC-8A0EEB28EF87}" destId="{546CE3A6-DECC-4A70-BD2E-5AEBBE86967E}" srcOrd="0" destOrd="0" presId="urn:microsoft.com/office/officeart/2005/8/layout/hierarchy6"/>
    <dgm:cxn modelId="{2615CC69-2BF1-4195-AF34-A5B8E65CC4DF}" type="presParOf" srcId="{FE3EC378-F276-4DBA-97B8-07A61A7569F7}" destId="{138B9DDA-A96D-4418-B6FD-04A8EBCBCD47}" srcOrd="6" destOrd="0" presId="urn:microsoft.com/office/officeart/2005/8/layout/hierarchy6"/>
    <dgm:cxn modelId="{2E431A4D-363F-4650-8163-1D06F99CE105}" type="presParOf" srcId="{138B9DDA-A96D-4418-B6FD-04A8EBCBCD47}" destId="{CDA781D1-B2B1-461D-BBB8-9EC014EBF81B}" srcOrd="0" destOrd="0" presId="urn:microsoft.com/office/officeart/2005/8/layout/hierarchy6"/>
    <dgm:cxn modelId="{1B6C61DE-4004-48F1-8944-93CF84481D13}" type="presParOf" srcId="{138B9DDA-A96D-4418-B6FD-04A8EBCBCD47}" destId="{A8F2E7EA-3EB7-47CD-8EFF-431EEAF3069A}" srcOrd="1" destOrd="0" presId="urn:microsoft.com/office/officeart/2005/8/layout/hierarchy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A781D1-B2B1-461D-BBB8-9EC014EBF81B}">
      <dsp:nvSpPr>
        <dsp:cNvPr id="0" name=""/>
        <dsp:cNvSpPr/>
      </dsp:nvSpPr>
      <dsp:spPr>
        <a:xfrm>
          <a:off x="0" y="2486233"/>
          <a:ext cx="5867399" cy="650914"/>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Reported as screened for anaemia preoperatvely</a:t>
          </a:r>
        </a:p>
      </dsp:txBody>
      <dsp:txXfrm>
        <a:off x="19065" y="2505298"/>
        <a:ext cx="1722090" cy="612784"/>
      </dsp:txXfrm>
    </dsp:sp>
    <dsp:sp modelId="{1DAB1CCB-2879-42F1-A89B-DF2E4754DA71}">
      <dsp:nvSpPr>
        <dsp:cNvPr id="0" name=""/>
        <dsp:cNvSpPr/>
      </dsp:nvSpPr>
      <dsp:spPr>
        <a:xfrm>
          <a:off x="0" y="1726832"/>
          <a:ext cx="5867399" cy="650914"/>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Surgery type</a:t>
          </a:r>
        </a:p>
      </dsp:txBody>
      <dsp:txXfrm>
        <a:off x="19065" y="1745897"/>
        <a:ext cx="1722090" cy="612784"/>
      </dsp:txXfrm>
    </dsp:sp>
    <dsp:sp modelId="{86648C58-B7CE-437E-85B0-7C208A1E4F9E}">
      <dsp:nvSpPr>
        <dsp:cNvPr id="0" name=""/>
        <dsp:cNvSpPr/>
      </dsp:nvSpPr>
      <dsp:spPr>
        <a:xfrm>
          <a:off x="0" y="967432"/>
          <a:ext cx="5867399" cy="650914"/>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Data cleaning</a:t>
          </a:r>
        </a:p>
      </dsp:txBody>
      <dsp:txXfrm>
        <a:off x="19065" y="986497"/>
        <a:ext cx="1722090" cy="612784"/>
      </dsp:txXfrm>
    </dsp:sp>
    <dsp:sp modelId="{86F5CE67-000A-4CD3-AA4D-7329728D9B8F}">
      <dsp:nvSpPr>
        <dsp:cNvPr id="0" name=""/>
        <dsp:cNvSpPr/>
      </dsp:nvSpPr>
      <dsp:spPr>
        <a:xfrm>
          <a:off x="0" y="208031"/>
          <a:ext cx="5867399" cy="650914"/>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Total audits received</a:t>
          </a:r>
        </a:p>
      </dsp:txBody>
      <dsp:txXfrm>
        <a:off x="19065" y="227096"/>
        <a:ext cx="1722090" cy="612784"/>
      </dsp:txXfrm>
    </dsp:sp>
    <dsp:sp modelId="{48880664-D4FD-4856-A02C-3B211C09EBB2}">
      <dsp:nvSpPr>
        <dsp:cNvPr id="0" name=""/>
        <dsp:cNvSpPr/>
      </dsp:nvSpPr>
      <dsp:spPr>
        <a:xfrm>
          <a:off x="3877182" y="262274"/>
          <a:ext cx="813643" cy="5424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n = 1,698</a:t>
          </a:r>
        </a:p>
      </dsp:txBody>
      <dsp:txXfrm>
        <a:off x="3893069" y="278161"/>
        <a:ext cx="781869" cy="510654"/>
      </dsp:txXfrm>
    </dsp:sp>
    <dsp:sp modelId="{F12F973C-0144-4997-B5EF-58421381D03F}">
      <dsp:nvSpPr>
        <dsp:cNvPr id="0" name=""/>
        <dsp:cNvSpPr/>
      </dsp:nvSpPr>
      <dsp:spPr>
        <a:xfrm>
          <a:off x="3755136" y="804703"/>
          <a:ext cx="528868" cy="216971"/>
        </a:xfrm>
        <a:custGeom>
          <a:avLst/>
          <a:gdLst/>
          <a:ahLst/>
          <a:cxnLst/>
          <a:rect l="0" t="0" r="0" b="0"/>
          <a:pathLst>
            <a:path>
              <a:moveTo>
                <a:pt x="494526" y="0"/>
              </a:moveTo>
              <a:lnTo>
                <a:pt x="494526" y="101441"/>
              </a:lnTo>
              <a:lnTo>
                <a:pt x="0" y="101441"/>
              </a:lnTo>
              <a:lnTo>
                <a:pt x="0" y="20288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C5164E-5FDD-4851-9DD9-FA78251685D6}">
      <dsp:nvSpPr>
        <dsp:cNvPr id="0" name=""/>
        <dsp:cNvSpPr/>
      </dsp:nvSpPr>
      <dsp:spPr>
        <a:xfrm>
          <a:off x="3348314" y="1021675"/>
          <a:ext cx="813643" cy="5424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Records included</a:t>
          </a:r>
          <a:br>
            <a:rPr lang="en-US" sz="800" kern="1200">
              <a:solidFill>
                <a:sysClr val="window" lastClr="FFFFFF"/>
              </a:solidFill>
              <a:latin typeface="Arial" panose="020B0604020202020204" pitchFamily="34" charset="0"/>
              <a:ea typeface="+mn-ea"/>
              <a:cs typeface="Arial" panose="020B0604020202020204" pitchFamily="34" charset="0"/>
            </a:rPr>
          </a:br>
          <a:r>
            <a:rPr lang="en-US" sz="800" kern="1200">
              <a:solidFill>
                <a:sysClr val="window" lastClr="FFFFFF"/>
              </a:solidFill>
              <a:latin typeface="Arial" panose="020B0604020202020204" pitchFamily="34" charset="0"/>
              <a:ea typeface="+mn-ea"/>
              <a:cs typeface="Arial" panose="020B0604020202020204" pitchFamily="34" charset="0"/>
            </a:rPr>
            <a:t>n = 1,541</a:t>
          </a:r>
        </a:p>
      </dsp:txBody>
      <dsp:txXfrm>
        <a:off x="3364201" y="1037562"/>
        <a:ext cx="781869" cy="510654"/>
      </dsp:txXfrm>
    </dsp:sp>
    <dsp:sp modelId="{01151502-EB46-44B0-B92A-267D5DC3AF87}">
      <dsp:nvSpPr>
        <dsp:cNvPr id="0" name=""/>
        <dsp:cNvSpPr/>
      </dsp:nvSpPr>
      <dsp:spPr>
        <a:xfrm>
          <a:off x="2168531" y="1564104"/>
          <a:ext cx="1586604" cy="216971"/>
        </a:xfrm>
        <a:custGeom>
          <a:avLst/>
          <a:gdLst/>
          <a:ahLst/>
          <a:cxnLst/>
          <a:rect l="0" t="0" r="0" b="0"/>
          <a:pathLst>
            <a:path>
              <a:moveTo>
                <a:pt x="1483578" y="0"/>
              </a:moveTo>
              <a:lnTo>
                <a:pt x="1483578" y="101441"/>
              </a:lnTo>
              <a:lnTo>
                <a:pt x="0" y="101441"/>
              </a:lnTo>
              <a:lnTo>
                <a:pt x="0" y="2028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22C64C-6275-49B8-B16E-E27F3EDF89D0}">
      <dsp:nvSpPr>
        <dsp:cNvPr id="0" name=""/>
        <dsp:cNvSpPr/>
      </dsp:nvSpPr>
      <dsp:spPr>
        <a:xfrm>
          <a:off x="1761709" y="1781075"/>
          <a:ext cx="813643" cy="5424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Orthopaedic</a:t>
          </a:r>
          <a:br>
            <a:rPr lang="en-US" sz="800" kern="1200">
              <a:solidFill>
                <a:sysClr val="window" lastClr="FFFFFF"/>
              </a:solidFill>
              <a:latin typeface="Arial" panose="020B0604020202020204" pitchFamily="34" charset="0"/>
              <a:ea typeface="+mn-ea"/>
              <a:cs typeface="Arial" panose="020B0604020202020204" pitchFamily="34" charset="0"/>
            </a:rPr>
          </a:br>
          <a:r>
            <a:rPr lang="en-US" sz="800" kern="1200">
              <a:solidFill>
                <a:sysClr val="window" lastClr="FFFFFF"/>
              </a:solidFill>
              <a:latin typeface="Arial" panose="020B0604020202020204" pitchFamily="34" charset="0"/>
              <a:ea typeface="+mn-ea"/>
              <a:cs typeface="Arial" panose="020B0604020202020204" pitchFamily="34" charset="0"/>
            </a:rPr>
            <a:t>n = 772</a:t>
          </a:r>
        </a:p>
      </dsp:txBody>
      <dsp:txXfrm>
        <a:off x="1777596" y="1796962"/>
        <a:ext cx="781869" cy="510654"/>
      </dsp:txXfrm>
    </dsp:sp>
    <dsp:sp modelId="{2CCC377F-4C40-4FCD-9D20-A160BFAFA866}">
      <dsp:nvSpPr>
        <dsp:cNvPr id="0" name=""/>
        <dsp:cNvSpPr/>
      </dsp:nvSpPr>
      <dsp:spPr>
        <a:xfrm>
          <a:off x="2122811" y="2323504"/>
          <a:ext cx="91440" cy="216971"/>
        </a:xfrm>
        <a:custGeom>
          <a:avLst/>
          <a:gdLst/>
          <a:ahLst/>
          <a:cxnLst/>
          <a:rect l="0" t="0" r="0" b="0"/>
          <a:pathLst>
            <a:path>
              <a:moveTo>
                <a:pt x="45720" y="0"/>
              </a:moveTo>
              <a:lnTo>
                <a:pt x="45720" y="2028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45449A8-2E63-4805-9423-59F21695B5B5}">
      <dsp:nvSpPr>
        <dsp:cNvPr id="0" name=""/>
        <dsp:cNvSpPr/>
      </dsp:nvSpPr>
      <dsp:spPr>
        <a:xfrm>
          <a:off x="1761709" y="2540476"/>
          <a:ext cx="813643" cy="5424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Screened</a:t>
          </a:r>
          <a:br>
            <a:rPr lang="en-US" sz="800" kern="1200">
              <a:solidFill>
                <a:sysClr val="window" lastClr="FFFFFF"/>
              </a:solidFill>
              <a:latin typeface="Arial" panose="020B0604020202020204" pitchFamily="34" charset="0"/>
              <a:ea typeface="+mn-ea"/>
              <a:cs typeface="Arial" panose="020B0604020202020204" pitchFamily="34" charset="0"/>
            </a:rPr>
          </a:br>
          <a:r>
            <a:rPr lang="en-US" sz="800" kern="1200">
              <a:solidFill>
                <a:sysClr val="window" lastClr="FFFFFF"/>
              </a:solidFill>
              <a:latin typeface="Arial" panose="020B0604020202020204" pitchFamily="34" charset="0"/>
              <a:ea typeface="+mn-ea"/>
              <a:cs typeface="Arial" panose="020B0604020202020204" pitchFamily="34" charset="0"/>
            </a:rPr>
            <a:t>n = 654, 85%</a:t>
          </a:r>
        </a:p>
      </dsp:txBody>
      <dsp:txXfrm>
        <a:off x="1777596" y="2556363"/>
        <a:ext cx="781869" cy="510654"/>
      </dsp:txXfrm>
    </dsp:sp>
    <dsp:sp modelId="{38823D81-DDCC-452C-8EE7-8490E1949B93}">
      <dsp:nvSpPr>
        <dsp:cNvPr id="0" name=""/>
        <dsp:cNvSpPr/>
      </dsp:nvSpPr>
      <dsp:spPr>
        <a:xfrm>
          <a:off x="3226267" y="1564104"/>
          <a:ext cx="528868" cy="216971"/>
        </a:xfrm>
        <a:custGeom>
          <a:avLst/>
          <a:gdLst/>
          <a:ahLst/>
          <a:cxnLst/>
          <a:rect l="0" t="0" r="0" b="0"/>
          <a:pathLst>
            <a:path>
              <a:moveTo>
                <a:pt x="494526" y="0"/>
              </a:moveTo>
              <a:lnTo>
                <a:pt x="494526" y="101441"/>
              </a:lnTo>
              <a:lnTo>
                <a:pt x="0" y="101441"/>
              </a:lnTo>
              <a:lnTo>
                <a:pt x="0" y="2028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46C033-6CBA-4327-A263-DDB10D5EE66F}">
      <dsp:nvSpPr>
        <dsp:cNvPr id="0" name=""/>
        <dsp:cNvSpPr/>
      </dsp:nvSpPr>
      <dsp:spPr>
        <a:xfrm>
          <a:off x="2819446" y="1781075"/>
          <a:ext cx="813643" cy="5424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Gynaecology</a:t>
          </a:r>
          <a:br>
            <a:rPr lang="en-US" sz="800" kern="1200">
              <a:solidFill>
                <a:sysClr val="window" lastClr="FFFFFF"/>
              </a:solidFill>
              <a:latin typeface="Arial" panose="020B0604020202020204" pitchFamily="34" charset="0"/>
              <a:ea typeface="+mn-ea"/>
              <a:cs typeface="Arial" panose="020B0604020202020204" pitchFamily="34" charset="0"/>
            </a:rPr>
          </a:br>
          <a:r>
            <a:rPr lang="en-US" sz="800" kern="1200">
              <a:solidFill>
                <a:sysClr val="window" lastClr="FFFFFF"/>
              </a:solidFill>
              <a:latin typeface="Arial" panose="020B0604020202020204" pitchFamily="34" charset="0"/>
              <a:ea typeface="+mn-ea"/>
              <a:cs typeface="Arial" panose="020B0604020202020204" pitchFamily="34" charset="0"/>
            </a:rPr>
            <a:t>n = 343</a:t>
          </a:r>
        </a:p>
      </dsp:txBody>
      <dsp:txXfrm>
        <a:off x="2835333" y="1796962"/>
        <a:ext cx="781869" cy="510654"/>
      </dsp:txXfrm>
    </dsp:sp>
    <dsp:sp modelId="{46DA2E63-35E3-4C32-89F3-87C0D242D7D4}">
      <dsp:nvSpPr>
        <dsp:cNvPr id="0" name=""/>
        <dsp:cNvSpPr/>
      </dsp:nvSpPr>
      <dsp:spPr>
        <a:xfrm>
          <a:off x="3180547" y="2323504"/>
          <a:ext cx="91440" cy="216971"/>
        </a:xfrm>
        <a:custGeom>
          <a:avLst/>
          <a:gdLst/>
          <a:ahLst/>
          <a:cxnLst/>
          <a:rect l="0" t="0" r="0" b="0"/>
          <a:pathLst>
            <a:path>
              <a:moveTo>
                <a:pt x="45720" y="0"/>
              </a:moveTo>
              <a:lnTo>
                <a:pt x="45720" y="2028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9161F18-9816-44EA-839C-9188B82EDD06}">
      <dsp:nvSpPr>
        <dsp:cNvPr id="0" name=""/>
        <dsp:cNvSpPr/>
      </dsp:nvSpPr>
      <dsp:spPr>
        <a:xfrm>
          <a:off x="2819446" y="2540476"/>
          <a:ext cx="813643" cy="5424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Screened</a:t>
          </a:r>
          <a:br>
            <a:rPr lang="en-US" sz="800" kern="1200">
              <a:solidFill>
                <a:sysClr val="window" lastClr="FFFFFF"/>
              </a:solidFill>
              <a:latin typeface="Arial" panose="020B0604020202020204" pitchFamily="34" charset="0"/>
              <a:ea typeface="+mn-ea"/>
              <a:cs typeface="Arial" panose="020B0604020202020204" pitchFamily="34" charset="0"/>
            </a:rPr>
          </a:br>
          <a:r>
            <a:rPr lang="en-US" sz="800" kern="1200">
              <a:solidFill>
                <a:sysClr val="window" lastClr="FFFFFF"/>
              </a:solidFill>
              <a:latin typeface="Arial" panose="020B0604020202020204" pitchFamily="34" charset="0"/>
              <a:ea typeface="+mn-ea"/>
              <a:cs typeface="Arial" panose="020B0604020202020204" pitchFamily="34" charset="0"/>
            </a:rPr>
            <a:t>n = 241, 70%</a:t>
          </a:r>
        </a:p>
      </dsp:txBody>
      <dsp:txXfrm>
        <a:off x="2835333" y="2556363"/>
        <a:ext cx="781869" cy="510654"/>
      </dsp:txXfrm>
    </dsp:sp>
    <dsp:sp modelId="{31E994A9-3DBD-42E0-810C-786A1BCC3322}">
      <dsp:nvSpPr>
        <dsp:cNvPr id="0" name=""/>
        <dsp:cNvSpPr/>
      </dsp:nvSpPr>
      <dsp:spPr>
        <a:xfrm>
          <a:off x="3755136" y="1564104"/>
          <a:ext cx="528868" cy="216971"/>
        </a:xfrm>
        <a:custGeom>
          <a:avLst/>
          <a:gdLst/>
          <a:ahLst/>
          <a:cxnLst/>
          <a:rect l="0" t="0" r="0" b="0"/>
          <a:pathLst>
            <a:path>
              <a:moveTo>
                <a:pt x="0" y="0"/>
              </a:moveTo>
              <a:lnTo>
                <a:pt x="0" y="101441"/>
              </a:lnTo>
              <a:lnTo>
                <a:pt x="494526" y="101441"/>
              </a:lnTo>
              <a:lnTo>
                <a:pt x="494526" y="2028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E70A71-E38B-4DEA-8FE3-457FD52146A4}">
      <dsp:nvSpPr>
        <dsp:cNvPr id="0" name=""/>
        <dsp:cNvSpPr/>
      </dsp:nvSpPr>
      <dsp:spPr>
        <a:xfrm>
          <a:off x="3877182" y="1781075"/>
          <a:ext cx="813643" cy="5424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Major gastrointestinal</a:t>
          </a:r>
          <a:br>
            <a:rPr lang="en-US" sz="800" kern="1200">
              <a:solidFill>
                <a:sysClr val="window" lastClr="FFFFFF"/>
              </a:solidFill>
              <a:latin typeface="Arial" panose="020B0604020202020204" pitchFamily="34" charset="0"/>
              <a:ea typeface="+mn-ea"/>
              <a:cs typeface="Arial" panose="020B0604020202020204" pitchFamily="34" charset="0"/>
            </a:rPr>
          </a:br>
          <a:r>
            <a:rPr lang="en-US" sz="800" kern="1200">
              <a:solidFill>
                <a:sysClr val="window" lastClr="FFFFFF"/>
              </a:solidFill>
              <a:latin typeface="Arial" panose="020B0604020202020204" pitchFamily="34" charset="0"/>
              <a:ea typeface="+mn-ea"/>
              <a:cs typeface="Arial" panose="020B0604020202020204" pitchFamily="34" charset="0"/>
            </a:rPr>
            <a:t>n = 296</a:t>
          </a:r>
        </a:p>
      </dsp:txBody>
      <dsp:txXfrm>
        <a:off x="3893069" y="1796962"/>
        <a:ext cx="781869" cy="510654"/>
      </dsp:txXfrm>
    </dsp:sp>
    <dsp:sp modelId="{EF752BBC-7F79-4CF9-A9A8-278D898DC431}">
      <dsp:nvSpPr>
        <dsp:cNvPr id="0" name=""/>
        <dsp:cNvSpPr/>
      </dsp:nvSpPr>
      <dsp:spPr>
        <a:xfrm>
          <a:off x="4238284" y="2323504"/>
          <a:ext cx="91440" cy="216971"/>
        </a:xfrm>
        <a:custGeom>
          <a:avLst/>
          <a:gdLst/>
          <a:ahLst/>
          <a:cxnLst/>
          <a:rect l="0" t="0" r="0" b="0"/>
          <a:pathLst>
            <a:path>
              <a:moveTo>
                <a:pt x="45720" y="0"/>
              </a:moveTo>
              <a:lnTo>
                <a:pt x="45720" y="2028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32481B8-FDD5-412E-A945-B49976BE0592}">
      <dsp:nvSpPr>
        <dsp:cNvPr id="0" name=""/>
        <dsp:cNvSpPr/>
      </dsp:nvSpPr>
      <dsp:spPr>
        <a:xfrm>
          <a:off x="3877182" y="2540476"/>
          <a:ext cx="813643" cy="5424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Screened</a:t>
          </a:r>
          <a:br>
            <a:rPr lang="en-US" sz="800" kern="1200">
              <a:solidFill>
                <a:sysClr val="window" lastClr="FFFFFF"/>
              </a:solidFill>
              <a:latin typeface="Arial" panose="020B0604020202020204" pitchFamily="34" charset="0"/>
              <a:ea typeface="+mn-ea"/>
              <a:cs typeface="Arial" panose="020B0604020202020204" pitchFamily="34" charset="0"/>
            </a:rPr>
          </a:br>
          <a:r>
            <a:rPr lang="en-US" sz="800" kern="1200">
              <a:solidFill>
                <a:sysClr val="window" lastClr="FFFFFF"/>
              </a:solidFill>
              <a:latin typeface="Arial" panose="020B0604020202020204" pitchFamily="34" charset="0"/>
              <a:ea typeface="+mn-ea"/>
              <a:cs typeface="Arial" panose="020B0604020202020204" pitchFamily="34" charset="0"/>
            </a:rPr>
            <a:t>n = 245, 83%</a:t>
          </a:r>
        </a:p>
      </dsp:txBody>
      <dsp:txXfrm>
        <a:off x="3893069" y="2556363"/>
        <a:ext cx="781869" cy="510654"/>
      </dsp:txXfrm>
    </dsp:sp>
    <dsp:sp modelId="{0950586B-A727-4E59-BDC6-1FE7CAE4FF75}">
      <dsp:nvSpPr>
        <dsp:cNvPr id="0" name=""/>
        <dsp:cNvSpPr/>
      </dsp:nvSpPr>
      <dsp:spPr>
        <a:xfrm>
          <a:off x="3755136" y="1564104"/>
          <a:ext cx="1586604" cy="216971"/>
        </a:xfrm>
        <a:custGeom>
          <a:avLst/>
          <a:gdLst/>
          <a:ahLst/>
          <a:cxnLst/>
          <a:rect l="0" t="0" r="0" b="0"/>
          <a:pathLst>
            <a:path>
              <a:moveTo>
                <a:pt x="0" y="0"/>
              </a:moveTo>
              <a:lnTo>
                <a:pt x="0" y="101441"/>
              </a:lnTo>
              <a:lnTo>
                <a:pt x="1483578" y="101441"/>
              </a:lnTo>
              <a:lnTo>
                <a:pt x="1483578" y="2028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31917E-00BE-4B02-9322-42CB9239271C}">
      <dsp:nvSpPr>
        <dsp:cNvPr id="0" name=""/>
        <dsp:cNvSpPr/>
      </dsp:nvSpPr>
      <dsp:spPr>
        <a:xfrm>
          <a:off x="4934918" y="1781075"/>
          <a:ext cx="813643" cy="5424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Cardiothoracic</a:t>
          </a:r>
          <a:br>
            <a:rPr lang="en-US" sz="800" kern="1200">
              <a:solidFill>
                <a:sysClr val="window" lastClr="FFFFFF"/>
              </a:solidFill>
              <a:latin typeface="Arial" panose="020B0604020202020204" pitchFamily="34" charset="0"/>
              <a:ea typeface="+mn-ea"/>
              <a:cs typeface="Arial" panose="020B0604020202020204" pitchFamily="34" charset="0"/>
            </a:rPr>
          </a:br>
          <a:r>
            <a:rPr lang="en-US" sz="800" kern="1200">
              <a:solidFill>
                <a:sysClr val="window" lastClr="FFFFFF"/>
              </a:solidFill>
              <a:latin typeface="Arial" panose="020B0604020202020204" pitchFamily="34" charset="0"/>
              <a:ea typeface="+mn-ea"/>
              <a:cs typeface="Arial" panose="020B0604020202020204" pitchFamily="34" charset="0"/>
            </a:rPr>
            <a:t>n = 130</a:t>
          </a:r>
        </a:p>
      </dsp:txBody>
      <dsp:txXfrm>
        <a:off x="4950805" y="1796962"/>
        <a:ext cx="781869" cy="510654"/>
      </dsp:txXfrm>
    </dsp:sp>
    <dsp:sp modelId="{3CA64A79-8F03-4580-8F7D-F49719FB6258}">
      <dsp:nvSpPr>
        <dsp:cNvPr id="0" name=""/>
        <dsp:cNvSpPr/>
      </dsp:nvSpPr>
      <dsp:spPr>
        <a:xfrm>
          <a:off x="5296020" y="2323504"/>
          <a:ext cx="91440" cy="216971"/>
        </a:xfrm>
        <a:custGeom>
          <a:avLst/>
          <a:gdLst/>
          <a:ahLst/>
          <a:cxnLst/>
          <a:rect l="0" t="0" r="0" b="0"/>
          <a:pathLst>
            <a:path>
              <a:moveTo>
                <a:pt x="45720" y="0"/>
              </a:moveTo>
              <a:lnTo>
                <a:pt x="45720" y="2028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6B6A8E-104C-43C1-B04E-4DA6FE00B136}">
      <dsp:nvSpPr>
        <dsp:cNvPr id="0" name=""/>
        <dsp:cNvSpPr/>
      </dsp:nvSpPr>
      <dsp:spPr>
        <a:xfrm>
          <a:off x="4934918" y="2540476"/>
          <a:ext cx="813643" cy="5424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Screened</a:t>
          </a:r>
          <a:br>
            <a:rPr lang="en-US" sz="800" kern="1200">
              <a:solidFill>
                <a:sysClr val="window" lastClr="FFFFFF"/>
              </a:solidFill>
              <a:latin typeface="Arial" panose="020B0604020202020204" pitchFamily="34" charset="0"/>
              <a:ea typeface="+mn-ea"/>
              <a:cs typeface="Arial" panose="020B0604020202020204" pitchFamily="34" charset="0"/>
            </a:rPr>
          </a:br>
          <a:r>
            <a:rPr lang="en-US" sz="800" kern="1200">
              <a:solidFill>
                <a:sysClr val="window" lastClr="FFFFFF"/>
              </a:solidFill>
              <a:latin typeface="Arial" panose="020B0604020202020204" pitchFamily="34" charset="0"/>
              <a:ea typeface="+mn-ea"/>
              <a:cs typeface="Arial" panose="020B0604020202020204" pitchFamily="34" charset="0"/>
            </a:rPr>
            <a:t>n = 110, 85%</a:t>
          </a:r>
        </a:p>
      </dsp:txBody>
      <dsp:txXfrm>
        <a:off x="4950805" y="2556363"/>
        <a:ext cx="781869" cy="510654"/>
      </dsp:txXfrm>
    </dsp:sp>
    <dsp:sp modelId="{D762F7C1-88AC-4E25-8006-35E18B8941B8}">
      <dsp:nvSpPr>
        <dsp:cNvPr id="0" name=""/>
        <dsp:cNvSpPr/>
      </dsp:nvSpPr>
      <dsp:spPr>
        <a:xfrm>
          <a:off x="4284004" y="804703"/>
          <a:ext cx="528868" cy="216971"/>
        </a:xfrm>
        <a:custGeom>
          <a:avLst/>
          <a:gdLst/>
          <a:ahLst/>
          <a:cxnLst/>
          <a:rect l="0" t="0" r="0" b="0"/>
          <a:pathLst>
            <a:path>
              <a:moveTo>
                <a:pt x="0" y="0"/>
              </a:moveTo>
              <a:lnTo>
                <a:pt x="0" y="101441"/>
              </a:lnTo>
              <a:lnTo>
                <a:pt x="494526" y="101441"/>
              </a:lnTo>
              <a:lnTo>
                <a:pt x="494526" y="20288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8507752-BF7A-4108-A31A-229BCCA55B6E}">
      <dsp:nvSpPr>
        <dsp:cNvPr id="0" name=""/>
        <dsp:cNvSpPr/>
      </dsp:nvSpPr>
      <dsp:spPr>
        <a:xfrm>
          <a:off x="4406050" y="1021675"/>
          <a:ext cx="813643" cy="54242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Arial" panose="020B0604020202020204" pitchFamily="34" charset="0"/>
              <a:ea typeface="+mn-ea"/>
              <a:cs typeface="Arial" panose="020B0604020202020204" pitchFamily="34" charset="0"/>
            </a:rPr>
            <a:t>Records excluded</a:t>
          </a:r>
          <a:br>
            <a:rPr lang="en-US" sz="800" kern="1200">
              <a:solidFill>
                <a:sysClr val="window" lastClr="FFFFFF"/>
              </a:solidFill>
              <a:latin typeface="Arial" panose="020B0604020202020204" pitchFamily="34" charset="0"/>
              <a:ea typeface="+mn-ea"/>
              <a:cs typeface="Arial" panose="020B0604020202020204" pitchFamily="34" charset="0"/>
            </a:rPr>
          </a:br>
          <a:r>
            <a:rPr lang="en-US" sz="800" kern="1200">
              <a:solidFill>
                <a:sysClr val="window" lastClr="FFFFFF"/>
              </a:solidFill>
              <a:latin typeface="Arial" panose="020B0604020202020204" pitchFamily="34" charset="0"/>
              <a:ea typeface="+mn-ea"/>
              <a:cs typeface="Arial" panose="020B0604020202020204" pitchFamily="34" charset="0"/>
            </a:rPr>
            <a:t>n =  157</a:t>
          </a:r>
        </a:p>
      </dsp:txBody>
      <dsp:txXfrm>
        <a:off x="4421937" y="1037562"/>
        <a:ext cx="781869" cy="5106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5B050A-0E0C-1A41-B985-EB76F62A9F41}">
  <we:reference id="wa104380773" version="1.0.0.2" store="en-GB"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91808-300B-4A9B-A8EC-7594AF61C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20059</Words>
  <Characters>114342</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Perioperative anaemia assessment and management in elective surgical procedures: preoperative, intraoperative and postoperative audit report 2020</vt:lpstr>
    </vt:vector>
  </TitlesOfParts>
  <Manager/>
  <Company/>
  <LinksUpToDate>false</LinksUpToDate>
  <CharactersWithSpaces>134133</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Perioperative anaemia assessment and management in elective surgical procedures: preoperative, intraoperative and postoperative audit report 2020</dc:title>
  <dc:subject>Audit of perioperative anaemia assessment</dc:subject>
  <dc:creator/>
  <cp:keywords/>
  <dc:description/>
  <cp:lastModifiedBy/>
  <cp:revision>1</cp:revision>
  <dcterms:created xsi:type="dcterms:W3CDTF">2021-09-02T04:25:00Z</dcterms:created>
  <dcterms:modified xsi:type="dcterms:W3CDTF">2021-09-02T04:26:00Z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2021-09-02T04:25:52Z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117217f9-3067-470e-99e2-f15b4dc8500b</vt:lpwstr>
  </property>
  <property fmtid="{D5CDD505-2E9C-101B-9397-08002B2CF9AE}" pid="8" name="MSIP_Label_efdf5488-3066-4b6c-8fea-9472b8a1f34c_ContentBits">
    <vt:lpwstr>0</vt:lpwstr>
  </property>
</Properties>
</file>